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ascii="Times New Roman" w:hAnsi="Times New Roman" w:eastAsia="方正小标宋_GBK" w:cs="Times New Roman"/>
          <w:sz w:val="40"/>
          <w:szCs w:val="40"/>
        </w:rPr>
        <w:t>2020年度乌鲁木齐市政府债务决算情况说明</w:t>
      </w:r>
    </w:p>
    <w:p>
      <w:pPr>
        <w:adjustRightInd w:val="0"/>
        <w:snapToGrid w:val="0"/>
        <w:spacing w:line="54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方正黑体_GBK" w:cs="Times New Roman"/>
          <w:sz w:val="30"/>
          <w:szCs w:val="30"/>
        </w:rPr>
      </w:pPr>
      <w:r>
        <w:rPr>
          <w:rFonts w:ascii="Times New Roman" w:hAnsi="Times New Roman" w:eastAsia="方正黑体_GBK" w:cs="Times New Roman"/>
          <w:sz w:val="30"/>
          <w:szCs w:val="30"/>
        </w:rPr>
        <w:t>一、2020年度政府债务限额总体情况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2020年度乌鲁木齐市政府债务限额总额为1,380.57亿元，其中：市本级政府债务限额为867.94亿元，所属区县政府债务限额为512.63亿元。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楷体_GBK" w:cs="Times New Roman"/>
          <w:bCs/>
          <w:sz w:val="32"/>
          <w:szCs w:val="32"/>
        </w:rPr>
      </w:pPr>
      <w:r>
        <w:rPr>
          <w:rFonts w:ascii="Times New Roman" w:hAnsi="Times New Roman" w:eastAsia="方正楷体_GBK" w:cs="Times New Roman"/>
          <w:bCs/>
          <w:sz w:val="32"/>
          <w:szCs w:val="32"/>
        </w:rPr>
        <w:t>（一）政府债务限额分类型情况。</w:t>
      </w:r>
    </w:p>
    <w:p>
      <w:pPr>
        <w:adjustRightInd w:val="0"/>
        <w:snapToGrid w:val="0"/>
        <w:spacing w:line="540" w:lineRule="exact"/>
        <w:ind w:left="300" w:leftChars="143" w:firstLine="320" w:firstLineChars="100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sz w:val="32"/>
          <w:szCs w:val="32"/>
        </w:rPr>
        <w:t>1.一般债务限额总额情况。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2020年度乌鲁木齐市政府一般债务限额总额480.17亿元，其中：市本级政府一般债务限额为252.15亿元，所属区县政府一般债务限额为228.02亿元。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sz w:val="32"/>
          <w:szCs w:val="32"/>
        </w:rPr>
        <w:t>2.专项债务限额总额情况。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2020年度乌鲁木齐市政府专项债务限额总额为900.40亿元，其中：市本级政府专项债务限额为615.79亿元，所属区县政府专项债务限额为284.61亿元。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楷体_GBK" w:cs="Times New Roman"/>
          <w:bCs/>
          <w:sz w:val="32"/>
          <w:szCs w:val="32"/>
        </w:rPr>
      </w:pPr>
      <w:r>
        <w:rPr>
          <w:rFonts w:ascii="Times New Roman" w:hAnsi="Times New Roman" w:eastAsia="方正楷体_GBK" w:cs="Times New Roman"/>
          <w:bCs/>
          <w:sz w:val="32"/>
          <w:szCs w:val="32"/>
        </w:rPr>
        <w:t>（二）新增债务限额情况。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sz w:val="32"/>
          <w:szCs w:val="32"/>
        </w:rPr>
        <w:t>1.新增一般债务限额情况。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2020年度乌鲁木齐市政府新增一般债务限额总额6亿元，其中：市本级政府新增一般债务限额为5.2亿元，所属区县政府新增一般债务限额为0.8亿元。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sz w:val="32"/>
          <w:szCs w:val="32"/>
        </w:rPr>
        <w:t>2.新增专项债务限额情况。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2020年度乌鲁木齐市政府新增专项债务限额总额为118.20亿元，其中：市本级政府新增专项债务限额为68.50亿元，所属区县新增政府专项债务限额为49.70亿元。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二、2020年度政府债务余额情况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2020年度乌鲁木齐市政府债务余额决算数为1,188.94亿元，政府债务余额全部严格控制在限额1,380.57亿元内，其中：市本级政府债务余额决算数为811.67亿元，所属区县政府债务余额决算数为377.27亿元。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楷体_GBK" w:cs="Times New Roman"/>
          <w:bCs/>
          <w:sz w:val="32"/>
          <w:szCs w:val="32"/>
        </w:rPr>
        <w:t>（一）一般债务余额。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2020年度乌鲁木齐市政府一般债务余额决算数为405.54亿元，其中：市本级政府一般债务余额决算数为247.96亿元，所属区县政府一般债务余额决算数为157.58亿元。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楷体_GBK" w:cs="Times New Roman"/>
          <w:bCs/>
          <w:sz w:val="32"/>
          <w:szCs w:val="32"/>
        </w:rPr>
        <w:t>（二）专项债务余额。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2020年度乌鲁木齐市政府专项债务余额决算数为783.40亿元，其中：市本级政府专项债务余额决算数为563.71亿元，所属区县政府专项债务余额决算数为219.69亿元。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三、2020年度政府债券发行使用情况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2020年度乌鲁木齐市发行政府债券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220.1</w:t>
      </w:r>
      <w:r>
        <w:rPr>
          <w:rFonts w:ascii="Times New Roman" w:hAnsi="Times New Roman" w:eastAsia="方正仿宋_GBK" w:cs="Times New Roman"/>
          <w:sz w:val="32"/>
          <w:szCs w:val="32"/>
        </w:rPr>
        <w:t>亿元（新增债券  122.80亿元、再融资债券97.30亿元），其中：市本级发行政府债券138.01亿元（新增债券72.30亿元、再融资债券65.71亿元），所属区县发行政府债券82.09亿元（新增债券50.50亿元、再融资债券31.59亿元）。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楷体_GBK" w:cs="Times New Roman"/>
          <w:bCs/>
          <w:sz w:val="32"/>
          <w:szCs w:val="32"/>
        </w:rPr>
        <w:t>（一）新增一般债券发行使用情况。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2020年度乌鲁木齐市发行新增一般债券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4.6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亿元，其中：市本级发行新增一般债券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3.8</w:t>
      </w:r>
      <w:r>
        <w:rPr>
          <w:rFonts w:ascii="Times New Roman" w:hAnsi="Times New Roman" w:eastAsia="方正仿宋_GBK" w:cs="Times New Roman"/>
          <w:sz w:val="32"/>
          <w:szCs w:val="32"/>
        </w:rPr>
        <w:t>亿元，所属区县发行新增一般债券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0.8</w:t>
      </w:r>
      <w:r>
        <w:rPr>
          <w:rFonts w:ascii="Times New Roman" w:hAnsi="Times New Roman" w:eastAsia="方正仿宋_GBK" w:cs="Times New Roman"/>
          <w:sz w:val="32"/>
          <w:szCs w:val="32"/>
        </w:rPr>
        <w:t>亿元。上述债券资金主要用于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义务</w:t>
      </w:r>
      <w:r>
        <w:rPr>
          <w:rFonts w:ascii="Times New Roman" w:hAnsi="Times New Roman" w:eastAsia="方正仿宋_GBK" w:cs="Times New Roman"/>
          <w:sz w:val="32"/>
          <w:szCs w:val="32"/>
        </w:rPr>
        <w:t>教育、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供气</w:t>
      </w:r>
      <w:r>
        <w:rPr>
          <w:rFonts w:ascii="Times New Roman" w:hAnsi="Times New Roman" w:eastAsia="方正仿宋_GBK" w:cs="Times New Roman"/>
          <w:sz w:val="32"/>
          <w:szCs w:val="32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其他生态建设和环境保护</w:t>
      </w:r>
      <w:r>
        <w:rPr>
          <w:rFonts w:ascii="Times New Roman" w:hAnsi="Times New Roman" w:eastAsia="方正仿宋_GBK" w:cs="Times New Roman"/>
          <w:sz w:val="32"/>
          <w:szCs w:val="32"/>
        </w:rPr>
        <w:t>等领域。债券期限分别是10、20、30年期，债券平均利率为3.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41</w:t>
      </w:r>
      <w:r>
        <w:rPr>
          <w:rFonts w:ascii="Times New Roman" w:hAnsi="Times New Roman" w:eastAsia="方正仿宋_GBK" w:cs="Times New Roman"/>
          <w:sz w:val="32"/>
          <w:szCs w:val="32"/>
        </w:rPr>
        <w:t>%，债券还本付息通过一般公共预算收入偿还。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楷体_GBK" w:cs="Times New Roman"/>
          <w:bCs/>
          <w:sz w:val="32"/>
          <w:szCs w:val="32"/>
        </w:rPr>
        <w:t>（二）新增专项债券发行使用情况。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2020年度乌鲁木齐市发行新增专项债券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118.2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亿元，其中：市本级发行新增专项债券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68.5</w:t>
      </w:r>
      <w:r>
        <w:rPr>
          <w:rFonts w:ascii="Times New Roman" w:hAnsi="Times New Roman" w:eastAsia="方正仿宋_GBK" w:cs="Times New Roman"/>
          <w:sz w:val="32"/>
          <w:szCs w:val="32"/>
        </w:rPr>
        <w:t>亿元，所属区县发行新增专项债券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49.7</w:t>
      </w:r>
      <w:r>
        <w:rPr>
          <w:rFonts w:ascii="Times New Roman" w:hAnsi="Times New Roman" w:eastAsia="方正仿宋_GBK" w:cs="Times New Roman"/>
          <w:sz w:val="32"/>
          <w:szCs w:val="32"/>
        </w:rPr>
        <w:t>亿元。上述债券资金主要用于轨道交通、水利、生态环保、社会事业、城乡冷链物流基础设施、市政和产业园区基础设施等重点领域。债券期限分别是7、10、15、20、30年期，债券平均</w:t>
      </w:r>
      <w:bookmarkStart w:id="0" w:name="_GoBack"/>
      <w:bookmarkEnd w:id="0"/>
      <w:r>
        <w:rPr>
          <w:rFonts w:ascii="Times New Roman" w:hAnsi="Times New Roman" w:eastAsia="方正仿宋_GBK" w:cs="Times New Roman"/>
          <w:sz w:val="32"/>
          <w:szCs w:val="32"/>
        </w:rPr>
        <w:t>利率为3.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65</w:t>
      </w:r>
      <w:r>
        <w:rPr>
          <w:rFonts w:ascii="Times New Roman" w:hAnsi="Times New Roman" w:eastAsia="方正仿宋_GBK" w:cs="Times New Roman"/>
          <w:sz w:val="32"/>
          <w:szCs w:val="32"/>
        </w:rPr>
        <w:t>%，债券还本付息通过对应项目取得的政府性基金或专项收入偿还。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楷体_GBK" w:cs="Times New Roman"/>
          <w:bCs/>
          <w:sz w:val="32"/>
          <w:szCs w:val="32"/>
        </w:rPr>
        <w:t>（三）再融资债券发行使用情况。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2020年度乌鲁木齐市发行再融资债券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97.3</w:t>
      </w:r>
      <w:r>
        <w:rPr>
          <w:rFonts w:ascii="Times New Roman" w:hAnsi="Times New Roman" w:eastAsia="方正仿宋_GBK" w:cs="Times New Roman"/>
          <w:sz w:val="32"/>
          <w:szCs w:val="32"/>
        </w:rPr>
        <w:t>亿元（再融资一般债券69.20亿元、再融资专项债券28.10亿元），其中：市本级发行再融资债券65.71亿元（再融资一般债券43.97亿元、再融资专项债券21.74亿元），所属区县发行再融资债券31.59亿元（再融资一般债券25.23亿元、再融资专项债券6.36亿元）。上述债券资金全部用于偿还到期政府债券本金，债券期限分别是15、20、30年期，债券平均利率为3.7%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四、2020年度政府债券还本付息情况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2020年度乌鲁木齐市政府债券还本付息总额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165.58</w:t>
      </w:r>
      <w:r>
        <w:rPr>
          <w:rFonts w:ascii="Times New Roman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124.86</w:t>
      </w:r>
      <w:r>
        <w:rPr>
          <w:rFonts w:ascii="Times New Roman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27.56</w:t>
      </w:r>
      <w:r>
        <w:rPr>
          <w:rFonts w:ascii="Times New Roman" w:hAnsi="Times New Roman" w:eastAsia="方正仿宋_GBK" w:cs="Times New Roman"/>
          <w:sz w:val="32"/>
          <w:szCs w:val="32"/>
        </w:rPr>
        <w:t>亿元，再融资债券还本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97.3</w:t>
      </w:r>
      <w:r>
        <w:rPr>
          <w:rFonts w:ascii="Times New Roman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40.72</w:t>
      </w:r>
      <w:r>
        <w:rPr>
          <w:rFonts w:ascii="Times New Roman" w:hAnsi="Times New Roman" w:eastAsia="方正仿宋_GBK" w:cs="Times New Roman"/>
          <w:sz w:val="32"/>
          <w:szCs w:val="32"/>
        </w:rPr>
        <w:t>亿元），其中：市本级政府债券还本付息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114.72</w:t>
      </w:r>
      <w:r>
        <w:rPr>
          <w:rFonts w:ascii="Times New Roman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86.02</w:t>
      </w:r>
      <w:r>
        <w:rPr>
          <w:rFonts w:ascii="Times New Roman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20.31</w:t>
      </w:r>
      <w:r>
        <w:rPr>
          <w:rFonts w:ascii="Times New Roman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65.71</w:t>
      </w:r>
      <w:r>
        <w:rPr>
          <w:rFonts w:ascii="Times New Roman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28.7</w:t>
      </w:r>
      <w:r>
        <w:rPr>
          <w:rFonts w:ascii="Times New Roman" w:hAnsi="Times New Roman" w:eastAsia="方正仿宋_GBK" w:cs="Times New Roman"/>
          <w:sz w:val="32"/>
          <w:szCs w:val="32"/>
        </w:rPr>
        <w:t>亿元），所属区县政府债券还本付息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50.86</w:t>
      </w:r>
      <w:r>
        <w:rPr>
          <w:rFonts w:ascii="Times New Roman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38.84</w:t>
      </w:r>
      <w:r>
        <w:rPr>
          <w:rFonts w:ascii="Times New Roman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7.25</w:t>
      </w:r>
      <w:r>
        <w:rPr>
          <w:rFonts w:ascii="Times New Roman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31.59</w:t>
      </w:r>
      <w:r>
        <w:rPr>
          <w:rFonts w:ascii="Times New Roman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12.02</w:t>
      </w:r>
      <w:r>
        <w:rPr>
          <w:rFonts w:ascii="Times New Roman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楷体_GBK" w:cs="Times New Roman"/>
          <w:bCs/>
          <w:sz w:val="32"/>
          <w:szCs w:val="32"/>
        </w:rPr>
        <w:t>（一）一般债券还本付息情况。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2020年度乌鲁木齐市政府一般债券还本付息总额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98.99</w:t>
      </w:r>
      <w:r>
        <w:rPr>
          <w:rFonts w:ascii="Times New Roman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84.69</w:t>
      </w:r>
      <w:r>
        <w:rPr>
          <w:rFonts w:ascii="Times New Roman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15.49</w:t>
      </w:r>
      <w:r>
        <w:rPr>
          <w:rFonts w:ascii="Times New Roman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69.2</w:t>
      </w:r>
      <w:r>
        <w:rPr>
          <w:rFonts w:ascii="Times New Roman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14.3</w:t>
      </w:r>
      <w:r>
        <w:rPr>
          <w:rFonts w:ascii="Times New Roman" w:hAnsi="Times New Roman" w:eastAsia="方正仿宋_GBK" w:cs="Times New Roman"/>
          <w:sz w:val="32"/>
          <w:szCs w:val="32"/>
        </w:rPr>
        <w:t>亿元），其中：市本级政府一般债券还本付息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63.87</w:t>
      </w:r>
      <w:r>
        <w:rPr>
          <w:rFonts w:ascii="Times New Roman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54.96</w:t>
      </w:r>
      <w:r>
        <w:rPr>
          <w:rFonts w:ascii="Times New Roman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10.99</w:t>
      </w:r>
      <w:r>
        <w:rPr>
          <w:rFonts w:ascii="Times New Roman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43.97</w:t>
      </w:r>
      <w:r>
        <w:rPr>
          <w:rFonts w:ascii="Times New Roman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8.91</w:t>
      </w:r>
      <w:r>
        <w:rPr>
          <w:rFonts w:ascii="Times New Roman" w:hAnsi="Times New Roman" w:eastAsia="方正仿宋_GBK" w:cs="Times New Roman"/>
          <w:sz w:val="32"/>
          <w:szCs w:val="32"/>
        </w:rPr>
        <w:t>亿元），所属区县政府一般债券还本付息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35.12</w:t>
      </w:r>
      <w:r>
        <w:rPr>
          <w:rFonts w:ascii="Times New Roman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29.73</w:t>
      </w:r>
      <w:r>
        <w:rPr>
          <w:rFonts w:ascii="Times New Roman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4.5</w:t>
      </w:r>
      <w:r>
        <w:rPr>
          <w:rFonts w:ascii="Times New Roman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25.23</w:t>
      </w:r>
      <w:r>
        <w:rPr>
          <w:rFonts w:ascii="Times New Roman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5.39</w:t>
      </w:r>
      <w:r>
        <w:rPr>
          <w:rFonts w:ascii="Times New Roman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楷体_GBK" w:cs="Times New Roman"/>
          <w:bCs/>
          <w:sz w:val="32"/>
          <w:szCs w:val="32"/>
        </w:rPr>
        <w:t>（二）专项债券还本付息情况。</w:t>
      </w:r>
      <w:r>
        <w:rPr>
          <w:rFonts w:ascii="Times New Roman" w:hAnsi="Times New Roman" w:eastAsia="方正仿宋_GBK" w:cs="Times New Roman"/>
          <w:sz w:val="32"/>
          <w:szCs w:val="32"/>
        </w:rPr>
        <w:t>2020年度乌鲁木齐市政府专项债券还本付息总额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66.59</w:t>
      </w:r>
      <w:r>
        <w:rPr>
          <w:rFonts w:ascii="Times New Roman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40.17</w:t>
      </w:r>
      <w:r>
        <w:rPr>
          <w:rFonts w:ascii="Times New Roman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12.07</w:t>
      </w:r>
      <w:r>
        <w:rPr>
          <w:rFonts w:ascii="Times New Roman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28.1</w:t>
      </w:r>
      <w:r>
        <w:rPr>
          <w:rFonts w:ascii="Times New Roman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26.42</w:t>
      </w:r>
      <w:r>
        <w:rPr>
          <w:rFonts w:ascii="Times New Roman" w:hAnsi="Times New Roman" w:eastAsia="方正仿宋_GBK" w:cs="Times New Roman"/>
          <w:sz w:val="32"/>
          <w:szCs w:val="32"/>
        </w:rPr>
        <w:t>亿元），其中：市本级政府专项债券还本付息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50.85</w:t>
      </w:r>
      <w:r>
        <w:rPr>
          <w:rFonts w:ascii="Times New Roman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31.06</w:t>
      </w:r>
      <w:r>
        <w:rPr>
          <w:rFonts w:ascii="Times New Roman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9.32</w:t>
      </w:r>
      <w:r>
        <w:rPr>
          <w:rFonts w:ascii="Times New Roman" w:hAnsi="Times New Roman" w:eastAsia="方正仿宋_GBK" w:cs="Times New Roman"/>
          <w:sz w:val="32"/>
          <w:szCs w:val="32"/>
        </w:rPr>
        <w:t>亿元，再融资债券还本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21.74</w:t>
      </w:r>
      <w:r>
        <w:rPr>
          <w:rFonts w:ascii="Times New Roman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19.79</w:t>
      </w:r>
      <w:r>
        <w:rPr>
          <w:rFonts w:ascii="Times New Roman" w:hAnsi="Times New Roman" w:eastAsia="方正仿宋_GBK" w:cs="Times New Roman"/>
          <w:sz w:val="32"/>
          <w:szCs w:val="32"/>
        </w:rPr>
        <w:t>亿元），所属区县政府专项债券还本付息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15.74</w:t>
      </w:r>
      <w:r>
        <w:rPr>
          <w:rFonts w:ascii="Times New Roman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9.11</w:t>
      </w:r>
      <w:r>
        <w:rPr>
          <w:rFonts w:ascii="Times New Roman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2.75</w:t>
      </w:r>
      <w:r>
        <w:rPr>
          <w:rFonts w:ascii="Times New Roman" w:hAnsi="Times New Roman" w:eastAsia="方正仿宋_GBK" w:cs="Times New Roman"/>
          <w:sz w:val="32"/>
          <w:szCs w:val="32"/>
        </w:rPr>
        <w:t>亿元，再融资债券还本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6.36</w:t>
      </w:r>
      <w:r>
        <w:rPr>
          <w:rFonts w:ascii="Times New Roman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6.63</w:t>
      </w:r>
      <w:r>
        <w:rPr>
          <w:rFonts w:ascii="Times New Roman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40" w:lineRule="exact"/>
        <w:rPr>
          <w:rFonts w:ascii="Times New Roman" w:hAnsi="Times New Roman" w:eastAsia="方正仿宋_GBK" w:cs="Times New Roman"/>
          <w:bCs/>
          <w:sz w:val="32"/>
          <w:szCs w:val="32"/>
        </w:rPr>
      </w:pPr>
    </w:p>
    <w:p>
      <w:pPr>
        <w:adjustRightInd w:val="0"/>
        <w:snapToGrid w:val="0"/>
        <w:spacing w:line="540" w:lineRule="exact"/>
        <w:ind w:firstLine="616" w:firstLineChars="200"/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</w:pPr>
      <w:r>
        <w:rPr>
          <w:rFonts w:ascii="Times New Roman" w:hAnsi="Times New Roman" w:eastAsia="方正仿宋_GBK" w:cs="Times New Roman"/>
          <w:spacing w:val="-6"/>
          <w:sz w:val="32"/>
          <w:szCs w:val="32"/>
        </w:rPr>
        <w:t xml:space="preserve">附件: </w:t>
      </w:r>
      <w:r>
        <w:rPr>
          <w:rFonts w:hint="eastAsia" w:ascii="Times New Roman" w:hAnsi="Times New Roman" w:eastAsia="方正仿宋_GBK" w:cs="Times New Roman"/>
          <w:spacing w:val="-6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方正仿宋_GBK" w:cs="Times New Roman"/>
          <w:spacing w:val="-36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  <w:t>1-1 2020年度乌鲁木齐市政府一般债务限额、余额情况表</w:t>
      </w:r>
    </w:p>
    <w:p>
      <w:pPr>
        <w:adjustRightInd w:val="0"/>
        <w:snapToGrid w:val="0"/>
        <w:spacing w:line="540" w:lineRule="exact"/>
        <w:ind w:firstLine="1661" w:firstLineChars="602"/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</w:pPr>
      <w:r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  <w:t>1-2 2020年度乌鲁木齐市政府专项债务限额、余额情况表</w:t>
      </w:r>
    </w:p>
    <w:p>
      <w:pPr>
        <w:adjustRightInd w:val="0"/>
        <w:snapToGrid w:val="0"/>
        <w:spacing w:line="540" w:lineRule="exact"/>
        <w:ind w:firstLine="1661" w:firstLineChars="602"/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</w:pPr>
      <w:r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  <w:t>1-3 2020年度乌鲁木齐市政府债务限额、余额（含一般债务</w:t>
      </w:r>
    </w:p>
    <w:p>
      <w:pPr>
        <w:adjustRightInd w:val="0"/>
        <w:snapToGrid w:val="0"/>
        <w:spacing w:line="540" w:lineRule="exact"/>
        <w:ind w:firstLine="1661" w:firstLineChars="602"/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</w:pPr>
      <w:r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  <w:t>限额、余额和专项债务限额、余额）情况表</w:t>
      </w:r>
    </w:p>
    <w:p>
      <w:pPr>
        <w:adjustRightInd w:val="0"/>
        <w:snapToGrid w:val="0"/>
        <w:spacing w:line="540" w:lineRule="exact"/>
        <w:ind w:firstLine="1380" w:firstLineChars="500"/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</w:pPr>
      <w:r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  <w:t>2. 2-1 2020年度乌鲁木齐市政府债券发行情况表</w:t>
      </w:r>
    </w:p>
    <w:p>
      <w:pPr>
        <w:adjustRightInd w:val="0"/>
        <w:snapToGrid w:val="0"/>
        <w:spacing w:line="540" w:lineRule="exact"/>
        <w:ind w:firstLine="1647" w:firstLineChars="597"/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</w:pPr>
      <w:r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  <w:t>2-2 2020年度乌鲁木齐市政府债券发行情况明细表</w:t>
      </w:r>
    </w:p>
    <w:p>
      <w:pPr>
        <w:adjustRightInd w:val="0"/>
        <w:snapToGrid w:val="0"/>
        <w:spacing w:line="540" w:lineRule="exact"/>
        <w:ind w:firstLine="1647" w:firstLineChars="597"/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</w:pPr>
      <w:r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  <w:t>2-3 2020年度乌鲁木齐市新增债券使用情况表</w:t>
      </w:r>
    </w:p>
    <w:p>
      <w:pPr>
        <w:adjustRightInd w:val="0"/>
        <w:snapToGrid w:val="0"/>
        <w:spacing w:line="540" w:lineRule="exact"/>
        <w:ind w:firstLine="1647" w:firstLineChars="597"/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</w:pPr>
      <w:r>
        <w:rPr>
          <w:rFonts w:ascii="Times New Roman" w:hAnsi="Times New Roman" w:eastAsia="方正仿宋_GBK" w:cs="Times New Roman"/>
          <w:spacing w:val="-6"/>
          <w:w w:val="90"/>
          <w:sz w:val="32"/>
          <w:szCs w:val="32"/>
        </w:rPr>
        <w:t>2-4 2020年度乌鲁木齐市还本付息决算情况表</w:t>
      </w:r>
    </w:p>
    <w:sectPr>
      <w:footerReference r:id="rId3" w:type="default"/>
      <w:footerReference r:id="rId4" w:type="even"/>
      <w:pgSz w:w="11906" w:h="16838"/>
      <w:pgMar w:top="2098" w:right="1587" w:bottom="1871" w:left="1587" w:header="851" w:footer="164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42503595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7682355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9C"/>
    <w:rsid w:val="00027D3D"/>
    <w:rsid w:val="00030F55"/>
    <w:rsid w:val="000431A5"/>
    <w:rsid w:val="0004729D"/>
    <w:rsid w:val="000923A9"/>
    <w:rsid w:val="000A5042"/>
    <w:rsid w:val="000D1731"/>
    <w:rsid w:val="000E383F"/>
    <w:rsid w:val="000E7018"/>
    <w:rsid w:val="00122496"/>
    <w:rsid w:val="00157D74"/>
    <w:rsid w:val="00196022"/>
    <w:rsid w:val="001F1A22"/>
    <w:rsid w:val="001F4E0F"/>
    <w:rsid w:val="00211E3A"/>
    <w:rsid w:val="00233883"/>
    <w:rsid w:val="002441BD"/>
    <w:rsid w:val="00274E68"/>
    <w:rsid w:val="002C479C"/>
    <w:rsid w:val="002F3AB3"/>
    <w:rsid w:val="002F3BAA"/>
    <w:rsid w:val="00305594"/>
    <w:rsid w:val="00306357"/>
    <w:rsid w:val="00351190"/>
    <w:rsid w:val="00353915"/>
    <w:rsid w:val="003D57D7"/>
    <w:rsid w:val="00411E55"/>
    <w:rsid w:val="00421AFF"/>
    <w:rsid w:val="00485B50"/>
    <w:rsid w:val="00501125"/>
    <w:rsid w:val="0052787A"/>
    <w:rsid w:val="005605FC"/>
    <w:rsid w:val="005A15F9"/>
    <w:rsid w:val="005B1E2C"/>
    <w:rsid w:val="00600499"/>
    <w:rsid w:val="0062212F"/>
    <w:rsid w:val="006C5CC3"/>
    <w:rsid w:val="00785EA9"/>
    <w:rsid w:val="00801579"/>
    <w:rsid w:val="00833928"/>
    <w:rsid w:val="00880DEB"/>
    <w:rsid w:val="00881F06"/>
    <w:rsid w:val="009454F4"/>
    <w:rsid w:val="00985C92"/>
    <w:rsid w:val="0099289A"/>
    <w:rsid w:val="009D7BEC"/>
    <w:rsid w:val="00AF6C1C"/>
    <w:rsid w:val="00B03519"/>
    <w:rsid w:val="00B40573"/>
    <w:rsid w:val="00B71991"/>
    <w:rsid w:val="00B85DE3"/>
    <w:rsid w:val="00BB7C3E"/>
    <w:rsid w:val="00C159ED"/>
    <w:rsid w:val="00C75EFE"/>
    <w:rsid w:val="00CA5F8C"/>
    <w:rsid w:val="00CF2476"/>
    <w:rsid w:val="00D11416"/>
    <w:rsid w:val="00D52105"/>
    <w:rsid w:val="00D64E1B"/>
    <w:rsid w:val="00E43095"/>
    <w:rsid w:val="00E602FE"/>
    <w:rsid w:val="00E63C34"/>
    <w:rsid w:val="00E760FD"/>
    <w:rsid w:val="00E85036"/>
    <w:rsid w:val="00E877AC"/>
    <w:rsid w:val="00F52304"/>
    <w:rsid w:val="00F6080A"/>
    <w:rsid w:val="00F62C92"/>
    <w:rsid w:val="00FC5721"/>
    <w:rsid w:val="00FF773A"/>
    <w:rsid w:val="01B36FE2"/>
    <w:rsid w:val="04AD2225"/>
    <w:rsid w:val="063F2F9D"/>
    <w:rsid w:val="090B4E5B"/>
    <w:rsid w:val="182373F8"/>
    <w:rsid w:val="18823C8F"/>
    <w:rsid w:val="1C460386"/>
    <w:rsid w:val="1D57227F"/>
    <w:rsid w:val="2AB37734"/>
    <w:rsid w:val="2FBE46FB"/>
    <w:rsid w:val="303F5FC9"/>
    <w:rsid w:val="353C53B6"/>
    <w:rsid w:val="36B666B6"/>
    <w:rsid w:val="3A851E2B"/>
    <w:rsid w:val="3CAB22C5"/>
    <w:rsid w:val="417132F5"/>
    <w:rsid w:val="47B72475"/>
    <w:rsid w:val="49AC3E6B"/>
    <w:rsid w:val="4B080752"/>
    <w:rsid w:val="4DB47F12"/>
    <w:rsid w:val="50467CE1"/>
    <w:rsid w:val="50CE11ED"/>
    <w:rsid w:val="53013412"/>
    <w:rsid w:val="59E94415"/>
    <w:rsid w:val="5EBE204C"/>
    <w:rsid w:val="61CE0116"/>
    <w:rsid w:val="6541174B"/>
    <w:rsid w:val="692F2D63"/>
    <w:rsid w:val="6ACF7A08"/>
    <w:rsid w:val="6B080355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387</Words>
  <Characters>2211</Characters>
  <Lines>18</Lines>
  <Paragraphs>5</Paragraphs>
  <TotalTime>66</TotalTime>
  <ScaleCrop>false</ScaleCrop>
  <LinksUpToDate>false</LinksUpToDate>
  <CharactersWithSpaces>2593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WPS_1527268960</cp:lastModifiedBy>
  <cp:lastPrinted>2021-08-12T11:54:00Z</cp:lastPrinted>
  <dcterms:modified xsi:type="dcterms:W3CDTF">2021-10-22T11:28:08Z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