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rPr>
      </w:pPr>
      <w:r>
        <w:rPr>
          <w:rFonts w:hint="eastAsia" w:ascii="黑体" w:hAnsi="黑体" w:eastAsia="黑体" w:cs="黑体"/>
        </w:rPr>
        <w:t>附件</w:t>
      </w:r>
      <w:r>
        <w:rPr>
          <w:rFonts w:hint="eastAsia" w:eastAsia="黑体"/>
        </w:rPr>
        <w:t>1</w:t>
      </w:r>
    </w:p>
    <w:p>
      <w:pPr>
        <w:spacing w:line="560" w:lineRule="exact"/>
        <w:ind w:left="2200" w:hanging="2200" w:hangingChars="500"/>
        <w:jc w:val="center"/>
        <w:outlineLvl w:val="1"/>
        <w:rPr>
          <w:rFonts w:hint="eastAsia" w:eastAsia="方正小标宋简体" w:cs="方正小标宋简体"/>
          <w:color w:val="000000"/>
          <w:sz w:val="44"/>
          <w:szCs w:val="44"/>
        </w:rPr>
      </w:pPr>
    </w:p>
    <w:p>
      <w:pPr>
        <w:spacing w:line="560" w:lineRule="exact"/>
        <w:ind w:left="2200" w:hanging="2200" w:hangingChars="500"/>
        <w:jc w:val="center"/>
        <w:outlineLvl w:val="1"/>
        <w:rPr>
          <w:rFonts w:ascii="仿宋_GB2312" w:hAnsi="仿宋_GB2312" w:cs="仿宋_GB2312"/>
        </w:rPr>
      </w:pPr>
      <w:r>
        <w:rPr>
          <w:rFonts w:hint="eastAsia" w:eastAsia="方正小标宋简体" w:cs="方正小标宋简体"/>
          <w:color w:val="000000"/>
          <w:sz w:val="44"/>
          <w:szCs w:val="44"/>
        </w:rPr>
        <w:t>新疆重大需求人才支持计划项目榜单</w:t>
      </w:r>
    </w:p>
    <w:p>
      <w:pPr>
        <w:spacing w:line="560" w:lineRule="exact"/>
        <w:jc w:val="left"/>
        <w:outlineLvl w:val="1"/>
        <w:rPr>
          <w:rFonts w:ascii="仿宋_GB2312" w:hAnsi="仿宋_GB2312" w:cs="仿宋_GB2312"/>
        </w:rPr>
      </w:pPr>
    </w:p>
    <w:p>
      <w:pPr>
        <w:spacing w:line="560" w:lineRule="exact"/>
        <w:ind w:firstLine="640" w:firstLineChars="200"/>
        <w:outlineLvl w:val="1"/>
        <w:rPr>
          <w:rFonts w:hint="eastAsia" w:ascii="仿宋_GB2312" w:hAnsi="仿宋_GB2312" w:eastAsia="黑体" w:cs="仿宋_GB2312"/>
          <w:lang w:eastAsia="zh-CN"/>
        </w:rPr>
      </w:pPr>
      <w:r>
        <w:rPr>
          <w:rFonts w:hint="eastAsia" w:ascii="黑体" w:hAnsi="黑体" w:eastAsia="黑体" w:cs="黑体"/>
          <w:lang w:eastAsia="zh-CN"/>
        </w:rPr>
        <w:t>一</w:t>
      </w:r>
      <w:r>
        <w:rPr>
          <w:rFonts w:hint="eastAsia" w:ascii="黑体" w:hAnsi="黑体" w:eastAsia="黑体" w:cs="黑体"/>
        </w:rPr>
        <w:t>、需求</w:t>
      </w:r>
      <w:r>
        <w:rPr>
          <w:rFonts w:hint="eastAsia" w:ascii="黑体" w:hAnsi="黑体" w:eastAsia="黑体" w:cs="黑体"/>
          <w:lang w:eastAsia="zh-CN"/>
        </w:rPr>
        <w:t>项目</w:t>
      </w:r>
    </w:p>
    <w:p>
      <w:pPr>
        <w:spacing w:line="560" w:lineRule="exact"/>
        <w:ind w:firstLine="640" w:firstLineChars="200"/>
        <w:outlineLvl w:val="1"/>
        <w:rPr>
          <w:rFonts w:ascii="仿宋_GB2312" w:hAnsi="仿宋_GB2312" w:cs="仿宋_GB2312"/>
        </w:rPr>
      </w:pPr>
      <w:r>
        <w:rPr>
          <w:rFonts w:hint="eastAsia" w:ascii="仿宋_GB2312" w:hAnsi="仿宋_GB2312" w:cs="仿宋_GB2312"/>
        </w:rPr>
        <w:t>双碳目标下丝路沿线地区跨季节储热清洁能源低碳供热关键技术研究及集成示范</w:t>
      </w:r>
    </w:p>
    <w:p>
      <w:pPr>
        <w:spacing w:line="560" w:lineRule="exact"/>
        <w:ind w:firstLine="640" w:firstLineChars="200"/>
        <w:jc w:val="left"/>
        <w:outlineLvl w:val="1"/>
        <w:rPr>
          <w:rFonts w:ascii="黑体" w:hAnsi="黑体" w:eastAsia="黑体" w:cs="黑体"/>
        </w:rPr>
      </w:pPr>
      <w:r>
        <w:rPr>
          <w:rFonts w:hint="eastAsia" w:ascii="黑体" w:hAnsi="黑体" w:eastAsia="黑体" w:cs="黑体"/>
        </w:rPr>
        <w:t>二、需求内容</w:t>
      </w:r>
    </w:p>
    <w:p>
      <w:pPr>
        <w:spacing w:line="560" w:lineRule="exact"/>
        <w:ind w:firstLine="643" w:firstLineChars="200"/>
        <w:outlineLvl w:val="1"/>
        <w:rPr>
          <w:rFonts w:ascii="Times New Roman" w:hAnsi="Times New Roman" w:cs="仿宋_GB2312"/>
          <w:b/>
          <w:bCs/>
          <w:sz w:val="32"/>
        </w:rPr>
      </w:pPr>
      <w:r>
        <w:rPr>
          <w:rFonts w:hint="eastAsia" w:ascii="Times New Roman" w:hAnsi="Times New Roman" w:cs="仿宋_GB2312"/>
          <w:b/>
          <w:bCs/>
          <w:sz w:val="32"/>
        </w:rPr>
        <w:t>1.</w:t>
      </w:r>
      <w:r>
        <w:rPr>
          <w:rFonts w:hint="eastAsia" w:cs="仿宋_GB2312"/>
          <w:b/>
          <w:bCs/>
          <w:sz w:val="32"/>
          <w:lang w:val="en-US" w:eastAsia="zh-CN"/>
        </w:rPr>
        <w:t xml:space="preserve"> </w:t>
      </w:r>
      <w:r>
        <w:rPr>
          <w:rFonts w:hint="eastAsia" w:ascii="Times New Roman" w:hAnsi="Times New Roman" w:cs="仿宋_GB2312"/>
          <w:b/>
          <w:bCs/>
          <w:sz w:val="32"/>
        </w:rPr>
        <w:t>丝路沿线地区跨季节储热水体传热机理</w:t>
      </w:r>
    </w:p>
    <w:p>
      <w:pPr>
        <w:spacing w:line="560" w:lineRule="exact"/>
        <w:ind w:firstLine="640" w:firstLineChars="200"/>
        <w:outlineLvl w:val="1"/>
        <w:rPr>
          <w:rFonts w:ascii="Times New Roman" w:hAnsi="Times New Roman" w:cs="仿宋_GB2312"/>
          <w:sz w:val="32"/>
        </w:rPr>
      </w:pPr>
      <w:r>
        <w:rPr>
          <w:rFonts w:hint="eastAsia" w:ascii="Times New Roman" w:hAnsi="Times New Roman" w:cs="仿宋_GB2312"/>
          <w:sz w:val="32"/>
        </w:rPr>
        <w:t>调研分析丝路沿线不同地区地质条件与水文特征，建立跨季节埋地储热水体数理模型，通过模拟与实验方法揭示跨季节蓄热水体与土壤耦合传热机理，优化储热水体保温结构参数，降低跨季节储热水体热量损失。</w:t>
      </w:r>
    </w:p>
    <w:p>
      <w:pPr>
        <w:spacing w:line="560" w:lineRule="exact"/>
        <w:ind w:firstLine="643" w:firstLineChars="200"/>
        <w:outlineLvl w:val="1"/>
        <w:rPr>
          <w:rFonts w:ascii="Times New Roman" w:hAnsi="Times New Roman" w:cs="仿宋_GB2312"/>
          <w:b/>
          <w:bCs/>
          <w:sz w:val="32"/>
        </w:rPr>
      </w:pPr>
      <w:r>
        <w:rPr>
          <w:rFonts w:hint="eastAsia" w:ascii="Times New Roman" w:hAnsi="Times New Roman" w:cs="仿宋_GB2312"/>
          <w:b/>
          <w:bCs/>
          <w:sz w:val="32"/>
        </w:rPr>
        <w:t>2.</w:t>
      </w:r>
      <w:r>
        <w:rPr>
          <w:rFonts w:hint="eastAsia" w:cs="仿宋_GB2312"/>
          <w:b/>
          <w:bCs/>
          <w:sz w:val="32"/>
          <w:lang w:val="en-US" w:eastAsia="zh-CN"/>
        </w:rPr>
        <w:t xml:space="preserve"> </w:t>
      </w:r>
      <w:r>
        <w:rPr>
          <w:rFonts w:hint="eastAsia" w:ascii="Times New Roman" w:hAnsi="Times New Roman" w:cs="仿宋_GB2312"/>
          <w:b/>
          <w:bCs/>
          <w:sz w:val="32"/>
        </w:rPr>
        <w:t>跨季节埋地储热水体热性能提升方法</w:t>
      </w:r>
    </w:p>
    <w:p>
      <w:pPr>
        <w:spacing w:line="560" w:lineRule="exact"/>
        <w:ind w:firstLine="640" w:firstLineChars="200"/>
        <w:outlineLvl w:val="1"/>
        <w:rPr>
          <w:rFonts w:ascii="Times New Roman" w:hAnsi="Times New Roman" w:cs="仿宋_GB2312"/>
          <w:sz w:val="32"/>
        </w:rPr>
      </w:pPr>
      <w:r>
        <w:rPr>
          <w:rFonts w:hint="eastAsia" w:ascii="Times New Roman" w:hAnsi="Times New Roman" w:cs="仿宋_GB2312"/>
          <w:sz w:val="32"/>
        </w:rPr>
        <w:t>研究跨季节储热水体内部流体流动特征与规律，建立储热水体内部的流动传热耦合模型，以蓄热水体热分层效果及蓄取热效率为优化目标，对蓄热水体几何结构、布水器位置及构造等模拟优化，提出跨季节埋地储热水体的蓄热性能提升优化方法。</w:t>
      </w:r>
    </w:p>
    <w:p>
      <w:pPr>
        <w:spacing w:line="560" w:lineRule="exact"/>
        <w:ind w:firstLine="643" w:firstLineChars="200"/>
        <w:outlineLvl w:val="1"/>
        <w:rPr>
          <w:rFonts w:ascii="Times New Roman" w:hAnsi="Times New Roman" w:cs="仿宋_GB2312"/>
          <w:b/>
          <w:bCs/>
          <w:sz w:val="32"/>
        </w:rPr>
      </w:pPr>
      <w:r>
        <w:rPr>
          <w:rFonts w:hint="eastAsia" w:ascii="Times New Roman" w:hAnsi="Times New Roman" w:cs="仿宋_GB2312"/>
          <w:b/>
          <w:bCs/>
          <w:sz w:val="32"/>
        </w:rPr>
        <w:t>3.</w:t>
      </w:r>
      <w:r>
        <w:rPr>
          <w:rFonts w:hint="eastAsia" w:cs="仿宋_GB2312"/>
          <w:b/>
          <w:bCs/>
          <w:sz w:val="32"/>
          <w:lang w:val="en-US" w:eastAsia="zh-CN"/>
        </w:rPr>
        <w:t xml:space="preserve"> </w:t>
      </w:r>
      <w:r>
        <w:rPr>
          <w:rFonts w:hint="eastAsia" w:ascii="Times New Roman" w:hAnsi="Times New Roman" w:cs="仿宋_GB2312"/>
          <w:b/>
          <w:bCs/>
          <w:sz w:val="32"/>
        </w:rPr>
        <w:t>跨季节储热太阳能多能耦合低碳供热系统设计优化</w:t>
      </w:r>
    </w:p>
    <w:p>
      <w:pPr>
        <w:spacing w:line="560" w:lineRule="exact"/>
        <w:ind w:firstLine="640" w:firstLineChars="200"/>
        <w:outlineLvl w:val="1"/>
        <w:rPr>
          <w:rFonts w:ascii="Times New Roman" w:hAnsi="Times New Roman" w:cs="仿宋_GB2312"/>
          <w:sz w:val="32"/>
        </w:rPr>
      </w:pPr>
      <w:r>
        <w:rPr>
          <w:rFonts w:hint="eastAsia" w:ascii="Times New Roman" w:hAnsi="Times New Roman" w:cs="仿宋_GB2312"/>
          <w:sz w:val="32"/>
        </w:rPr>
        <w:t>分析丝路沿线新疆地区太阳能辐射、气温及供暖期分布规律，明确太阳能热收集和利用潜力，建立跨季节储热太阳能低碳供热系统优化模型，提出跨季节储热太阳能多能耦合供热系统设计优化方法。</w:t>
      </w:r>
    </w:p>
    <w:p>
      <w:pPr>
        <w:spacing w:line="560" w:lineRule="exact"/>
        <w:ind w:firstLine="643" w:firstLineChars="200"/>
        <w:outlineLvl w:val="1"/>
        <w:rPr>
          <w:rFonts w:ascii="Times New Roman" w:hAnsi="Times New Roman" w:cs="仿宋_GB2312"/>
          <w:b/>
          <w:bCs/>
          <w:sz w:val="32"/>
        </w:rPr>
      </w:pPr>
      <w:r>
        <w:rPr>
          <w:rFonts w:hint="eastAsia" w:ascii="Times New Roman" w:hAnsi="Times New Roman" w:cs="仿宋_GB2312"/>
          <w:b/>
          <w:bCs/>
          <w:sz w:val="32"/>
        </w:rPr>
        <w:t>4.</w:t>
      </w:r>
      <w:r>
        <w:rPr>
          <w:rFonts w:hint="eastAsia" w:cs="仿宋_GB2312"/>
          <w:b/>
          <w:bCs/>
          <w:sz w:val="32"/>
          <w:lang w:val="en-US" w:eastAsia="zh-CN"/>
        </w:rPr>
        <w:t xml:space="preserve"> </w:t>
      </w:r>
      <w:r>
        <w:rPr>
          <w:rFonts w:hint="eastAsia" w:ascii="Times New Roman" w:hAnsi="Times New Roman" w:cs="仿宋_GB2312"/>
          <w:b/>
          <w:bCs/>
          <w:sz w:val="32"/>
        </w:rPr>
        <w:t>跨季节储热低碳供热系统多时间尺度运行调控方法</w:t>
      </w:r>
    </w:p>
    <w:p>
      <w:pPr>
        <w:spacing w:line="560" w:lineRule="exact"/>
        <w:ind w:firstLine="640" w:firstLineChars="200"/>
        <w:outlineLvl w:val="1"/>
        <w:rPr>
          <w:rFonts w:ascii="Times New Roman" w:hAnsi="Times New Roman" w:cs="仿宋_GB2312"/>
          <w:sz w:val="32"/>
        </w:rPr>
      </w:pPr>
      <w:r>
        <w:rPr>
          <w:rFonts w:hint="eastAsia" w:ascii="Times New Roman" w:hAnsi="Times New Roman" w:cs="仿宋_GB2312"/>
          <w:sz w:val="32"/>
        </w:rPr>
        <w:t>分析跨季节储热-供热系统不同时间尺度的动态响应特性，提出含季节级长周期、日/小时级蓄放热优化调度策略及分层控制方法，实现系统预前能量调度与系统实时控制的协调统一。</w:t>
      </w:r>
    </w:p>
    <w:p>
      <w:pPr>
        <w:spacing w:line="560" w:lineRule="exact"/>
        <w:ind w:firstLine="643" w:firstLineChars="200"/>
        <w:outlineLvl w:val="1"/>
        <w:rPr>
          <w:rFonts w:ascii="Times New Roman" w:hAnsi="Times New Roman" w:cs="仿宋_GB2312"/>
          <w:b/>
          <w:bCs/>
          <w:sz w:val="32"/>
        </w:rPr>
      </w:pPr>
      <w:r>
        <w:rPr>
          <w:rFonts w:hint="eastAsia" w:ascii="Times New Roman" w:hAnsi="Times New Roman" w:cs="仿宋_GB2312"/>
          <w:b/>
          <w:bCs/>
          <w:sz w:val="32"/>
        </w:rPr>
        <w:t>5.</w:t>
      </w:r>
      <w:r>
        <w:rPr>
          <w:rFonts w:hint="eastAsia" w:cs="仿宋_GB2312"/>
          <w:b/>
          <w:bCs/>
          <w:sz w:val="32"/>
          <w:lang w:val="en-US" w:eastAsia="zh-CN"/>
        </w:rPr>
        <w:t xml:space="preserve"> </w:t>
      </w:r>
      <w:r>
        <w:rPr>
          <w:rFonts w:hint="eastAsia" w:ascii="Times New Roman" w:hAnsi="Times New Roman" w:cs="仿宋_GB2312"/>
          <w:b/>
          <w:bCs/>
          <w:sz w:val="32"/>
        </w:rPr>
        <w:t>跨季节储热多能耦合低碳供热技术集成方法</w:t>
      </w:r>
    </w:p>
    <w:p>
      <w:pPr>
        <w:spacing w:line="560" w:lineRule="exact"/>
        <w:ind w:firstLine="640" w:firstLineChars="200"/>
        <w:outlineLvl w:val="1"/>
        <w:rPr>
          <w:rFonts w:ascii="Times New Roman" w:hAnsi="Times New Roman" w:cs="仿宋_GB2312"/>
          <w:sz w:val="32"/>
        </w:rPr>
      </w:pPr>
      <w:r>
        <w:rPr>
          <w:rFonts w:hint="eastAsia" w:ascii="Times New Roman" w:hAnsi="Times New Roman" w:cs="仿宋_GB2312"/>
          <w:sz w:val="32"/>
        </w:rPr>
        <w:t>构建跨季节储热多能耦合低碳供热系统模式体系与</w:t>
      </w:r>
      <w:r>
        <w:rPr>
          <w:rFonts w:ascii="Times New Roman" w:hAnsi="Times New Roman" w:cs="仿宋_GB2312"/>
          <w:sz w:val="32"/>
        </w:rPr>
        <w:t>技术</w:t>
      </w:r>
      <w:r>
        <w:rPr>
          <w:rFonts w:hint="eastAsia" w:ascii="Times New Roman" w:hAnsi="Times New Roman" w:cs="仿宋_GB2312"/>
          <w:sz w:val="32"/>
        </w:rPr>
        <w:t>集成总体思路，提出太阳能集热、跨季节长周期储热与多源互补耦合供热的协同优化模型，构建以太阳能集热为主导、多能源互补协同、</w:t>
      </w:r>
      <w:r>
        <w:rPr>
          <w:rFonts w:ascii="Times New Roman" w:hAnsi="Times New Roman" w:cs="仿宋_GB2312"/>
          <w:sz w:val="32"/>
        </w:rPr>
        <w:t>跨季节</w:t>
      </w:r>
      <w:r>
        <w:rPr>
          <w:rFonts w:hint="eastAsia" w:ascii="Times New Roman" w:hAnsi="Times New Roman" w:cs="仿宋_GB2312"/>
          <w:sz w:val="32"/>
        </w:rPr>
        <w:t>储热为枢纽的技术集成优化方法体系。</w:t>
      </w:r>
    </w:p>
    <w:p>
      <w:pPr>
        <w:spacing w:line="560" w:lineRule="exact"/>
        <w:ind w:firstLine="643" w:firstLineChars="200"/>
        <w:outlineLvl w:val="1"/>
        <w:rPr>
          <w:rFonts w:ascii="Times New Roman" w:hAnsi="Times New Roman" w:cs="仿宋_GB2312"/>
          <w:b/>
          <w:bCs/>
          <w:sz w:val="32"/>
        </w:rPr>
      </w:pPr>
      <w:r>
        <w:rPr>
          <w:rFonts w:hint="eastAsia" w:ascii="Times New Roman" w:hAnsi="Times New Roman" w:cs="仿宋_GB2312"/>
          <w:b/>
          <w:bCs/>
          <w:sz w:val="32"/>
        </w:rPr>
        <w:t>6.</w:t>
      </w:r>
      <w:r>
        <w:rPr>
          <w:rFonts w:hint="eastAsia" w:cs="仿宋_GB2312"/>
          <w:b/>
          <w:bCs/>
          <w:sz w:val="32"/>
          <w:lang w:val="en-US" w:eastAsia="zh-CN"/>
        </w:rPr>
        <w:t xml:space="preserve"> </w:t>
      </w:r>
      <w:r>
        <w:rPr>
          <w:rFonts w:hint="eastAsia" w:ascii="Times New Roman" w:hAnsi="Times New Roman" w:cs="仿宋_GB2312"/>
          <w:b/>
          <w:bCs/>
          <w:sz w:val="32"/>
        </w:rPr>
        <w:t>新疆地区跨季节储热多能耦合低碳供热示范工程</w:t>
      </w:r>
    </w:p>
    <w:p>
      <w:pPr>
        <w:spacing w:line="560" w:lineRule="exact"/>
        <w:ind w:firstLine="640" w:firstLineChars="200"/>
        <w:outlineLvl w:val="1"/>
        <w:rPr>
          <w:rFonts w:ascii="Times New Roman" w:hAnsi="Times New Roman" w:cs="仿宋_GB2312"/>
          <w:sz w:val="32"/>
        </w:rPr>
      </w:pPr>
      <w:r>
        <w:rPr>
          <w:rFonts w:ascii="Times New Roman" w:hAnsi="Times New Roman" w:cs="仿宋_GB2312"/>
          <w:sz w:val="32"/>
        </w:rPr>
        <w:t>选择</w:t>
      </w:r>
      <w:r>
        <w:rPr>
          <w:rFonts w:hint="eastAsia" w:ascii="Times New Roman" w:hAnsi="Times New Roman" w:cs="仿宋_GB2312"/>
          <w:sz w:val="32"/>
        </w:rPr>
        <w:t>新疆地区</w:t>
      </w:r>
      <w:r>
        <w:rPr>
          <w:rFonts w:ascii="Times New Roman" w:hAnsi="Times New Roman" w:cs="仿宋_GB2312"/>
          <w:sz w:val="32"/>
        </w:rPr>
        <w:t>具有代表性的典型</w:t>
      </w:r>
      <w:r>
        <w:rPr>
          <w:rFonts w:hint="eastAsia" w:ascii="Times New Roman" w:hAnsi="Times New Roman" w:cs="仿宋_GB2312"/>
          <w:sz w:val="32"/>
        </w:rPr>
        <w:t>乡镇或县城</w:t>
      </w:r>
      <w:r>
        <w:rPr>
          <w:rFonts w:ascii="Times New Roman" w:hAnsi="Times New Roman" w:cs="仿宋_GB2312"/>
          <w:sz w:val="32"/>
        </w:rPr>
        <w:t>区域,</w:t>
      </w:r>
      <w:r>
        <w:rPr>
          <w:rFonts w:hint="eastAsia" w:ascii="Times New Roman" w:hAnsi="Times New Roman" w:cs="仿宋_GB2312"/>
          <w:sz w:val="32"/>
        </w:rPr>
        <w:t>建设跨季节储热多能耦合低碳供热示范工程</w:t>
      </w:r>
      <w:r>
        <w:rPr>
          <w:rFonts w:ascii="Times New Roman" w:hAnsi="Times New Roman" w:cs="仿宋_GB2312"/>
          <w:sz w:val="32"/>
        </w:rPr>
        <w:t>，通过</w:t>
      </w:r>
      <w:r>
        <w:rPr>
          <w:rFonts w:hint="eastAsia" w:ascii="Times New Roman" w:hAnsi="Times New Roman" w:cs="仿宋_GB2312"/>
          <w:sz w:val="32"/>
        </w:rPr>
        <w:t>长周期系统</w:t>
      </w:r>
      <w:r>
        <w:rPr>
          <w:rFonts w:ascii="Times New Roman" w:hAnsi="Times New Roman" w:cs="仿宋_GB2312"/>
          <w:sz w:val="32"/>
        </w:rPr>
        <w:t>运行特性、能效水平</w:t>
      </w:r>
      <w:r>
        <w:rPr>
          <w:rFonts w:hint="eastAsia" w:ascii="Times New Roman" w:hAnsi="Times New Roman" w:cs="仿宋_GB2312"/>
          <w:sz w:val="32"/>
        </w:rPr>
        <w:t>及</w:t>
      </w:r>
      <w:r>
        <w:rPr>
          <w:rFonts w:ascii="Times New Roman" w:hAnsi="Times New Roman" w:cs="仿宋_GB2312"/>
          <w:sz w:val="32"/>
        </w:rPr>
        <w:t>碳减排效果的</w:t>
      </w:r>
      <w:r>
        <w:rPr>
          <w:rFonts w:hint="eastAsia" w:ascii="Times New Roman" w:hAnsi="Times New Roman" w:cs="仿宋_GB2312"/>
          <w:sz w:val="32"/>
        </w:rPr>
        <w:t>数据</w:t>
      </w:r>
      <w:r>
        <w:rPr>
          <w:rFonts w:ascii="Times New Roman" w:hAnsi="Times New Roman" w:cs="仿宋_GB2312"/>
          <w:sz w:val="32"/>
        </w:rPr>
        <w:t>监测与分析，验证</w:t>
      </w:r>
      <w:r>
        <w:rPr>
          <w:rFonts w:hint="eastAsia" w:ascii="Times New Roman" w:hAnsi="Times New Roman" w:cs="仿宋_GB2312"/>
          <w:sz w:val="32"/>
        </w:rPr>
        <w:t>所构建跨季节储热多能耦合供热可靠性、经济性，为丝路沿线同类气候区技术推广提供理论方法与实践支撑</w:t>
      </w:r>
      <w:r>
        <w:rPr>
          <w:rFonts w:ascii="Times New Roman" w:hAnsi="Times New Roman" w:cs="仿宋_GB2312"/>
          <w:sz w:val="32"/>
        </w:rPr>
        <w:t>。</w:t>
      </w:r>
    </w:p>
    <w:p>
      <w:pPr>
        <w:spacing w:line="560" w:lineRule="exact"/>
        <w:ind w:firstLine="640" w:firstLineChars="200"/>
        <w:jc w:val="left"/>
        <w:outlineLvl w:val="1"/>
        <w:rPr>
          <w:rFonts w:ascii="黑体" w:hAnsi="黑体" w:eastAsia="黑体" w:cs="黑体"/>
        </w:rPr>
      </w:pPr>
      <w:r>
        <w:rPr>
          <w:rFonts w:hint="eastAsia" w:ascii="黑体" w:hAnsi="黑体" w:eastAsia="黑体" w:cs="黑体"/>
        </w:rPr>
        <w:t>三、技术指标</w:t>
      </w:r>
    </w:p>
    <w:p>
      <w:pPr>
        <w:spacing w:line="560" w:lineRule="exact"/>
        <w:ind w:firstLine="640" w:firstLineChars="200"/>
        <w:outlineLvl w:val="1"/>
      </w:pPr>
      <w:r>
        <w:rPr>
          <w:rFonts w:hint="eastAsia"/>
        </w:rPr>
        <w:t>1.</w:t>
      </w:r>
      <w:r>
        <w:t xml:space="preserve"> </w:t>
      </w:r>
      <w:r>
        <w:rPr>
          <w:rFonts w:hint="eastAsia"/>
        </w:rPr>
        <w:t>针对跨季节长周期储热水体热损失大、水体四周易渗漏的技术挑战，提出储热水体多层级、高性能保温、抗紫外老化的一体化技术，实现储热水体热损失≤20%。针对储热水体内部流动、热传导引起的温度掺混热低效问题，研制低流速、高效布水器新装置，研发储热水体定向高效分层蓄取热技术，蓄取热效率≥80%。</w:t>
      </w:r>
    </w:p>
    <w:p>
      <w:pPr>
        <w:spacing w:line="560" w:lineRule="exact"/>
        <w:ind w:firstLine="640" w:firstLineChars="200"/>
        <w:outlineLvl w:val="1"/>
      </w:pPr>
      <w:r>
        <w:t>2</w:t>
      </w:r>
      <w:r>
        <w:rPr>
          <w:rFonts w:hint="eastAsia"/>
        </w:rPr>
        <w:t>.</w:t>
      </w:r>
      <w:r>
        <w:t xml:space="preserve"> </w:t>
      </w:r>
      <w:r>
        <w:rPr>
          <w:rFonts w:hint="eastAsia"/>
        </w:rPr>
        <w:t>揭示规模化太阳能集热场非均匀工质流动特性，揭示内部流动与传热过程的演变规律，提出大规模集热场均匀平衡热收集新技术，平均集热效率≥45%、系统不平衡率＜10%。研究太阳能大波动集热、燃气锅炉稳定出力特征，提出太阳能集热蓄热、燃气锅炉补热新系统形式，构建组合互补低碳热源新技术。</w:t>
      </w:r>
    </w:p>
    <w:p>
      <w:pPr>
        <w:spacing w:line="560" w:lineRule="exact"/>
        <w:ind w:firstLine="640" w:firstLineChars="200"/>
        <w:outlineLvl w:val="1"/>
      </w:pPr>
      <w:r>
        <w:t xml:space="preserve">3. </w:t>
      </w:r>
      <w:r>
        <w:rPr>
          <w:rFonts w:hint="eastAsia"/>
        </w:rPr>
        <w:t>构建丝路沿线地区跨季节储热低碳清洁供热优化设计方法与推广模式，形成太阳能、天然气等多能互补热源系统设计方法、跨季节储热水体结构设计与运行优化方法、低碳清洁供热输配管网及换热系统优化设计方法及新疆跨季节储热低碳清洁供热方案体系及推广模式。</w:t>
      </w:r>
    </w:p>
    <w:p>
      <w:pPr>
        <w:spacing w:line="560" w:lineRule="exact"/>
        <w:ind w:firstLine="640" w:firstLineChars="200"/>
        <w:outlineLvl w:val="1"/>
        <w:rPr>
          <w:rFonts w:hint="eastAsia" w:eastAsia="仿宋_GB2312"/>
          <w:lang w:eastAsia="zh-CN"/>
        </w:rPr>
      </w:pPr>
      <w:r>
        <w:t>4</w:t>
      </w:r>
      <w:r>
        <w:rPr>
          <w:rFonts w:hint="eastAsia"/>
        </w:rPr>
        <w:t>.</w:t>
      </w:r>
      <w:r>
        <w:t xml:space="preserve"> </w:t>
      </w:r>
      <w:r>
        <w:rPr>
          <w:rFonts w:hint="eastAsia"/>
        </w:rPr>
        <w:t>成体系形成技术成果及知识产权成果，申请发明专利不少于3项，发表高水平论文不少于</w:t>
      </w:r>
      <w:r>
        <w:t>8</w:t>
      </w:r>
      <w:r>
        <w:rPr>
          <w:rFonts w:hint="eastAsia"/>
        </w:rPr>
        <w:t>篇，编写技术导则、指南或标准1部</w:t>
      </w:r>
      <w:r>
        <w:rPr>
          <w:rFonts w:hint="eastAsia"/>
          <w:lang w:eastAsia="zh-CN"/>
        </w:rPr>
        <w:t>。</w:t>
      </w:r>
      <w:bookmarkStart w:id="1" w:name="_GoBack"/>
      <w:bookmarkEnd w:id="1"/>
    </w:p>
    <w:p>
      <w:pPr>
        <w:spacing w:line="560" w:lineRule="exact"/>
        <w:ind w:firstLine="640" w:firstLineChars="200"/>
        <w:outlineLvl w:val="1"/>
      </w:pPr>
      <w:r>
        <w:t>5</w:t>
      </w:r>
      <w:r>
        <w:rPr>
          <w:rFonts w:hint="eastAsia"/>
        </w:rPr>
        <w:t>.</w:t>
      </w:r>
      <w:r>
        <w:t xml:space="preserve"> </w:t>
      </w:r>
      <w:r>
        <w:rPr>
          <w:rFonts w:hint="eastAsia"/>
        </w:rPr>
        <w:t>在新疆地区开展跨季节储热低碳供热工程示范1项，储热量不低于</w:t>
      </w:r>
      <w:r>
        <w:t>500</w:t>
      </w:r>
      <w:r>
        <w:rPr>
          <w:rFonts w:hint="eastAsia"/>
        </w:rPr>
        <w:t>GJ，辐射带动清洁供暖、新能源产业水平整体提升，依托技术集成示范工程建设培养新疆本土太阳能集中供热、跨季节储热、多能互补低碳供热等方向的技术骨干不少于10名、硕士研究生不少于3名、博士研究生不少于1名。</w:t>
      </w:r>
    </w:p>
    <w:p>
      <w:pPr>
        <w:spacing w:line="560" w:lineRule="exact"/>
        <w:ind w:firstLine="640" w:firstLineChars="200"/>
        <w:jc w:val="left"/>
        <w:outlineLvl w:val="1"/>
        <w:rPr>
          <w:rFonts w:ascii="黑体" w:hAnsi="黑体" w:eastAsia="黑体" w:cs="黑体"/>
        </w:rPr>
      </w:pPr>
      <w:r>
        <w:rPr>
          <w:rFonts w:hint="eastAsia" w:ascii="黑体" w:hAnsi="黑体" w:eastAsia="黑体" w:cs="黑体"/>
        </w:rPr>
        <w:t>四、交付条件</w:t>
      </w:r>
    </w:p>
    <w:p>
      <w:pPr>
        <w:spacing w:line="560" w:lineRule="exact"/>
        <w:ind w:firstLine="640" w:firstLineChars="200"/>
        <w:outlineLvl w:val="1"/>
        <w:rPr>
          <w:rFonts w:ascii="仿宋_GB2312" w:hAnsi="仿宋_GB2312" w:cs="仿宋_GB2312"/>
        </w:rPr>
      </w:pPr>
      <w:r>
        <w:rPr>
          <w:rFonts w:hint="eastAsia" w:ascii="仿宋_GB2312" w:hAnsi="仿宋_GB2312" w:cs="仿宋_GB2312"/>
        </w:rPr>
        <w:t>以上述任务列出的技术指标和成果形式作为验收的主要依据。学术论文应公开发表；申请发明专利应取得受理通知书；研究报告应通过技术专家联合评审；示范工程应实际投入使用。</w:t>
      </w:r>
    </w:p>
    <w:p>
      <w:pPr>
        <w:spacing w:line="560" w:lineRule="exact"/>
        <w:ind w:firstLine="640" w:firstLineChars="200"/>
        <w:jc w:val="left"/>
        <w:outlineLvl w:val="1"/>
        <w:rPr>
          <w:rFonts w:ascii="黑体" w:hAnsi="黑体" w:eastAsia="黑体" w:cs="黑体"/>
        </w:rPr>
      </w:pPr>
      <w:r>
        <w:rPr>
          <w:rFonts w:hint="eastAsia" w:ascii="黑体" w:hAnsi="黑体" w:eastAsia="黑体" w:cs="黑体"/>
        </w:rPr>
        <w:t>五、项目实施周期及揭榜金额</w:t>
      </w:r>
    </w:p>
    <w:p>
      <w:pPr>
        <w:spacing w:line="560" w:lineRule="exact"/>
        <w:ind w:firstLine="640" w:firstLineChars="200"/>
        <w:rPr>
          <w:rFonts w:ascii="仿宋_GB2312" w:hAnsi="仿宋_GB2312" w:cs="仿宋_GB2312"/>
          <w:b/>
          <w:bCs/>
        </w:rPr>
      </w:pPr>
      <w:r>
        <w:rPr>
          <w:rFonts w:hint="eastAsia" w:ascii="仿宋_GB2312" w:hAnsi="仿宋_GB2312" w:cs="仿宋_GB2312"/>
        </w:rPr>
        <w:t>项目实施周期为</w:t>
      </w:r>
      <w:r>
        <w:t>3</w:t>
      </w:r>
      <w:r>
        <w:rPr>
          <w:rFonts w:hint="eastAsia" w:ascii="仿宋_GB2312" w:hAnsi="仿宋_GB2312" w:cs="仿宋_GB2312"/>
        </w:rPr>
        <w:t>年；揭榜金额不超过</w:t>
      </w:r>
      <w:r>
        <w:rPr>
          <w:rFonts w:hint="eastAsia"/>
          <w:highlight w:val="none"/>
          <w:lang w:val="en-US" w:eastAsia="zh-CN"/>
        </w:rPr>
        <w:t>1000</w:t>
      </w:r>
      <w:r>
        <w:rPr>
          <w:rFonts w:hint="eastAsia" w:ascii="仿宋_GB2312" w:hAnsi="仿宋_GB2312" w:cs="仿宋_GB2312"/>
        </w:rPr>
        <w:t>万元。</w:t>
      </w:r>
    </w:p>
    <w:p>
      <w:pPr>
        <w:spacing w:line="560" w:lineRule="exact"/>
        <w:ind w:firstLine="640" w:firstLineChars="200"/>
        <w:jc w:val="left"/>
        <w:outlineLvl w:val="1"/>
        <w:rPr>
          <w:rFonts w:ascii="黑体" w:hAnsi="黑体" w:eastAsia="黑体" w:cs="黑体"/>
        </w:rPr>
      </w:pPr>
      <w:r>
        <w:rPr>
          <w:rFonts w:hint="eastAsia" w:ascii="黑体" w:hAnsi="黑体" w:eastAsia="黑体" w:cs="黑体"/>
        </w:rPr>
        <w:t>六、对揭榜方要求</w:t>
      </w:r>
    </w:p>
    <w:p>
      <w:pPr>
        <w:spacing w:line="560" w:lineRule="exact"/>
        <w:ind w:firstLine="640" w:firstLineChars="200"/>
        <w:rPr>
          <w:rFonts w:ascii="仿宋_GB2312" w:hAnsi="仿宋_GB2312" w:cs="仿宋_GB2312"/>
        </w:rPr>
      </w:pPr>
      <w:r>
        <w:rPr>
          <w:rFonts w:hint="eastAsia" w:ascii="仿宋_GB2312" w:hAnsi="仿宋_GB2312" w:cs="仿宋_GB2312"/>
        </w:rPr>
        <w:t>揭榜方应具有独立的研发团队、配套的科研条件和自主研发实力，能按要求完成揭榜任务，具体要求如下：</w:t>
      </w:r>
    </w:p>
    <w:p>
      <w:pPr>
        <w:spacing w:line="560" w:lineRule="exact"/>
        <w:ind w:firstLine="640" w:firstLineChars="200"/>
        <w:rPr>
          <w:rFonts w:ascii="仿宋_GB2312" w:hAnsi="仿宋_GB2312" w:cs="仿宋_GB2312"/>
        </w:rPr>
      </w:pPr>
      <w:r>
        <w:t>1</w:t>
      </w:r>
      <w:r>
        <w:rPr>
          <w:rFonts w:hint="eastAsia" w:ascii="仿宋_GB2312" w:hAnsi="仿宋_GB2312" w:cs="仿宋_GB2312"/>
        </w:rPr>
        <w:t>.揭榜方应为有能力解决榜单任务的高校、科研院所、企业等独立法人实体或独立法人联合体。揭榜方应主要从事新能源利用、清洁低碳供热、储热技术等领域研究；</w:t>
      </w:r>
      <w:bookmarkStart w:id="0" w:name="OLE_LINK4"/>
      <w:r>
        <w:rPr>
          <w:rFonts w:hint="eastAsia" w:ascii="仿宋_GB2312" w:hAnsi="仿宋_GB2312" w:cs="仿宋_GB2312"/>
        </w:rPr>
        <w:t>鼓励产学研合作，组团揭榜攻关。</w:t>
      </w:r>
    </w:p>
    <w:bookmarkEnd w:id="0"/>
    <w:p>
      <w:pPr>
        <w:spacing w:line="560" w:lineRule="exact"/>
        <w:ind w:firstLine="640" w:firstLineChars="200"/>
        <w:rPr>
          <w:rFonts w:ascii="仿宋_GB2312" w:hAnsi="仿宋_GB2312" w:cs="仿宋_GB2312"/>
        </w:rPr>
      </w:pPr>
      <w:r>
        <w:t>2</w:t>
      </w:r>
      <w:r>
        <w:rPr>
          <w:rFonts w:hint="eastAsia" w:ascii="仿宋_GB2312" w:hAnsi="仿宋_GB2312" w:cs="仿宋_GB2312"/>
        </w:rPr>
        <w:t>.揭榜方应拥有绿色低碳建筑、低碳供热、可再生能源利用等方向省级及以上科技创新平台；鼓励国家级科研平台团队申报。</w:t>
      </w:r>
    </w:p>
    <w:p>
      <w:pPr>
        <w:spacing w:line="560" w:lineRule="exact"/>
        <w:ind w:firstLine="640" w:firstLineChars="200"/>
        <w:outlineLvl w:val="1"/>
      </w:pPr>
      <w:r>
        <w:t>3</w:t>
      </w:r>
      <w:r>
        <w:rPr>
          <w:rFonts w:hint="eastAsia" w:ascii="仿宋_GB2312" w:hAnsi="仿宋_GB2312" w:cs="仿宋_GB2312"/>
        </w:rPr>
        <w:t>.揭榜方专家团队须具有丰富的低碳供热、储热领域科学研究与工程实践经验，且主持过国家级或省级以上课题（项目），具备较强的组织协调能力和学术影响力，能够开展高水平科研技术攻关。</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A4285"/>
    <w:rsid w:val="652563EB"/>
    <w:rsid w:val="75FA4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仿宋_GB2312"/>
      <w:kern w:val="2"/>
      <w:sz w:val="18"/>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2025-11-06T02:51:00Z</dcterms:created>
  <dc:creator>admin</dc:creator>
  <cp:lastModifiedBy>admin</cp:lastModifiedBy>
  <dcterms:modified xsi:type="dcterms:W3CDTF">2025-11-06T03:21:38Z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