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spacing w:line="540" w:lineRule="exact"/>
        <w:jc w:val="left"/>
        <w:rPr>
          <w:rFonts w:ascii="仿宋" w:eastAsia="仿宋" w:hAnsi="仿宋" w:cs="宋体"/>
          <w:kern w:val="0"/>
          <w:sz w:val="32"/>
          <w:szCs w:val="32"/>
        </w:rPr>
      </w:pPr>
      <w:bookmarkStart w:id="0" w:name="_GoBack"/>
      <w:bookmarkEnd w:id="0"/>
      <w:r>
        <w:rPr>
          <w:rFonts w:ascii="仿宋" w:eastAsia="仿宋" w:hAnsi="仿宋" w:cs="宋体" w:hint="eastAsia"/>
          <w:kern w:val="0"/>
          <w:sz w:val="32"/>
          <w:szCs w:val="32"/>
        </w:rPr>
        <w:t xml:space="preserve">附件</w:t>
      </w:r>
      <w:r>
        <w:rPr>
          <w:rFonts w:eastAsia="仿宋"/>
          <w:kern w:val="0"/>
          <w:sz w:val="32"/>
          <w:szCs w:val="32"/>
        </w:rPr>
        <w:t xml:space="preserve">2</w:t>
      </w:r>
      <w:r>
        <w:rPr>
          <w:rFonts w:ascii="仿宋" w:eastAsia="仿宋" w:hAnsi="仿宋" w:cs="宋体" w:hint="eastAsia"/>
          <w:kern w:val="0"/>
          <w:sz w:val="32"/>
          <w:szCs w:val="32"/>
        </w:rPr>
        <w:t xml:space="preserve">：</w:t>
      </w: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60" w:lineRule="exact"/>
        <w:jc w:val="center"/>
        <w:rPr>
          <w:rFonts w:ascii="方正小标宋_GBK" w:eastAsia="方正小标宋_GBK" w:hAnsi="华文中宋" w:cs="宋体"/>
          <w:b/>
          <w:kern w:val="0"/>
          <w:sz w:val="52"/>
          <w:szCs w:val="52"/>
        </w:rPr>
      </w:pPr>
      <w:r>
        <w:rPr>
          <w:rFonts w:ascii="方正小标宋_GBK" w:eastAsia="方正小标宋_GBK" w:hAnsi="华文中宋" w:cs="宋体" w:hint="eastAsia"/>
          <w:b/>
          <w:kern w:val="0"/>
          <w:sz w:val="52"/>
          <w:szCs w:val="52"/>
        </w:rPr>
        <w:t xml:space="preserve">项目支出绩效自评报告</w:t>
      </w:r>
    </w:p>
    <w:p>
      <w:pPr>
        <w:spacing w:line="540" w:lineRule="exact"/>
        <w:jc w:val="center"/>
        <w:rPr>
          <w:rFonts w:ascii="华文中宋" w:eastAsia="华文中宋" w:hAnsi="华文中宋" w:cs="宋体"/>
          <w:b/>
          <w:kern w:val="0"/>
          <w:sz w:val="52"/>
          <w:szCs w:val="52"/>
        </w:rPr>
      </w:pPr>
    </w:p>
    <w:p>
      <w:pPr>
        <w:spacing w:line="540" w:lineRule="exact"/>
        <w:jc w:val="center"/>
        <w:rPr>
          <w:rFonts w:eastAsia="仿宋_GB2312" w:hAnsi="宋体" w:cs="宋体"/>
          <w:kern w:val="0"/>
          <w:sz w:val="36"/>
          <w:szCs w:val="36"/>
        </w:rPr>
      </w:pPr>
      <w:r>
        <w:rPr>
          <w:rFonts w:eastAsia="仿宋_GB2312" w:hAnsi="宋体" w:cs="宋体" w:hint="eastAsia"/>
          <w:kern w:val="0"/>
          <w:sz w:val="36"/>
          <w:szCs w:val="36"/>
        </w:rPr>
        <w:t xml:space="preserve">（   </w:t>
      </w:r>
      <w:r>
        <w:rPr>
          <w:rStyle w:val="Strong"/>
          <w:rFonts w:eastAsia="楷体"/>
          <w:spacing w:val="-4"/>
          <w:sz w:val="32"/>
          <w:szCs w:val="32"/>
        </w:rPr>
        <w:t xml:space="preserve">2024</w:t>
      </w:r>
      <w:r>
        <w:rPr>
          <w:rFonts w:eastAsia="仿宋_GB2312" w:hAnsi="宋体" w:cs="宋体" w:hint="eastAsia"/>
          <w:kern w:val="0"/>
          <w:sz w:val="36"/>
          <w:szCs w:val="36"/>
        </w:rPr>
        <w:t xml:space="preserve">  年度）</w:t>
      </w: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rPr>
          <w:rFonts w:eastAsia="仿宋_GB2312" w:hAnsi="宋体" w:cs="宋体"/>
          <w:kern w:val="0"/>
          <w:sz w:val="30"/>
          <w:szCs w:val="30"/>
        </w:rPr>
      </w:pPr>
    </w:p>
    <w:p>
      <w:pPr>
        <w:spacing w:line="700" w:lineRule="exact"/>
        <w:jc w:val="left"/>
        <w:rPr>
          <w:rFonts w:eastAsia="仿宋_GB2312" w:hAnsi="宋体" w:cs="宋体"/>
          <w:kern w:val="0"/>
          <w:sz w:val="36"/>
          <w:szCs w:val="36"/>
        </w:rPr>
      </w:pPr>
      <w:r>
        <w:rPr>
          <w:rFonts w:eastAsia="仿宋_GB2312" w:hAnsi="宋体" w:cs="宋体" w:hint="eastAsia"/>
          <w:kern w:val="0"/>
          <w:sz w:val="36"/>
          <w:szCs w:val="36"/>
        </w:rPr>
        <w:t xml:space="preserve">     </w:t>
      </w:r>
    </w:p>
    <w:p>
      <w:pPr>
        <w:spacing w:line="700" w:lineRule="exact"/>
        <w:ind w:firstLine="900" w:firstLineChars="250"/>
        <w:jc w:val="left"/>
        <w:rPr>
          <w:rFonts w:eastAsia="仿宋_GB2312" w:hAnsi="宋体" w:cs="宋体"/>
          <w:kern w:val="0"/>
          <w:sz w:val="36"/>
          <w:szCs w:val="36"/>
        </w:rPr>
      </w:pPr>
      <w:r>
        <w:rPr>
          <w:rFonts w:eastAsia="仿宋_GB2312" w:hAnsi="宋体" w:cs="宋体" w:hint="eastAsia"/>
          <w:kern w:val="0"/>
          <w:sz w:val="36"/>
          <w:szCs w:val="36"/>
        </w:rPr>
        <w:t xml:space="preserve">项目名称：</w:t>
      </w:r>
      <w:r>
        <w:rPr>
          <w:rStyle w:val="Strong"/>
          <w:rFonts w:ascii="楷体" w:eastAsia="楷体" w:hAnsi="楷体" w:hint="eastAsia"/>
          <w:spacing w:val="-4"/>
          <w:sz w:val="32"/>
          <w:szCs w:val="32"/>
        </w:rPr>
        <w:t xml:space="preserve">实训室设备购置项目（其他资金）</w:t>
      </w:r>
    </w:p>
    <w:p>
      <w:pPr>
        <w:spacing w:line="540" w:lineRule="exact"/>
        <w:ind w:firstLine="567"/>
        <w:rPr>
          <w:rFonts w:ascii="楷体" w:eastAsia="楷体" w:hAnsi="楷体"/>
          <w:b/>
          <w:bCs/>
          <w:spacing w:val="-4"/>
          <w:sz w:val="32"/>
          <w:szCs w:val="32"/>
        </w:rPr>
      </w:pPr>
      <w:r>
        <w:rPr>
          <w:rFonts w:eastAsia="仿宋_GB2312" w:hAnsi="宋体" w:cs="宋体" w:hint="eastAsia"/>
          <w:kern w:val="0"/>
          <w:sz w:val="36"/>
          <w:szCs w:val="36"/>
        </w:rPr>
        <w:t xml:space="preserve">  实施单位（公章）：</w:t>
      </w:r>
      <w:r>
        <w:rPr>
          <w:rStyle w:val="Strong"/>
          <w:rFonts w:ascii="楷体" w:eastAsia="楷体" w:hAnsi="楷体" w:hint="eastAsia"/>
          <w:spacing w:val="-4"/>
          <w:sz w:val="28"/>
          <w:szCs w:val="28"/>
        </w:rPr>
        <w:t xml:space="preserve">乌鲁木齐技师学院</w:t>
      </w:r>
    </w:p>
    <w:p>
      <w:pPr>
        <w:spacing w:line="540" w:lineRule="exact"/>
        <w:ind w:firstLine="900" w:firstLineChars="250"/>
        <w:rPr>
          <w:rFonts w:ascii="楷体" w:eastAsia="楷体" w:hAnsi="楷体"/>
          <w:b/>
          <w:bCs/>
          <w:spacing w:val="-4"/>
          <w:sz w:val="28"/>
          <w:szCs w:val="28"/>
        </w:rPr>
      </w:pPr>
      <w:r>
        <w:rPr>
          <w:rFonts w:eastAsia="仿宋_GB2312" w:hAnsi="宋体" w:cs="宋体" w:hint="eastAsia"/>
          <w:kern w:val="0"/>
          <w:sz w:val="36"/>
          <w:szCs w:val="36"/>
        </w:rPr>
        <w:t xml:space="preserve">主管部门（公章）：</w:t>
      </w:r>
      <w:r>
        <w:rPr>
          <w:rStyle w:val="Strong"/>
          <w:rFonts w:ascii="楷体" w:eastAsia="楷体" w:hAnsi="楷体" w:hint="eastAsia"/>
          <w:spacing w:val="-4"/>
          <w:sz w:val="28"/>
          <w:szCs w:val="28"/>
        </w:rPr>
        <w:t xml:space="preserve">乌鲁木齐技师学院</w:t>
      </w:r>
    </w:p>
    <w:p>
      <w:pPr>
        <w:spacing w:line="540" w:lineRule="exact"/>
        <w:ind w:firstLine="900" w:firstLineChars="250"/>
        <w:rPr>
          <w:rFonts w:ascii="楷体" w:eastAsia="楷体" w:hAnsi="楷体"/>
          <w:b/>
          <w:bCs/>
          <w:spacing w:val="-4"/>
          <w:sz w:val="32"/>
          <w:szCs w:val="32"/>
        </w:rPr>
      </w:pPr>
      <w:r>
        <w:rPr>
          <w:rFonts w:eastAsia="仿宋_GB2312" w:hAnsi="宋体" w:cs="宋体" w:hint="eastAsia"/>
          <w:kern w:val="0"/>
          <w:sz w:val="36"/>
          <w:szCs w:val="36"/>
        </w:rPr>
        <w:t xml:space="preserve">项目负责人（签章）：</w:t>
      </w:r>
      <w:r>
        <w:rPr>
          <w:rStyle w:val="Strong"/>
          <w:rFonts w:ascii="楷体" w:eastAsia="楷体" w:hAnsi="楷体" w:hint="eastAsia"/>
          <w:spacing w:val="-4"/>
          <w:sz w:val="32"/>
          <w:szCs w:val="32"/>
        </w:rPr>
        <w:t xml:space="preserve">张咏梅</w:t>
      </w:r>
    </w:p>
    <w:p>
      <w:pPr>
        <w:spacing w:line="540" w:lineRule="exact"/>
        <w:ind w:left="273" w:firstLine="567"/>
        <w:rPr>
          <w:rStyle w:val="Strong"/>
          <w:rFonts w:ascii="楷体" w:eastAsia="楷体" w:hAnsi="楷体"/>
          <w:spacing w:val="-4"/>
          <w:sz w:val="32"/>
          <w:szCs w:val="32"/>
        </w:rPr>
      </w:pPr>
      <w:r>
        <w:rPr>
          <w:rFonts w:eastAsia="仿宋_GB2312" w:hAnsi="宋体" w:cs="宋体" w:hint="eastAsia"/>
          <w:kern w:val="0"/>
          <w:sz w:val="36"/>
          <w:szCs w:val="36"/>
        </w:rPr>
        <w:t xml:space="preserve">填报时间：</w:t>
      </w:r>
      <w:r>
        <w:rPr>
          <w:rStyle w:val="Strong"/>
          <w:rFonts w:eastAsia="楷体"/>
          <w:spacing w:val="-4"/>
          <w:sz w:val="32"/>
          <w:szCs w:val="32"/>
        </w:rPr>
        <w:t xml:space="preserve">2025年05月07日</w:t>
      </w:r>
    </w:p>
    <w:p>
      <w:pPr>
        <w:spacing w:line="700" w:lineRule="exact"/>
        <w:ind w:firstLine="708" w:firstLineChars="236"/>
        <w:jc w:val="left"/>
        <w:rPr>
          <w:rFonts w:eastAsia="仿宋_GB2312" w:hAnsi="宋体" w:cs="宋体"/>
          <w:kern w:val="0"/>
          <w:sz w:val="30"/>
          <w:szCs w:val="30"/>
        </w:rPr>
      </w:pPr>
    </w:p>
    <w:p>
      <w:pPr>
        <w:spacing w:line="540" w:lineRule="exact"/>
        <w:rPr>
          <w:rStyle w:val="Strong"/>
          <w:rFonts w:ascii="黑体" w:eastAsia="黑体" w:hAnsi="黑体"/>
          <w:b w:val="0"/>
          <w:spacing w:val="-4"/>
          <w:sz w:val="32"/>
          <w:szCs w:val="32"/>
        </w:rPr>
      </w:pPr>
    </w:p>
    <w:p>
      <w:pPr>
        <w:spacing w:line="540" w:lineRule="exact"/>
        <w:ind w:firstLine="640" w:firstLineChars="20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一、基本情况</w:t>
      </w:r>
    </w:p>
    <w:p>
      <w:pPr>
        <w:spacing w:line="540" w:lineRule="exact"/>
        <w:ind w:firstLine="640" w:firstLineChars="200"/>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（一）项目概况</w:t>
      </w:r>
    </w:p>
    <w:p>
      <w:pPr>
        <w:spacing w:line="540" w:lineRule="exact"/>
        <w:ind w:firstLine="640" w:firstLineChars="200"/>
        <w:rPr>
          <w:rStyle w:val="Strong"/>
          <w:rFonts w:eastAsia="楷体"/>
          <w:b w:val="0"/>
          <w:bCs w:val="0"/>
          <w:spacing w:val="-4"/>
          <w:sz w:val="32"/>
          <w:szCs w:val="32"/>
        </w:rPr>
      </w:pPr>
      <w:r>
        <w:rPr>
          <w:rStyle w:val="Strong"/>
          <w:rFonts w:eastAsia="楷体"/>
          <w:b w:val="0"/>
          <w:bCs w:val="0"/>
          <w:spacing w:val="-4"/>
          <w:sz w:val="32"/>
          <w:szCs w:val="32"/>
        </w:rPr>
        <w:t xml:space="preserve">（一）项目概况：</w:t>
      </w:r>
      <w:r>
        <w:cr/>
      </w:r>
      <w:r>
        <w:rPr>
          <w:rFonts w:eastAsia="楷体"/>
          <w:b w:val="0"/>
          <w:bCs w:val="0"/>
          <w:spacing w:val="-4"/>
          <w:sz w:val="32"/>
          <w:szCs w:val="32"/>
        </w:rPr>
        <w:br/>
      </w:r>
      <w:r>
        <w:rPr>
          <w:rStyle w:val="Strong"/>
          <w:rFonts w:eastAsia="楷体"/>
          <w:b w:val="0"/>
          <w:bCs w:val="0"/>
          <w:spacing w:val="-4"/>
          <w:sz w:val="32"/>
          <w:szCs w:val="32"/>
        </w:rPr>
        <w:t xml:space="preserve">1．项目背景、主要内容及实施情况</w:t>
      </w:r>
      <w:r>
        <w:cr/>
      </w:r>
      <w:r>
        <w:rPr>
          <w:rFonts w:eastAsia="楷体"/>
          <w:b w:val="0"/>
          <w:bCs w:val="0"/>
          <w:spacing w:val="-4"/>
          <w:sz w:val="32"/>
          <w:szCs w:val="32"/>
        </w:rPr>
        <w:br/>
      </w:r>
      <w:r>
        <w:rPr>
          <w:rStyle w:val="Strong"/>
          <w:rFonts w:eastAsia="楷体"/>
          <w:b w:val="0"/>
          <w:bCs w:val="0"/>
          <w:spacing w:val="-4"/>
          <w:sz w:val="32"/>
          <w:szCs w:val="32"/>
        </w:rPr>
        <w:t xml:space="preserve">该项目实施背景：为深入贯彻习近平总书记关于大力发展技工教育的重要指示精神和李克强总理关于办好技工院校的批示要求，进一步推动落实《关于印发新疆维吾尔自治区技工教育“十四五”规划的通知》(新人社发〔2022〕10号)及</w:t>
      </w:r>
      <w:r>
        <w:rPr>
          <w:rStyle w:val="Strong"/>
          <w:rFonts w:eastAsia="楷体"/>
          <w:b w:val="0"/>
          <w:bCs w:val="0"/>
          <w:spacing w:val="-4"/>
          <w:sz w:val="32"/>
          <w:szCs w:val="32"/>
        </w:rPr>
        <w:t xml:space="preserve">人力资源和社会保障</w:t>
      </w:r>
      <w:r>
        <w:rPr>
          <w:rStyle w:val="Strong"/>
          <w:rFonts w:eastAsia="楷体"/>
          <w:b w:val="0"/>
          <w:bCs w:val="0"/>
          <w:spacing w:val="-4"/>
          <w:sz w:val="32"/>
          <w:szCs w:val="32"/>
        </w:rPr>
        <w:t xml:space="preserve">部与新疆维吾尔自治区人民政府共同建设“技能新疆”框架协议，人社部职业能力建设司重点围绕支持乌鲁木齐技师学院建设，派出工作组于2021年12月6日—9日前往乌鲁木齐开展专项工作。工作组在通过专题会议、座谈和实地调研等方式，深入了解情况，听取各方意见和诉求后，明确表示将支持乌鲁木齐技师学院建设并提出了该院发展的定位和今后发展的规划，指出乌鲁木齐技师学院要进一步强化学校内涵建设：一是深化校企合作，按照校企双制、工学一体要求办学，实现八个共同。二是打造特色专业。乌鲁木齐技师学院专业设置要和产业发展密切结合，要和治疆方略密切结合。围绕乌鲁木齐市的未来五到十年发展规划，与产业发展相适应，以技工院校的发展引领产业发展；三是深化一体化教学改革，强化管理，规范办学，提高培养质量；四是加强师资队伍建设。重视技工院校师资队伍培养和培训，做好人才储备工作，为提档升级做好人才支撑；五是进一步加强学生职业素养的提升。注重德技并修、培养德智体美劳全面发展的高技能人才。     </w:t>
      </w:r>
      <w:r>
        <w:cr/>
      </w:r>
      <w:r>
        <w:rPr>
          <w:rFonts w:eastAsia="楷体"/>
          <w:b w:val="0"/>
          <w:bCs w:val="0"/>
          <w:spacing w:val="-4"/>
          <w:sz w:val="32"/>
          <w:szCs w:val="32"/>
        </w:rPr>
        <w:br/>
      </w:r>
      <w:r>
        <w:rPr>
          <w:rStyle w:val="Strong"/>
          <w:rFonts w:eastAsia="楷体"/>
          <w:b w:val="0"/>
          <w:bCs w:val="0"/>
          <w:spacing w:val="-4"/>
          <w:sz w:val="32"/>
          <w:szCs w:val="32"/>
        </w:rPr>
        <w:t xml:space="preserve">新疆维吾尔自治区及乌鲁木齐市党政领导都对技工教育发展和乌鲁木齐技师学院建设有很高的要求，明确指出要将乌鲁木齐技师学院建成全疆一流、西北领先、全国先进的技师学院。</w:t>
      </w:r>
      <w:r>
        <w:cr/>
      </w:r>
      <w:r>
        <w:rPr>
          <w:rFonts w:eastAsia="楷体"/>
          <w:b w:val="0"/>
          <w:bCs w:val="0"/>
          <w:spacing w:val="-4"/>
          <w:sz w:val="32"/>
          <w:szCs w:val="32"/>
        </w:rPr>
        <w:br/>
      </w:r>
      <w:r>
        <w:rPr>
          <w:rStyle w:val="Strong"/>
          <w:rFonts w:eastAsia="楷体"/>
          <w:b w:val="0"/>
          <w:bCs w:val="0"/>
          <w:spacing w:val="-4"/>
          <w:sz w:val="32"/>
          <w:szCs w:val="32"/>
        </w:rPr>
        <w:t xml:space="preserve">本项目正是在上述背景下提出来的，同时还有以下几个理由：</w:t>
      </w:r>
      <w:r>
        <w:cr/>
      </w:r>
      <w:r>
        <w:rPr>
          <w:rFonts w:eastAsia="楷体"/>
          <w:b w:val="0"/>
          <w:bCs w:val="0"/>
          <w:spacing w:val="-4"/>
          <w:sz w:val="32"/>
          <w:szCs w:val="32"/>
        </w:rPr>
        <w:br/>
      </w:r>
      <w:r>
        <w:rPr>
          <w:rStyle w:val="Strong"/>
          <w:rFonts w:eastAsia="楷体"/>
          <w:b w:val="0"/>
          <w:bCs w:val="0"/>
          <w:spacing w:val="-4"/>
          <w:sz w:val="32"/>
          <w:szCs w:val="32"/>
        </w:rPr>
        <w:t xml:space="preserve">根据技术技能型人才需求市场调查分析，随着我国经济和社会发展对技术技能型人才需求的不断增长，目前乌鲁木齐技师学院培养的技术技能型人才已满足不了乌鲁木齐市及全疆经济和社会发展的需求，急需进行软硬件改造和能力提升；</w:t>
      </w:r>
      <w:r>
        <w:cr/>
      </w:r>
      <w:r>
        <w:rPr>
          <w:rFonts w:eastAsia="楷体"/>
          <w:b w:val="0"/>
          <w:bCs w:val="0"/>
          <w:spacing w:val="-4"/>
          <w:sz w:val="32"/>
          <w:szCs w:val="32"/>
        </w:rPr>
        <w:br/>
      </w:r>
      <w:r>
        <w:rPr>
          <w:rStyle w:val="Strong"/>
          <w:rFonts w:eastAsia="楷体"/>
          <w:b w:val="0"/>
          <w:bCs w:val="0"/>
          <w:spacing w:val="-4"/>
          <w:sz w:val="32"/>
          <w:szCs w:val="32"/>
        </w:rPr>
        <w:t xml:space="preserve">（2）根据我国生育年龄阶段和企业未来对技术技能型人才需求的预测，职业教育将呈现持续良好的发展势头，项目建设是新疆乌鲁木齐职业技术教育未来发展的需要; </w:t>
      </w:r>
      <w:r>
        <w:cr/>
      </w:r>
      <w:r>
        <w:rPr>
          <w:rFonts w:eastAsia="楷体"/>
          <w:b w:val="0"/>
          <w:bCs w:val="0"/>
          <w:spacing w:val="-4"/>
          <w:sz w:val="32"/>
          <w:szCs w:val="32"/>
        </w:rPr>
        <w:br/>
      </w:r>
      <w:r>
        <w:rPr>
          <w:rStyle w:val="Strong"/>
          <w:rFonts w:eastAsia="楷体"/>
          <w:b w:val="0"/>
          <w:bCs w:val="0"/>
          <w:spacing w:val="-4"/>
          <w:sz w:val="32"/>
          <w:szCs w:val="32"/>
        </w:rPr>
        <w:t xml:space="preserve">十四五期间，乌鲁木齐市及周边地区迫切需要将乌鲁木齐技师学院打造成为一所办学规模适应区域产业发展的培养高技能人才的技工院校，能够引领全疆技工教育发展，为乌鲁木齐市及周边地区产业升级、现代产业实现高质量发展提供技能人才支撑。</w:t>
      </w:r>
      <w:r>
        <w:cr/>
      </w:r>
      <w:r>
        <w:rPr>
          <w:rFonts w:eastAsia="楷体"/>
          <w:b w:val="0"/>
          <w:bCs w:val="0"/>
          <w:spacing w:val="-4"/>
          <w:sz w:val="32"/>
          <w:szCs w:val="32"/>
        </w:rPr>
        <w:br/>
      </w:r>
      <w:r>
        <w:rPr>
          <w:rStyle w:val="Strong"/>
          <w:rFonts w:eastAsia="楷体"/>
          <w:b w:val="0"/>
          <w:bCs w:val="0"/>
          <w:spacing w:val="-4"/>
          <w:sz w:val="32"/>
          <w:szCs w:val="32"/>
        </w:rPr>
        <w:t xml:space="preserve">（4）目前，全疆职业教育在党的治疆方略指引下，得到了长足的发展，特别是在十九个省市智力援疆方面，向受援地职业教育提供了大量的人力和财力。而乌鲁木齐市在受援方面得到的政策和资金较少，自治区人社厅为落实人社部有关要求，经综合考量，决定对本项目进行支持。</w:t>
      </w:r>
      <w:r>
        <w:cr/>
      </w:r>
      <w:r>
        <w:rPr>
          <w:rFonts w:eastAsia="楷体"/>
          <w:b w:val="0"/>
          <w:bCs w:val="0"/>
          <w:spacing w:val="-4"/>
          <w:sz w:val="32"/>
          <w:szCs w:val="32"/>
        </w:rPr>
        <w:br/>
      </w:r>
      <w:r>
        <w:rPr>
          <w:rStyle w:val="Strong"/>
          <w:rFonts w:eastAsia="楷体"/>
          <w:b w:val="0"/>
          <w:bCs w:val="0"/>
          <w:spacing w:val="-4"/>
          <w:sz w:val="32"/>
          <w:szCs w:val="32"/>
        </w:rPr>
        <w:t xml:space="preserve">项目2024年的主要实施内容：乌鲁木齐技师学院实训设备购置项目包括物联网技术应用实训中心设备采购项目、云计算技术应用实训中心设备采购项目、人工智能信息技术应用实训室设备采购项目、智能汽车专业群虚拟仿真实训室设备采购项目、新能源汽车实训室设备采购项目、智能网联汽车实训室设备采购项目、电工电子实训室设备采购项目、机电装调实训室设备采购项目、工业自动化虚拟仿真实训中心设备采购项目、气动实训室设备采购项目、电气工程实训室设备采购项目、药物制剂专业实训室设备采购项目、幼儿教育专业实训室设备采购项目共计13个实训室设备采购项目。2023年3月25日在政府采购网公开采购意向，5月中旬通过财政局采购办审核通过采购计划，进入乌鲁木齐市公共资源交易平台上进行审核形成招标文件。在审核的过程中，交易二科提出按照采购过程中只能对单一品目进行采购，要求学院对采购项目的品目进行分类（如办公家具、电脑、实训设备、工程装修），重新制作参数并对中小企业预留份额的比例予以确认，严格执行46号文。因此13个实训室设备采购项目变成22个采购项目。增加项目为实训室建设电脑采购、智能汽车专业群虚拟仿真实训室及新能源汽车实训室车辆购置、实训室建设项目（家具用具采购）、药物制剂实训室设备采购（空调1台）、云计算实训室设备采购（空调2台）、工业自动化虚拟仿真实训中心设备采购（LED屏4块）、药物制剂专业仿真药店实训设备采购（触控一体机3台）、幼儿教育专业实训室设备采购（触控一体机8台）、智能机电可视化实训室教学系统。</w:t>
      </w:r>
      <w:r>
        <w:cr/>
      </w:r>
      <w:r>
        <w:rPr>
          <w:rFonts w:eastAsia="楷体"/>
          <w:b w:val="0"/>
          <w:bCs w:val="0"/>
          <w:spacing w:val="-4"/>
          <w:sz w:val="32"/>
          <w:szCs w:val="32"/>
        </w:rPr>
        <w:br/>
      </w:r>
      <w:r>
        <w:rPr>
          <w:rStyle w:val="Strong"/>
          <w:rFonts w:eastAsia="楷体"/>
          <w:b w:val="0"/>
          <w:bCs w:val="0"/>
          <w:spacing w:val="-4"/>
          <w:sz w:val="32"/>
          <w:szCs w:val="32"/>
        </w:rPr>
        <w:t xml:space="preserve">实际完成情况。截至2025年4月，除了人工智能信息技术应用实训室设备采购项目重新进入采购程序外，其余项目全部采购完成，已有11个实训室已开始使用。</w:t>
      </w:r>
      <w:r>
        <w:cr/>
      </w:r>
      <w:r>
        <w:rPr>
          <w:rFonts w:eastAsia="楷体"/>
          <w:b w:val="0"/>
          <w:bCs w:val="0"/>
          <w:spacing w:val="-4"/>
          <w:sz w:val="32"/>
          <w:szCs w:val="32"/>
        </w:rPr>
        <w:br/>
      </w:r>
      <w:r>
        <w:rPr>
          <w:rStyle w:val="Strong"/>
          <w:rFonts w:eastAsia="楷体"/>
          <w:b w:val="0"/>
          <w:bCs w:val="0"/>
          <w:spacing w:val="-4"/>
          <w:sz w:val="32"/>
          <w:szCs w:val="32"/>
        </w:rPr>
        <w:t xml:space="preserve">2.资金投入和使用情况</w:t>
      </w:r>
      <w:r>
        <w:cr/>
      </w:r>
      <w:r>
        <w:rPr>
          <w:rFonts w:eastAsia="楷体"/>
          <w:b w:val="0"/>
          <w:bCs w:val="0"/>
          <w:spacing w:val="-4"/>
          <w:sz w:val="32"/>
          <w:szCs w:val="32"/>
        </w:rPr>
        <w:br/>
      </w:r>
      <w:r>
        <w:rPr>
          <w:rStyle w:val="Strong"/>
          <w:rFonts w:eastAsia="楷体"/>
          <w:b w:val="0"/>
          <w:bCs w:val="0"/>
          <w:spacing w:val="-4"/>
          <w:sz w:val="32"/>
          <w:szCs w:val="32"/>
        </w:rPr>
        <w:t xml:space="preserve">该项目资金投入情况：1、《关于拨付自治区财政就业补助资金的通知》（新人社函【2022】207号）号文件批准，项目系2022年自治区财政就业补助资金，年初共安排预算5011.68万元，于2024年年初部分预算批复项目，项目总预算为5011.68万元。</w:t>
      </w:r>
      <w:r>
        <w:cr/>
      </w:r>
      <w:r>
        <w:rPr>
          <w:rFonts w:eastAsia="楷体"/>
          <w:b w:val="0"/>
          <w:bCs w:val="0"/>
          <w:spacing w:val="-4"/>
          <w:sz w:val="32"/>
          <w:szCs w:val="32"/>
        </w:rPr>
        <w:br/>
      </w:r>
      <w:r>
        <w:rPr>
          <w:rStyle w:val="Strong"/>
          <w:rFonts w:eastAsia="楷体"/>
          <w:b w:val="0"/>
          <w:bCs w:val="0"/>
          <w:spacing w:val="-4"/>
          <w:sz w:val="32"/>
          <w:szCs w:val="32"/>
        </w:rPr>
        <w:t xml:space="preserve">该项目资金使用情况：截止2024年12月31日资金使用4997万元，其中：1、设备采购资使用4985.75万元（上缴财政资金2325.07万元视同执行），2、技能大师工作室经费使用10.75万元，3、人才专项经费使用0.5万元。预算执行率99.71%。</w:t>
      </w:r>
    </w:p>
    <w:p>
      <w:pPr>
        <w:spacing w:line="540" w:lineRule="exact"/>
        <w:ind w:firstLine="640" w:firstLineChars="200"/>
        <w:rPr>
          <w:rStyle w:val="Strong"/>
          <w:rFonts w:ascii="楷体" w:eastAsia="楷体" w:hAnsi="楷体"/>
          <w:spacing w:val="-4"/>
          <w:sz w:val="32"/>
          <w:szCs w:val="32"/>
        </w:rPr>
      </w:pPr>
      <w:r>
        <w:rPr>
          <w:rStyle w:val="Strong"/>
          <w:rFonts w:ascii="楷体" w:eastAsia="楷体" w:hAnsi="楷体" w:hint="eastAsia"/>
          <w:spacing w:val="-4"/>
          <w:sz w:val="32"/>
          <w:szCs w:val="32"/>
        </w:rPr>
        <w:t xml:space="preserve">（二）项目绩效目标</w:t>
      </w:r>
    </w:p>
    <w:p>
      <w:pPr>
        <w:spacing w:line="540" w:lineRule="exact"/>
        <w:ind w:firstLine="640" w:firstLineChars="200"/>
        <w:rPr>
          <w:rStyle w:val="Strong"/>
          <w:rFonts w:eastAsia="楷体"/>
          <w:b w:val="0"/>
          <w:bCs w:val="0"/>
          <w:spacing w:val="-4"/>
          <w:sz w:val="32"/>
          <w:szCs w:val="32"/>
        </w:rPr>
      </w:pPr>
      <w:r>
        <w:rPr>
          <w:rStyle w:val="Strong"/>
          <w:rFonts w:eastAsia="楷体" w:hint="eastAsia"/>
          <w:b w:val="0"/>
          <w:bCs w:val="0"/>
          <w:spacing w:val="-4"/>
          <w:sz w:val="32"/>
          <w:szCs w:val="32"/>
        </w:rPr>
        <w:t xml:space="preserve">本项目依据《中共中央 国务院关于全面实施预算绩效管理的意见》（中发〔2018〕34号）、《关于印发&lt;乌鲁木齐市本级部门预算绩效目标管理暂行办法&gt;的通知》（乌财预〔2018〕56号）、《关于做好2019年部门预算项目支出绩效目标管理有关事宜的通知》（乌财预〔2018〕76号）和《项目支出绩效评价管理办法》（财预〔2020〕10号）等文件要求，结合项目开展情况，按照“谁申请资金，谁编制目标”的原则和规定的方法、程序，科学合理编制。绩效目标作为对预期指标的细化和量化描述，主要包括产出指标、效益指标和满意度指标。按照指向明确、细化量化、合理可行和相应匹配的要求，设定三级绩效目标（数量指标、质量指标、时效指标、成本指标、效益指标、满意度指标），以准确、清晰地反映财政资金在使用期所能达到的预期产出和效果。</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该项目为跨年项目。</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该项目总体绩效目标：乌鲁木齐技师学院实训设备购置项目的建设是完善学院教育基础设施的途径，是技师教学的重要组成部分，将促进和改善学院师生教学、工作、生活环境，同时能够发挥政治、经济、社会、文化的功能和效益。项目建成后，学院办学条件将得到显著改善，实践教学质量实现跨越式提升，使教学内容紧密接轨行业尖端技术。此举不仅有力推动乌鲁木齐地区职业教育高质量发展，更能为区域经济建设源源不断输送高素质技能人才，成为驱动地方经济腾飞的强劲引擎。</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2024年该项目共有22个子项目，除了人工智能信息技术应用实训室设备采购项目重新进入采购程序外，其余项目全部采购完成，已有11个实训室已开始使用。</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该项目阶段性目标为：1、云计算技术应用实训中心设备采购项目硬件设备安装全部到位，设备安装至实训楼4511、4512，软件设备调试完成。2、物联网技术应用实训中心设备采购项目硬件设备安装全部到位，设备安装至实训楼5609、5610，软件设备调试完成。3、智能汽车专业群虚拟仿真实训室设备采购项目，设备安装到位（安装至实训楼三楼东北侧），软件设备调试完成。4、新能源汽车实训室设备采购项目车辆购置到位。5、智能网联汽车实训室设备采购项目实训设备软硬件安装到位。6、电工电子实训室设备采购项目设备安装至实训楼4423，软件设备调试完成。7、机电装调实训室设备采购项目实训设备安装到位。8、工业自动化虚拟仿真实训中心设备采购项目实训软硬件安装到位，安装至实训楼4204、4209、4611、4612，4块LED屏及智能机电可视化系统采购安装完成。9、气动实训室设备采购项目实训设备安装到位，设备安装至实训楼4211。10、电气工程实训室设备采购项目实训设备安装到位，设备安装至实训楼4213。11、药物制剂专业实训室设备采购项目完成药物制剂专业1间仿真药店中药室、1间仿真药店西药室购。12、幼儿教育专业实训室设备采购项目育婴实训室2间、保育实训室2间、手工实训室1间和仿真幼儿教室实训室3间。13、人工智能信息技术应用实训室设备采购硬件设备安装全部到位。</w:t>
      </w:r>
    </w:p>
    <w:p>
      <w:pPr>
        <w:spacing w:line="540" w:lineRule="exact"/>
        <w:ind w:firstLine="640" w:firstLineChars="20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二、绩效评价工作开展情况</w:t>
      </w:r>
    </w:p>
    <w:p>
      <w:pPr>
        <w:spacing w:line="540" w:lineRule="exact"/>
        <w:ind w:firstLine="640" w:firstLineChars="200"/>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（一）绩效评价目的、对象和范围</w:t>
      </w:r>
    </w:p>
    <w:p>
      <w:pPr>
        <w:spacing w:line="540" w:lineRule="exact"/>
        <w:ind w:firstLine="640" w:firstLineChars="200"/>
        <w:rPr>
          <w:rStyle w:val="Strong"/>
          <w:rFonts w:eastAsia="楷体"/>
          <w:b w:val="0"/>
          <w:bCs w:val="0"/>
          <w:spacing w:val="-4"/>
          <w:sz w:val="32"/>
          <w:szCs w:val="32"/>
        </w:rPr>
      </w:pPr>
      <w:r>
        <w:rPr>
          <w:rStyle w:val="Strong"/>
          <w:rFonts w:eastAsia="楷体" w:hint="eastAsia"/>
          <w:b w:val="0"/>
          <w:bCs w:val="0"/>
          <w:spacing w:val="-4"/>
          <w:sz w:val="32"/>
          <w:szCs w:val="32"/>
        </w:rPr>
        <w:t xml:space="preserve">1.绩效评价完整性</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首先，本项目评价指标设置全面，能够涵盖项目主要内容。该项目的总体目标是完善学院的教育基础设施，促进并改善师生的教学、工作和生活环境。同时，该项目还旨在发挥其在政治、经济、社会和文化方面的功能与效益。项目指标涵盖21个子项目、13个各领域的专业新型实训室建设，且各类验收流程，满足指标要求。项目完成后，学院的办学条件将得到显著提升，实践教学质量将实现质的飞跃，教学内容将与行业尖端技术紧密对接。这一举措不仅将有力推动乌鲁木齐地区职业教育的高质量发展，还能为区域经济建设持续输送高素质技能人才，成为推动地方经济发展的强大动力。</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其次，在项目启动前，通过广泛调研与讨论，结合学校的教学特点与设备配置要求，根据教学实际，制定详细的设备购置计划，设备采购方面：严格招标采购，确保购置设备的正常运行与使用，定期对设备进行检查与维护，确保设备的稳定运行与使用寿命。除人工智能信息技术应用实训室设备采购重新进入采购程序，其余项目均已采购完毕。</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最后，评价资料包括相关批复、竣工验收资料、情况说明、财务明细账；同时利用匿名调查问卷的形式，了解师生满意度，确保数据完整、真实、有效。</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2.评价目的</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本项工作旨在落实《中共中央 国务院关于全面实施预算绩效管理的意见》（中发〔2018〕34号）文件精神，全面推进预算绩效管理工作，落实预算执行及绩效管理主体责任。具体而言包括以下两点：  </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1）通过对项目设立的背景、意义、项目内容、项目现状及绩效目标、资金投入、资金管理、组织实施、产出指标、成本指标和效益指标等进行深入调研和分析，进一步了解乌鲁木齐技师学院实训设备购置项目实施情况，并考察项目实施过程和效果。</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（2）通过评价，客观公正反映项目立项科学性、项目管理规范性、项目实施有效性和项目效果，总结项目实施的经验，发现项目实施过程中存在的问题，提高财政资金使用效益。</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3.评价对象</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（1）绩效评价的对象：乌鲁木齐技师学院实训设备购置项目 </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4.绩效评价范围</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1.时间范围：2023年1月1日至2025年12月31日。</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2.项目范围：乌鲁木齐技师学院实训设备购置项目中，除人工智能信息技术应用实训室设备重新采购外，其他项目已完成采购，11个实训室已启用。</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项目评价显示：（1）决策环节，项目立项、绩效目标、资金投入均达标，无扣分；（2）过程管理，资金和组织实施均达标，无扣分；（3）产出方面，实训室和设备数量、政府采购率、按期完成率及设备购置率未达标，均扣分；（4）效益方面，公众满意度达标，无扣分。自评得分为95.3分。</w:t>
      </w:r>
      <w:r>
        <w:cr/>
      </w:r>
      <w:r>
        <w:rPr>
          <w:rFonts w:eastAsia="楷体" w:hint="eastAsia"/>
          <w:b w:val="0"/>
          <w:bCs w:val="0"/>
          <w:spacing w:val="-4"/>
          <w:sz w:val="32"/>
          <w:szCs w:val="32"/>
        </w:rPr>
        <w:br/>
      </w:r>
      <w:r>
        <w:cr/>
      </w:r>
      <w:r>
        <w:rPr>
          <w:rFonts w:eastAsia="楷体" w:hint="eastAsia"/>
          <w:b w:val="0"/>
          <w:bCs w:val="0"/>
          <w:spacing w:val="-4"/>
          <w:sz w:val="32"/>
          <w:szCs w:val="32"/>
        </w:rPr>
        <w:br/>
      </w:r>
      <w:r>
        <w:rPr>
          <w:rStyle w:val="Strong"/>
          <w:rFonts w:eastAsia="楷体" w:hint="eastAsia"/>
          <w:b w:val="0"/>
          <w:bCs w:val="0"/>
          <w:spacing w:val="-4"/>
          <w:sz w:val="32"/>
          <w:szCs w:val="32"/>
        </w:rPr>
        <w:t xml:space="preserve">学院在政府和各级部门的大力支持下，尤其是人社厅对实训设备的投入，显著改善了办学条件，为培养高技能型人才提供了保障。学院领导贯彻新理念，狠抓教育教学管理，落实人才培养方案，坚持立德树人。在工程建设中，严格遵循公开、公正、透明原则，确保施工作顺利进行。然而，实训设备采购项目因资金量大、流程严格导致采购进度缓慢，且采购政策理解不透彻影响了采购科目细化。建议上级部门根据实际需求进行项目建设决策，制定合理预算计划并严格执行，以及严格执行专项资金和财政资金管理制度，确保资金按项目核算及时申请和支付。</w:t>
      </w:r>
    </w:p>
    <w:p>
      <w:pPr>
        <w:spacing w:line="540" w:lineRule="exact"/>
        <w:ind w:firstLine="640" w:firstLineChars="200"/>
        <w:rPr>
          <w:rStyle w:val="Strong"/>
          <w:rFonts w:ascii="楷体" w:eastAsia="楷体" w:hAnsi="楷体"/>
          <w:spacing w:val="-4"/>
          <w:sz w:val="32"/>
          <w:szCs w:val="32"/>
        </w:rPr>
      </w:pPr>
      <w:r>
        <w:rPr>
          <w:rStyle w:val="Strong"/>
          <w:rFonts w:ascii="楷体" w:eastAsia="楷体" w:hAnsi="楷体" w:hint="eastAsia"/>
          <w:spacing w:val="-4"/>
          <w:sz w:val="32"/>
          <w:szCs w:val="32"/>
        </w:rPr>
        <w:t xml:space="preserve">（二）绩效评价原则、评价指标体系、评价方法、评价标准</w:t>
      </w:r>
    </w:p>
    <w:p>
      <w:pPr>
        <w:spacing w:line="540" w:lineRule="exact"/>
        <w:ind w:firstLine="640" w:firstLineChars="200"/>
        <w:rPr>
          <w:rStyle w:val="Strong"/>
          <w:rFonts w:eastAsia="楷体"/>
          <w:b w:val="0"/>
          <w:bCs w:val="0"/>
          <w:spacing w:val="-4"/>
          <w:sz w:val="32"/>
          <w:szCs w:val="32"/>
        </w:rPr>
      </w:pPr>
      <w:r>
        <w:rPr>
          <w:rStyle w:val="Strong"/>
          <w:rFonts w:eastAsia="楷体" w:hint="eastAsia"/>
          <w:b w:val="0"/>
          <w:bCs w:val="0"/>
          <w:spacing w:val="-4"/>
          <w:sz w:val="32"/>
          <w:szCs w:val="32"/>
        </w:rPr>
        <w:t xml:space="preserve">1.评价原则</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（一）科学公正。绩效评价应当运用科学合理的方法，按照规范的程序，对项目绩效进行客观、公正的反映。</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二）统筹兼顾。单位自评、部门评价和财政评价应职责明确，各有侧重，相互衔接。单位自评应由项目单位自主实施，即“谁支出、谁自评”。部门评价和财政评价应在单位自评的基础上开展，必要时可委托第三方机构实施。</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（三）激励约束。绩效评价结果应与预算安排、政策调整、改进管理实质性挂钩，体现奖优罚劣和激励相容导向，有效要安排、低效要压减、无效要问责。</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（四）公开透明。绩效评价结果应依法依规公开，并自觉接受社会监督。</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2.评价指标体系</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绩效评价指标体系作为衡量绩效目标实现程度的考核工具，一般遵循以下原则：</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（1）相关性原则：绩效评价指标应当与绩效目标有直接的联系，能够恰当反映目标的实现程度。</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（2）重要性原则：应当优先使用最具评价对象代表性、最能反映评价要求的核心指标。</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（3）可比性原则：对同类评价对象要设定共性的绩效评价指标，以便于评价结果可以相互比较。</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（4）系统性原则：绩效评价指标的设置应当将定量指标与定性指标相结合，能系统反映财政支出所产生的社会效益、经济效益和可持续影响等。</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（5）经济性原则：绩效评价指标设计应当通俗易懂、简便易行，数据的获得应当考虑现实条件和可操作性，符合成本效益原则。</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本项目的评价指标体系建立如下表所示。</w:t>
      </w:r>
      <w:r>
        <w:cr/>
      </w:r>
      <w:r>
        <w:rPr>
          <w:rFonts w:eastAsia="楷体" w:hint="eastAsia"/>
          <w:b w:val="0"/>
          <w:bCs w:val="0"/>
          <w:spacing w:val="-4"/>
          <w:sz w:val="32"/>
          <w:szCs w:val="32"/>
        </w:rPr>
        <w:br/>
      </w:r>
      <w:r>
        <w:cr/>
      </w:r>
      <w:r>
        <w:rPr>
          <w:rFonts w:eastAsia="楷体" w:hint="eastAsia"/>
          <w:b w:val="0"/>
          <w:bCs w:val="0"/>
          <w:spacing w:val="-4"/>
          <w:sz w:val="32"/>
          <w:szCs w:val="32"/>
        </w:rPr>
        <w:br/>
      </w:r>
      <w:r>
        <w:cr/>
      </w:r>
      <w:r>
        <w:rPr>
          <w:rFonts w:eastAsia="楷体" w:hint="eastAsia"/>
          <w:b w:val="0"/>
          <w:bCs w:val="0"/>
          <w:spacing w:val="-4"/>
          <w:sz w:val="32"/>
          <w:szCs w:val="32"/>
        </w:rPr>
        <w:br/>
      </w:r>
      <w:r>
        <w:cr/>
      </w:r>
      <w:r>
        <w:rPr>
          <w:rFonts w:eastAsia="楷体" w:hint="eastAsia"/>
          <w:b w:val="0"/>
          <w:bCs w:val="0"/>
          <w:spacing w:val="-4"/>
          <w:sz w:val="32"/>
          <w:szCs w:val="32"/>
        </w:rPr>
        <w:br/>
      </w:r>
      <w:r>
        <w:rPr>
          <w:rStyle w:val="Strong"/>
          <w:rFonts w:eastAsia="楷体" w:hint="eastAsia"/>
          <w:b w:val="0"/>
          <w:bCs w:val="0"/>
          <w:spacing w:val="-4"/>
          <w:sz w:val="32"/>
          <w:szCs w:val="32"/>
        </w:rPr>
        <w:t xml:space="preserve">  项目支出绩效评价指标体系</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一级指标</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二级指标</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三级指标</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指标解释</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指标说明</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决策</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项目立项</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立项依据</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充分性</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项目立项是否符合法律法规、相关政策、发展规划以及部门职责，用以反映和考核项目立项依据情况。</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评价要点：</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①项目立项是否符合国家法律法规、国民经济发展规划和相关政策；</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②项目立项是否符合行业发展规划和政策要求；</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③项目立项是否与部门职责范围相符，</w:t>
      </w:r>
      <w:r>
        <w:rPr>
          <w:rStyle w:val="Strong"/>
          <w:rFonts w:eastAsia="楷体" w:hint="eastAsia"/>
          <w:b w:val="0"/>
          <w:bCs w:val="0"/>
          <w:spacing w:val="-4"/>
          <w:sz w:val="32"/>
          <w:szCs w:val="32"/>
          <w:lang w:val="en-US" w:eastAsia="zh-CN"/>
        </w:rPr>
        <w:t xml:space="preserve">属于部门</w:t>
      </w:r>
      <w:r>
        <w:rPr>
          <w:rStyle w:val="Strong"/>
          <w:rFonts w:eastAsia="楷体" w:hint="eastAsia"/>
          <w:b w:val="0"/>
          <w:bCs w:val="0"/>
          <w:spacing w:val="-4"/>
          <w:sz w:val="32"/>
          <w:szCs w:val="32"/>
        </w:rPr>
        <w:t xml:space="preserve">履职所需；</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④项目是否属于公共财政支持范围，是否符合中央、地方事权支出责任划分原则；</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⑤项目是否与相关部门同类项目或部门内部相关项目重复。</w:t>
      </w:r>
      <w:r>
        <w:cr/>
      </w:r>
      <w:r>
        <w:rPr>
          <w:rFonts w:eastAsia="楷体" w:hint="eastAsia"/>
          <w:b w:val="0"/>
          <w:bCs w:val="0"/>
          <w:spacing w:val="-4"/>
          <w:sz w:val="32"/>
          <w:szCs w:val="32"/>
        </w:rPr>
        <w:br/>
      </w:r>
      <w:r>
        <w:rPr>
          <w:rStyle w:val="Strong"/>
          <w:rFonts w:eastAsia="楷体" w:hint="eastAsia"/>
          <w:b w:val="0"/>
          <w:bCs w:val="0"/>
          <w:spacing w:val="-4"/>
          <w:sz w:val="32"/>
          <w:szCs w:val="32"/>
        </w:rPr>
        <w:tab/>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立项程序</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规范性</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项目申请、设立过程是否符合相关要求，用以反映和考核项目立项的规范情况。</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评价要点：</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①项目是否按照规定的程序申请设立；</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②审批文件、材料是否符合相关要求；</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③事前是否已经过必要的可行性研究、专家论证、风险评估、绩效评估、集体决策。</w:t>
      </w:r>
      <w:r>
        <w:cr/>
      </w:r>
      <w:r>
        <w:rPr>
          <w:rFonts w:eastAsia="楷体" w:hint="eastAsia"/>
          <w:b w:val="0"/>
          <w:bCs w:val="0"/>
          <w:spacing w:val="-4"/>
          <w:sz w:val="32"/>
          <w:szCs w:val="32"/>
        </w:rPr>
        <w:br/>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绩效目标</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绩效目标</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合理性</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项目所设定的绩效目标是否依据充分，是否符合客观实际，用以反映和考核项目绩效目标与项目实施的相符情况。</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评价要点：</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（如未设定预算绩效目标，也可考核其他工作任务目标）</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①项目是否有绩效目标；</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②项目绩效目标与实际工作内容是否具有相关性；</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③项目预期产出效益和效果是否符合正常的业绩水平；</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④是否与预算确定的项目投资额或资金量相匹配。</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决策</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绩效目标</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绩效指标</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明确性</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依据绩效目标设定的绩效指标是否清晰、细化、可衡量等，用以反映和考核项目绩效目标的明细化情况。</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评价要点：</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①是否将项目绩效目标细化分解为具体的绩效指标；</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②是否通过清晰、可衡量的指标值予以体现；</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③是否与项目目标任务数或计划数相对应。</w:t>
      </w:r>
      <w:r>
        <w:cr/>
      </w:r>
      <w:r>
        <w:rPr>
          <w:rFonts w:eastAsia="楷体" w:hint="eastAsia"/>
          <w:b w:val="0"/>
          <w:bCs w:val="0"/>
          <w:spacing w:val="-4"/>
          <w:sz w:val="32"/>
          <w:szCs w:val="32"/>
        </w:rPr>
        <w:br/>
      </w:r>
      <w:r>
        <w:cr/>
      </w:r>
      <w:r>
        <w:rPr>
          <w:rFonts w:eastAsia="楷体" w:hint="eastAsia"/>
          <w:b w:val="0"/>
          <w:bCs w:val="0"/>
          <w:spacing w:val="-4"/>
          <w:sz w:val="32"/>
          <w:szCs w:val="32"/>
        </w:rPr>
        <w:br/>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资金投入</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预算编制</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科学性</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项目预算编制是否经过科学论证、有明确标准，资金额度与年度目标是否相适应，用以反映和考核项目预算编制的科学性、合理性情况。</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评价要点：</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①预算编制是否经过科学论证；</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②预算内容与项目内容是否匹配；</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③预算额度测算依据是否充分，是否按照标准编制；</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④预算确定的项目投资额或资金量是否与工作任务相匹配。</w:t>
      </w:r>
      <w:r>
        <w:cr/>
      </w:r>
      <w:r>
        <w:rPr>
          <w:rFonts w:eastAsia="楷体" w:hint="eastAsia"/>
          <w:b w:val="0"/>
          <w:bCs w:val="0"/>
          <w:spacing w:val="-4"/>
          <w:sz w:val="32"/>
          <w:szCs w:val="32"/>
        </w:rPr>
        <w:br/>
      </w:r>
      <w:r>
        <w:rPr>
          <w:rStyle w:val="Strong"/>
          <w:rFonts w:eastAsia="楷体" w:hint="eastAsia"/>
          <w:b w:val="0"/>
          <w:bCs w:val="0"/>
          <w:spacing w:val="-4"/>
          <w:sz w:val="32"/>
          <w:szCs w:val="32"/>
        </w:rPr>
        <w:tab/>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资金分配</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合理性</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项目预算资金分配是否有测算依据，与补助单位或地方实际是否相适应，用以反映和考核项目预算资金分配的科学性、合理性情况。</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评价要点：</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①预算资金分配依据是否充分；</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②资金分配额度是否合理，与项目单位或地方实际是否相适应。</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过程</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资金管理</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资金到位率</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实际到位资金与预算资金的比率，用以反映和考核资金落实情况对项目实施的总体保障程度。</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资金到位率=（实际到位资金/预算资金）×100%。</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实际到位资金：一定时期（本年度或项目期）内落实到具体项目的资金。</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预算资金：一定时期（本年度或项目期）内预算安排到具体项目的资金。</w:t>
      </w:r>
      <w:r>
        <w:cr/>
      </w:r>
      <w:r>
        <w:rPr>
          <w:rFonts w:eastAsia="楷体" w:hint="eastAsia"/>
          <w:b w:val="0"/>
          <w:bCs w:val="0"/>
          <w:spacing w:val="-4"/>
          <w:sz w:val="32"/>
          <w:szCs w:val="32"/>
        </w:rPr>
        <w:br/>
      </w:r>
      <w:r>
        <w:rPr>
          <w:rStyle w:val="Strong"/>
          <w:rFonts w:eastAsia="楷体" w:hint="eastAsia"/>
          <w:b w:val="0"/>
          <w:bCs w:val="0"/>
          <w:spacing w:val="-4"/>
          <w:sz w:val="32"/>
          <w:szCs w:val="32"/>
        </w:rPr>
        <w:tab/>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预算执行率</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项目预算资金是否按照计划执行，用以反映或考核项目预算执行情况。</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预算执行率=（实际支出资金/实际到位资金）×100%。</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实际支出资金：一定时期（本年度或项目期）内项目实际拨付的资金。</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过程</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资金管理</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资金使用</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合规性</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项目资金使用是否符合相关的财务管理制度规定，用以反映和考核项目资金的规范运行情况。</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评价要点：</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①是否符合国家财经法规和财务管理制度以及有关专项资金管理办法的规定；</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②资金的拨付是否有完整的审批程序和手续；</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③是否符合项目预算批复或合同规定的用途；</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④是否存在截留、挤占、挪用、虚列支出等情况。</w:t>
      </w:r>
      <w:r>
        <w:cr/>
      </w:r>
      <w:r>
        <w:rPr>
          <w:rFonts w:eastAsia="楷体" w:hint="eastAsia"/>
          <w:b w:val="0"/>
          <w:bCs w:val="0"/>
          <w:spacing w:val="-4"/>
          <w:sz w:val="32"/>
          <w:szCs w:val="32"/>
        </w:rPr>
        <w:br/>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组织实施</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管理制度</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健全性</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项目实施单位的财务和业务管理制度是否健全，用以反映和考核财务和业务管理制度对项目顺利实施的保障情况。</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评价要点：</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①是否已制定或具有相应的财务和业务管理制度；</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②财务和业务管理制度是否合法、合规、完整。</w:t>
      </w:r>
      <w:r>
        <w:cr/>
      </w:r>
      <w:r>
        <w:rPr>
          <w:rFonts w:eastAsia="楷体" w:hint="eastAsia"/>
          <w:b w:val="0"/>
          <w:bCs w:val="0"/>
          <w:spacing w:val="-4"/>
          <w:sz w:val="32"/>
          <w:szCs w:val="32"/>
        </w:rPr>
        <w:br/>
      </w:r>
      <w:r>
        <w:rPr>
          <w:rStyle w:val="Strong"/>
          <w:rFonts w:eastAsia="楷体" w:hint="eastAsia"/>
          <w:b w:val="0"/>
          <w:bCs w:val="0"/>
          <w:spacing w:val="-4"/>
          <w:sz w:val="32"/>
          <w:szCs w:val="32"/>
        </w:rPr>
        <w:tab/>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制度执行</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有效性</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项目实施是否符合相关管理规定，用以反映和考核相关管理制度的有效执行情况。</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评价要点：</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①是否遵守相关法律法规和相关管理规定；</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②项目调整及支出调整手续是否完备；</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③项目合同书、验收报告、技术鉴定等资料是否齐全并及时归档；</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④项目实施的人员条件、场地设备、信息支撑等是否落实到位。</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产出</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产出数量</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实训室建设数量</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项目实施的实际产出数与计划产出数的比率，用以反映和考核项目产出数量目标的实现程度。</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实际完成率=（实际产出数/计划产出数）×100%。</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实际产出数：一定时期（本年度或项目期）内项目实际产出的产品或提供的服务数量。</w:t>
      </w:r>
      <w:r>
        <w:cr/>
      </w:r>
      <w:r>
        <w:rPr>
          <w:rFonts w:eastAsia="楷体" w:hint="eastAsia"/>
          <w:b w:val="0"/>
          <w:bCs w:val="0"/>
          <w:spacing w:val="-4"/>
          <w:sz w:val="32"/>
          <w:szCs w:val="32"/>
        </w:rPr>
        <w:br/>
      </w:r>
      <w:r>
        <w:cr/>
      </w:r>
      <w:r>
        <w:rPr>
          <w:rFonts w:eastAsia="楷体" w:hint="eastAsia"/>
          <w:b w:val="0"/>
          <w:bCs w:val="0"/>
          <w:spacing w:val="-4"/>
          <w:sz w:val="32"/>
          <w:szCs w:val="32"/>
        </w:rPr>
        <w:br/>
      </w:r>
      <w:r>
        <w:rPr>
          <w:rStyle w:val="Strong"/>
          <w:rFonts w:eastAsia="楷体" w:hint="eastAsia"/>
          <w:b w:val="0"/>
          <w:bCs w:val="0"/>
          <w:spacing w:val="-4"/>
          <w:sz w:val="32"/>
          <w:szCs w:val="32"/>
        </w:rPr>
        <w:tab/>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实训设备数量</w:t>
      </w:r>
      <w:r>
        <w:rPr>
          <w:rStyle w:val="Strong"/>
          <w:rFonts w:eastAsia="楷体" w:hint="eastAsia"/>
          <w:b w:val="0"/>
          <w:bCs w:val="0"/>
          <w:spacing w:val="-4"/>
          <w:sz w:val="32"/>
          <w:szCs w:val="32"/>
        </w:rPr>
        <w:tab/>
      </w:r>
      <w:r>
        <w:rPr>
          <w:rStyle w:val="Strong"/>
          <w:rFonts w:eastAsia="楷体" w:hint="eastAsia"/>
          <w:b w:val="0"/>
          <w:bCs w:val="0"/>
          <w:spacing w:val="-4"/>
          <w:sz w:val="32"/>
          <w:szCs w:val="32"/>
        </w:rPr>
        <w:tab/>
      </w:r>
      <w:r>
        <w:cr/>
      </w:r>
      <w:r>
        <w:rPr>
          <w:rFonts w:eastAsia="楷体" w:hint="eastAsia"/>
          <w:b w:val="0"/>
          <w:bCs w:val="0"/>
          <w:spacing w:val="-4"/>
          <w:sz w:val="32"/>
          <w:szCs w:val="32"/>
        </w:rPr>
        <w:br/>
      </w:r>
      <w:r>
        <w:rPr>
          <w:rStyle w:val="Strong"/>
          <w:rFonts w:eastAsia="楷体" w:hint="eastAsia"/>
          <w:b w:val="0"/>
          <w:bCs w:val="0"/>
          <w:spacing w:val="-4"/>
          <w:sz w:val="32"/>
          <w:szCs w:val="32"/>
        </w:rPr>
        <w:t xml:space="preserve">产出</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产出质量</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项目验收合格率</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项目完成的质量达标产出数与实际产出数的比率，用以反映和考核项目产出质量目标的实现程度。</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质量达标率=（质量达标产出数/实际产出数）×100%。</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质量达标产出数：一定时期（本年度或项目期）内实际达到既定质量标准的产品或服务数量。既定质量标准是指项目实施单位设立绩效目标时依据计划标准、行业标准、历史标准或其他标准而设定的绩效指标值。</w:t>
      </w:r>
      <w:r>
        <w:cr/>
      </w:r>
      <w:r>
        <w:rPr>
          <w:rFonts w:eastAsia="楷体" w:hint="eastAsia"/>
          <w:b w:val="0"/>
          <w:bCs w:val="0"/>
          <w:spacing w:val="-4"/>
          <w:sz w:val="32"/>
          <w:szCs w:val="32"/>
        </w:rPr>
        <w:br/>
      </w:r>
      <w:r>
        <w:rPr>
          <w:rStyle w:val="Strong"/>
          <w:rFonts w:eastAsia="楷体" w:hint="eastAsia"/>
          <w:b w:val="0"/>
          <w:bCs w:val="0"/>
          <w:spacing w:val="-4"/>
          <w:sz w:val="32"/>
          <w:szCs w:val="32"/>
        </w:rPr>
        <w:tab/>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政府采购率</w:t>
      </w:r>
      <w:r>
        <w:rPr>
          <w:rStyle w:val="Strong"/>
          <w:rFonts w:eastAsia="楷体" w:hint="eastAsia"/>
          <w:b w:val="0"/>
          <w:bCs w:val="0"/>
          <w:spacing w:val="-4"/>
          <w:sz w:val="32"/>
          <w:szCs w:val="32"/>
        </w:rPr>
        <w:tab/>
      </w:r>
      <w:r>
        <w:rPr>
          <w:rStyle w:val="Strong"/>
          <w:rFonts w:eastAsia="楷体" w:hint="eastAsia"/>
          <w:b w:val="0"/>
          <w:bCs w:val="0"/>
          <w:spacing w:val="-4"/>
          <w:sz w:val="32"/>
          <w:szCs w:val="32"/>
        </w:rPr>
        <w:tab/>
      </w:r>
      <w:r>
        <w:cr/>
      </w:r>
      <w:r>
        <w:rPr>
          <w:rFonts w:eastAsia="楷体" w:hint="eastAsia"/>
          <w:b w:val="0"/>
          <w:bCs w:val="0"/>
          <w:spacing w:val="-4"/>
          <w:sz w:val="32"/>
          <w:szCs w:val="32"/>
        </w:rPr>
        <w:br/>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产出时效</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项目按期完成率</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项目实际完成时间与计划完成时间的比较，用以反映和考核项目产出时效目标的实现程度。</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实际完成时间：项目实施单位完成该项目实际所耗用的时间。</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计划完成时间：按照项目实施计划或相关规定完成该项目所需的时间。</w:t>
      </w:r>
      <w:r>
        <w:cr/>
      </w:r>
      <w:r>
        <w:rPr>
          <w:rFonts w:eastAsia="楷体" w:hint="eastAsia"/>
          <w:b w:val="0"/>
          <w:bCs w:val="0"/>
          <w:spacing w:val="-4"/>
          <w:sz w:val="32"/>
          <w:szCs w:val="32"/>
        </w:rPr>
        <w:br/>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产出成本</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设备购置费                   </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完成项目计划工作目标的实际节约成本与计划成本的比率，用以反映和考核项目的成本节约程度。</w:t>
      </w:r>
      <w:r>
        <w:rPr>
          <w:rStyle w:val="Strong"/>
          <w:rFonts w:eastAsia="楷体" w:hint="eastAsia"/>
          <w:b w:val="0"/>
          <w:bCs w:val="0"/>
          <w:spacing w:val="-4"/>
          <w:sz w:val="32"/>
          <w:szCs w:val="32"/>
        </w:rPr>
        <w:tab/>
      </w:r>
      <w:r>
        <w:cr/>
      </w:r>
      <w:r>
        <w:rPr>
          <w:rFonts w:eastAsia="楷体" w:hint="eastAsia"/>
          <w:b w:val="0"/>
          <w:bCs w:val="0"/>
          <w:spacing w:val="-4"/>
          <w:sz w:val="32"/>
          <w:szCs w:val="32"/>
        </w:rPr>
        <w:br/>
      </w:r>
      <w:r>
        <w:rPr>
          <w:rStyle w:val="Strong"/>
          <w:rFonts w:eastAsia="楷体" w:hint="eastAsia"/>
          <w:b w:val="0"/>
          <w:bCs w:val="0"/>
          <w:spacing w:val="-4"/>
          <w:sz w:val="32"/>
          <w:szCs w:val="32"/>
        </w:rPr>
        <w:t xml:space="preserve">成本节约率=[（计划成本-实际成本）/计划成本]×100%。</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实际成本：项目实施单位如期、保质、保量完成既定工作目标实际所耗费的支出。</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计划成本：项目实施单位为完成工作目标计划安排的支出，一般以项目预算为参考。</w:t>
      </w:r>
      <w:r>
        <w:cr/>
      </w:r>
      <w:r>
        <w:rPr>
          <w:rFonts w:eastAsia="楷体" w:hint="eastAsia"/>
          <w:b w:val="0"/>
          <w:bCs w:val="0"/>
          <w:spacing w:val="-4"/>
          <w:sz w:val="32"/>
          <w:szCs w:val="32"/>
        </w:rPr>
        <w:br/>
      </w:r>
      <w:r>
        <w:rPr>
          <w:rStyle w:val="Strong"/>
          <w:rFonts w:eastAsia="楷体" w:hint="eastAsia"/>
          <w:b w:val="0"/>
          <w:bCs w:val="0"/>
          <w:spacing w:val="-4"/>
          <w:sz w:val="32"/>
          <w:szCs w:val="32"/>
        </w:rPr>
        <w:tab/>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技能大师工作室经费</w:t>
      </w:r>
      <w:r>
        <w:rPr>
          <w:rStyle w:val="Strong"/>
          <w:rFonts w:eastAsia="楷体" w:hint="eastAsia"/>
          <w:b w:val="0"/>
          <w:bCs w:val="0"/>
          <w:spacing w:val="-4"/>
          <w:sz w:val="32"/>
          <w:szCs w:val="32"/>
        </w:rPr>
        <w:tab/>
      </w:r>
      <w:r>
        <w:rPr>
          <w:rStyle w:val="Strong"/>
          <w:rFonts w:eastAsia="楷体" w:hint="eastAsia"/>
          <w:b w:val="0"/>
          <w:bCs w:val="0"/>
          <w:spacing w:val="-4"/>
          <w:sz w:val="32"/>
          <w:szCs w:val="32"/>
        </w:rPr>
        <w:tab/>
      </w:r>
      <w:r>
        <w:cr/>
      </w:r>
      <w:r>
        <w:rPr>
          <w:rFonts w:eastAsia="楷体" w:hint="eastAsia"/>
          <w:b w:val="0"/>
          <w:bCs w:val="0"/>
          <w:spacing w:val="-4"/>
          <w:sz w:val="32"/>
          <w:szCs w:val="32"/>
        </w:rPr>
        <w:br/>
      </w:r>
      <w:r>
        <w:rPr>
          <w:rStyle w:val="Strong"/>
          <w:rFonts w:eastAsia="楷体" w:hint="eastAsia"/>
          <w:b w:val="0"/>
          <w:bCs w:val="0"/>
          <w:spacing w:val="-4"/>
          <w:sz w:val="32"/>
          <w:szCs w:val="32"/>
        </w:rPr>
        <w:tab/>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短期培训费</w:t>
      </w:r>
      <w:r>
        <w:rPr>
          <w:rStyle w:val="Strong"/>
          <w:rFonts w:eastAsia="楷体" w:hint="eastAsia"/>
          <w:b w:val="0"/>
          <w:bCs w:val="0"/>
          <w:spacing w:val="-4"/>
          <w:sz w:val="32"/>
          <w:szCs w:val="32"/>
        </w:rPr>
        <w:tab/>
      </w:r>
      <w:r>
        <w:rPr>
          <w:rStyle w:val="Strong"/>
          <w:rFonts w:eastAsia="楷体" w:hint="eastAsia"/>
          <w:b w:val="0"/>
          <w:bCs w:val="0"/>
          <w:spacing w:val="-4"/>
          <w:sz w:val="32"/>
          <w:szCs w:val="32"/>
        </w:rPr>
        <w:tab/>
      </w:r>
      <w:r>
        <w:cr/>
      </w:r>
      <w:r>
        <w:rPr>
          <w:rFonts w:eastAsia="楷体" w:hint="eastAsia"/>
          <w:b w:val="0"/>
          <w:bCs w:val="0"/>
          <w:spacing w:val="-4"/>
          <w:sz w:val="32"/>
          <w:szCs w:val="32"/>
        </w:rPr>
        <w:br/>
      </w:r>
      <w:r>
        <w:rPr>
          <w:rStyle w:val="Strong"/>
          <w:rFonts w:eastAsia="楷体" w:hint="eastAsia"/>
          <w:b w:val="0"/>
          <w:bCs w:val="0"/>
          <w:spacing w:val="-4"/>
          <w:sz w:val="32"/>
          <w:szCs w:val="32"/>
        </w:rPr>
        <w:tab/>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人才专项经费</w:t>
      </w:r>
      <w:r>
        <w:rPr>
          <w:rStyle w:val="Strong"/>
          <w:rFonts w:eastAsia="楷体" w:hint="eastAsia"/>
          <w:b w:val="0"/>
          <w:bCs w:val="0"/>
          <w:spacing w:val="-4"/>
          <w:sz w:val="32"/>
          <w:szCs w:val="32"/>
        </w:rPr>
        <w:tab/>
      </w:r>
      <w:r>
        <w:rPr>
          <w:rStyle w:val="Strong"/>
          <w:rFonts w:eastAsia="楷体" w:hint="eastAsia"/>
          <w:b w:val="0"/>
          <w:bCs w:val="0"/>
          <w:spacing w:val="-4"/>
          <w:sz w:val="32"/>
          <w:szCs w:val="32"/>
        </w:rPr>
        <w:tab/>
      </w:r>
      <w:r>
        <w:cr/>
      </w:r>
      <w:r>
        <w:rPr>
          <w:rFonts w:eastAsia="楷体" w:hint="eastAsia"/>
          <w:b w:val="0"/>
          <w:bCs w:val="0"/>
          <w:spacing w:val="-4"/>
          <w:sz w:val="32"/>
          <w:szCs w:val="32"/>
        </w:rPr>
        <w:br/>
      </w:r>
      <w:r>
        <w:rPr>
          <w:rStyle w:val="Strong"/>
          <w:rFonts w:eastAsia="楷体" w:hint="eastAsia"/>
          <w:b w:val="0"/>
          <w:bCs w:val="0"/>
          <w:spacing w:val="-4"/>
          <w:sz w:val="32"/>
          <w:szCs w:val="32"/>
        </w:rPr>
        <w:t xml:space="preserve">效益</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项目效益</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提升职业技能培训能力，更好的服务区域经济，发挥引领示范作用</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项目实施所产生的效益。</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项目实施所产生的社会效益、经济效益、生态效益、可持续影响等。可根据项目实际情况有选择地设置和细化。</w:t>
      </w:r>
      <w:r>
        <w:cr/>
      </w:r>
      <w:r>
        <w:rPr>
          <w:rFonts w:eastAsia="楷体" w:hint="eastAsia"/>
          <w:b w:val="0"/>
          <w:bCs w:val="0"/>
          <w:spacing w:val="-4"/>
          <w:sz w:val="32"/>
          <w:szCs w:val="32"/>
        </w:rPr>
        <w:br/>
      </w:r>
      <w:r>
        <w:rPr>
          <w:rStyle w:val="Strong"/>
          <w:rFonts w:eastAsia="楷体" w:hint="eastAsia"/>
          <w:b w:val="0"/>
          <w:bCs w:val="0"/>
          <w:spacing w:val="-4"/>
          <w:sz w:val="32"/>
          <w:szCs w:val="32"/>
        </w:rPr>
        <w:tab/>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提升办学规模，改善办学条件</w:t>
      </w:r>
      <w:r>
        <w:rPr>
          <w:rStyle w:val="Strong"/>
          <w:rFonts w:eastAsia="楷体" w:hint="eastAsia"/>
          <w:b w:val="0"/>
          <w:bCs w:val="0"/>
          <w:spacing w:val="-4"/>
          <w:sz w:val="32"/>
          <w:szCs w:val="32"/>
        </w:rPr>
        <w:tab/>
      </w:r>
      <w:r>
        <w:rPr>
          <w:rStyle w:val="Strong"/>
          <w:rFonts w:eastAsia="楷体" w:hint="eastAsia"/>
          <w:b w:val="0"/>
          <w:bCs w:val="0"/>
          <w:spacing w:val="-4"/>
          <w:sz w:val="32"/>
          <w:szCs w:val="32"/>
        </w:rPr>
        <w:tab/>
      </w:r>
      <w:r>
        <w:cr/>
      </w:r>
      <w:r>
        <w:rPr>
          <w:rFonts w:eastAsia="楷体" w:hint="eastAsia"/>
          <w:b w:val="0"/>
          <w:bCs w:val="0"/>
          <w:spacing w:val="-4"/>
          <w:sz w:val="32"/>
          <w:szCs w:val="32"/>
        </w:rPr>
        <w:br/>
      </w:r>
      <w:r>
        <w:rPr>
          <w:rStyle w:val="Strong"/>
          <w:rFonts w:eastAsia="楷体" w:hint="eastAsia"/>
          <w:b w:val="0"/>
          <w:bCs w:val="0"/>
          <w:spacing w:val="-4"/>
          <w:sz w:val="32"/>
          <w:szCs w:val="32"/>
        </w:rPr>
        <w:t xml:space="preserve">满意度指标完成情况分析</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满意度指标</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群众满意度</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社会公众或服务对象项目实施效果的满意程度。</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社会公众或服务对象是指因该项目实施而受到影响的部门（单位）、群体或个人。一般采取社会调查的方式。</w:t>
      </w:r>
      <w:r>
        <w:cr/>
      </w:r>
      <w:r>
        <w:rPr>
          <w:rFonts w:eastAsia="楷体" w:hint="eastAsia"/>
          <w:b w:val="0"/>
          <w:bCs w:val="0"/>
          <w:spacing w:val="-4"/>
          <w:sz w:val="32"/>
          <w:szCs w:val="32"/>
        </w:rPr>
        <w:br/>
      </w:r>
      <w:r>
        <w:cr/>
      </w:r>
      <w:r>
        <w:rPr>
          <w:rFonts w:eastAsia="楷体" w:hint="eastAsia"/>
          <w:b w:val="0"/>
          <w:bCs w:val="0"/>
          <w:spacing w:val="-4"/>
          <w:sz w:val="32"/>
          <w:szCs w:val="32"/>
        </w:rPr>
        <w:br/>
      </w:r>
      <w:r>
        <w:cr/>
      </w:r>
      <w:r>
        <w:rPr>
          <w:rFonts w:eastAsia="楷体" w:hint="eastAsia"/>
          <w:b w:val="0"/>
          <w:bCs w:val="0"/>
          <w:spacing w:val="-4"/>
          <w:sz w:val="32"/>
          <w:szCs w:val="32"/>
        </w:rPr>
        <w:br/>
      </w:r>
      <w:r>
        <w:cr/>
      </w:r>
      <w:r>
        <w:rPr>
          <w:rFonts w:eastAsia="楷体" w:hint="eastAsia"/>
          <w:b w:val="0"/>
          <w:bCs w:val="0"/>
          <w:spacing w:val="-4"/>
          <w:sz w:val="32"/>
          <w:szCs w:val="32"/>
        </w:rPr>
        <w:br/>
      </w:r>
      <w:r>
        <w:cr/>
      </w:r>
      <w:r>
        <w:rPr>
          <w:rFonts w:eastAsia="楷体" w:hint="eastAsia"/>
          <w:b w:val="0"/>
          <w:bCs w:val="0"/>
          <w:spacing w:val="-4"/>
          <w:sz w:val="32"/>
          <w:szCs w:val="32"/>
        </w:rPr>
        <w:br/>
      </w:r>
      <w:r>
        <w:cr/>
      </w:r>
      <w:r>
        <w:rPr>
          <w:rFonts w:eastAsia="楷体" w:hint="eastAsia"/>
          <w:b w:val="0"/>
          <w:bCs w:val="0"/>
          <w:spacing w:val="-4"/>
          <w:sz w:val="32"/>
          <w:szCs w:val="32"/>
        </w:rPr>
        <w:br/>
      </w:r>
      <w:r>
        <w:cr/>
      </w:r>
      <w:r>
        <w:rPr>
          <w:rFonts w:eastAsia="楷体" w:hint="eastAsia"/>
          <w:b w:val="0"/>
          <w:bCs w:val="0"/>
          <w:spacing w:val="-4"/>
          <w:sz w:val="32"/>
          <w:szCs w:val="32"/>
        </w:rPr>
        <w:br/>
      </w:r>
      <w:r>
        <w:rPr>
          <w:rStyle w:val="Strong"/>
          <w:rFonts w:eastAsia="楷体" w:hint="eastAsia"/>
          <w:b w:val="0"/>
          <w:bCs w:val="0"/>
          <w:spacing w:val="-4"/>
          <w:sz w:val="32"/>
          <w:szCs w:val="32"/>
        </w:rPr>
        <w:t xml:space="preserve">3.评价方法</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《关于印发&lt;项目支出绩效评价管理办法&gt;的通知》（财预〔2020〕10号）文件指出部门评价的方法主要包括成本效益分析法、比较法、因素分析法、最低成本法、公众评判法、标杆管理法等。</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（1）成本效益分析法。是指将投入与产出、效益进行关联性分析的方法。</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（2）比较法。是指将实施情况与绩效目标、历史情况、不同部门和地区同类支出情况进行比较的方法。</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（3）因素分析法。是指综合分析影响绩效目标实现、实施效果的内外部因素的方法。</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（4）最低成本法。是指在绩效目标确定的前提下，成本最小者为优的方法。</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（5）公众评判法。是指通过专家评估、公众问卷及抽样调查等方式进行评判的方法。</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（6）标杆管理法。是指以国内外同行业中较高的绩效水平为标杆进行评判的方法。</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（7）其他评价方法。</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根据本项目（实训设备购置项目）的特点，本次评价主要采用比较法和公众评判法，对项目总预算和明细预算的内容、标准、计划是否经济合理进行深入分析，以考察实际产出和效益是否达到预期。</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4.评价标准</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绩效评价标准主要包括计划标准、行业标准、历史标准等，用于对绩效指标完成情况进行比较。</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（1）计划标准。指以预先制定的目标、计划、预算、定额等作为评价标准。</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（2）行业标准。指参照国家公布的行业指标数据制定的评价标准。</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（3）历史标准。指参照历史数据制定的评价标准，为体现绩效改进的原则，在可实现的条件下应当确定相对较高的评价标准。</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在上述评价标准的基础上，本次评价依据以下文件为重要指导和准绳：</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·《中共中央国务院关于全面实施预算绩效管理的意见》（中发〔2018〕34号）</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·《关于印发&lt;乌鲁木齐市本级部门预算绩效目标管理暂行办法&gt;的通知》（乌财预〔2018〕56号）</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·《关于做好2019年部门预算项目支出绩效目标管理有关事宜的通知》（乌财预〔2018〕76号）</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·《项目支出绩效评价管理办法》（财预〔2020〕10号）</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 《关于拨付自治区财政就业补助资金的通知》（新人社函【2022】207号）号文件 </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 关于《乌鲁木齐技师学院实训设备购置项目可行性研究报告（带项目建议书）》的评审意见（新评估字〔2022〕37号） </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 乌财科教（2024）2号《关于批复2024年度部门预算的通知》</w:t>
      </w:r>
    </w:p>
    <w:p>
      <w:pPr>
        <w:spacing w:line="540" w:lineRule="exact"/>
        <w:ind w:firstLine="640" w:firstLineChars="200"/>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（三）绩效评价工作过程</w:t>
      </w:r>
    </w:p>
    <w:p>
      <w:pPr>
        <w:spacing w:line="540" w:lineRule="exact"/>
        <w:ind w:firstLine="640" w:firstLineChars="200"/>
        <w:rPr>
          <w:rStyle w:val="Strong"/>
          <w:rFonts w:eastAsia="楷体"/>
          <w:b w:val="0"/>
          <w:bCs w:val="0"/>
          <w:spacing w:val="-4"/>
          <w:sz w:val="32"/>
          <w:szCs w:val="32"/>
        </w:rPr>
      </w:pPr>
      <w:r>
        <w:rPr>
          <w:rStyle w:val="Strong"/>
          <w:rFonts w:eastAsia="楷体" w:hint="eastAsia"/>
          <w:b w:val="0"/>
          <w:bCs w:val="0"/>
          <w:spacing w:val="-4"/>
          <w:sz w:val="32"/>
          <w:szCs w:val="32"/>
        </w:rPr>
        <w:t xml:space="preserve">评价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 前期准备主要包括实地调研和认真研读相关文件，根据绩效评价的基本原理、原则和项目特点，结合项目绩效目标，项目绩效评组制定了评价指标体系、评分标准、评价方法和相关的工作程序及步骤，形成评价初步方案。]、材料审核分析、现场核查评价、综合分析评价及报告撰写，评价项目实施情况，展现资金使用效益。</w:t>
      </w:r>
    </w:p>
    <w:p>
      <w:pPr>
        <w:spacing w:line="540" w:lineRule="exact"/>
        <w:ind w:firstLine="640" w:firstLineChars="20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三、综合评价情况及评价结论</w:t>
      </w:r>
    </w:p>
    <w:p>
      <w:pPr>
        <w:spacing w:line="540" w:lineRule="exact"/>
        <w:ind w:firstLine="640" w:firstLineChars="200"/>
        <w:rPr>
          <w:rStyle w:val="Strong"/>
          <w:rFonts w:eastAsia="楷体"/>
          <w:b w:val="0"/>
          <w:bCs w:val="0"/>
          <w:spacing w:val="-4"/>
          <w:sz w:val="32"/>
          <w:szCs w:val="32"/>
        </w:rPr>
      </w:pPr>
      <w:r>
        <w:rPr>
          <w:rStyle w:val="Strong"/>
          <w:rFonts w:eastAsia="楷体" w:hint="eastAsia"/>
          <w:b w:val="0"/>
          <w:bCs w:val="0"/>
          <w:spacing w:val="-4"/>
          <w:sz w:val="32"/>
          <w:szCs w:val="32"/>
        </w:rPr>
        <w:t xml:space="preserve">（一）评价结论</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结合项目特点，制定符合项目实际的绩效评价指标体系及评分标准，通过数据采集、问卷调查及访谈等形式，对2024年乌鲁木齐技师学院实训设备购置项目进行客观评价，最终评分结果为：总分为95.3分，绩效评级为“优”[本次绩效评价结果实施百分制和四级分类，其中90（含）-100分为优、80（含）-90分为良、70（含）-80分为中、70分以下为差。]。</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项目各部分权重和绩效分值如附表所示：</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  项目各部分权重和绩效分值</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一级指标</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二级指标</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三级指标</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分值</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得分</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得分率</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决策</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项目立项</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立项依据充分性</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4</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4</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100%</w:t>
      </w:r>
      <w:r>
        <w:cr/>
      </w:r>
      <w:r>
        <w:rPr>
          <w:rFonts w:eastAsia="楷体" w:hint="eastAsia"/>
          <w:b w:val="0"/>
          <w:bCs w:val="0"/>
          <w:spacing w:val="-4"/>
          <w:sz w:val="32"/>
          <w:szCs w:val="32"/>
        </w:rPr>
        <w:br/>
      </w:r>
      <w:r>
        <w:rPr>
          <w:rStyle w:val="Strong"/>
          <w:rFonts w:eastAsia="楷体" w:hint="eastAsia"/>
          <w:b w:val="0"/>
          <w:bCs w:val="0"/>
          <w:spacing w:val="-4"/>
          <w:sz w:val="32"/>
          <w:szCs w:val="32"/>
        </w:rPr>
        <w:tab/>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立项程序规范性</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4</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4</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100%</w:t>
      </w:r>
      <w:r>
        <w:cr/>
      </w:r>
      <w:r>
        <w:rPr>
          <w:rFonts w:eastAsia="楷体" w:hint="eastAsia"/>
          <w:b w:val="0"/>
          <w:bCs w:val="0"/>
          <w:spacing w:val="-4"/>
          <w:sz w:val="32"/>
          <w:szCs w:val="32"/>
        </w:rPr>
        <w:br/>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绩效目标</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绩效目标合理性</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3</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3</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100%</w:t>
      </w:r>
      <w:r>
        <w:cr/>
      </w:r>
      <w:r>
        <w:rPr>
          <w:rFonts w:eastAsia="楷体" w:hint="eastAsia"/>
          <w:b w:val="0"/>
          <w:bCs w:val="0"/>
          <w:spacing w:val="-4"/>
          <w:sz w:val="32"/>
          <w:szCs w:val="32"/>
        </w:rPr>
        <w:br/>
      </w:r>
      <w:r>
        <w:rPr>
          <w:rStyle w:val="Strong"/>
          <w:rFonts w:eastAsia="楷体" w:hint="eastAsia"/>
          <w:b w:val="0"/>
          <w:bCs w:val="0"/>
          <w:spacing w:val="-4"/>
          <w:sz w:val="32"/>
          <w:szCs w:val="32"/>
        </w:rPr>
        <w:tab/>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绩效指标明确性</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3</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3</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100%</w:t>
      </w:r>
      <w:r>
        <w:cr/>
      </w:r>
      <w:r>
        <w:rPr>
          <w:rFonts w:eastAsia="楷体" w:hint="eastAsia"/>
          <w:b w:val="0"/>
          <w:bCs w:val="0"/>
          <w:spacing w:val="-4"/>
          <w:sz w:val="32"/>
          <w:szCs w:val="32"/>
        </w:rPr>
        <w:br/>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资金投入</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预算编制科学性</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3</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3</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100%</w:t>
      </w:r>
      <w:r>
        <w:cr/>
      </w:r>
      <w:r>
        <w:rPr>
          <w:rFonts w:eastAsia="楷体" w:hint="eastAsia"/>
          <w:b w:val="0"/>
          <w:bCs w:val="0"/>
          <w:spacing w:val="-4"/>
          <w:sz w:val="32"/>
          <w:szCs w:val="32"/>
        </w:rPr>
        <w:br/>
      </w:r>
      <w:r>
        <w:rPr>
          <w:rStyle w:val="Strong"/>
          <w:rFonts w:eastAsia="楷体" w:hint="eastAsia"/>
          <w:b w:val="0"/>
          <w:bCs w:val="0"/>
          <w:spacing w:val="-4"/>
          <w:sz w:val="32"/>
          <w:szCs w:val="32"/>
        </w:rPr>
        <w:tab/>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资金分配合理性</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3</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3</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100%</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过程</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资金管理</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资金到位率</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5</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5</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100%</w:t>
      </w:r>
      <w:r>
        <w:cr/>
      </w:r>
      <w:r>
        <w:rPr>
          <w:rFonts w:eastAsia="楷体" w:hint="eastAsia"/>
          <w:b w:val="0"/>
          <w:bCs w:val="0"/>
          <w:spacing w:val="-4"/>
          <w:sz w:val="32"/>
          <w:szCs w:val="32"/>
        </w:rPr>
        <w:br/>
      </w:r>
      <w:r>
        <w:rPr>
          <w:rStyle w:val="Strong"/>
          <w:rFonts w:eastAsia="楷体" w:hint="eastAsia"/>
          <w:b w:val="0"/>
          <w:bCs w:val="0"/>
          <w:spacing w:val="-4"/>
          <w:sz w:val="32"/>
          <w:szCs w:val="32"/>
        </w:rPr>
        <w:tab/>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预算执行率</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5</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4.99</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99.8%</w:t>
      </w:r>
      <w:r>
        <w:cr/>
      </w:r>
      <w:r>
        <w:rPr>
          <w:rFonts w:eastAsia="楷体" w:hint="eastAsia"/>
          <w:b w:val="0"/>
          <w:bCs w:val="0"/>
          <w:spacing w:val="-4"/>
          <w:sz w:val="32"/>
          <w:szCs w:val="32"/>
        </w:rPr>
        <w:br/>
      </w:r>
      <w:r>
        <w:rPr>
          <w:rStyle w:val="Strong"/>
          <w:rFonts w:eastAsia="楷体" w:hint="eastAsia"/>
          <w:b w:val="0"/>
          <w:bCs w:val="0"/>
          <w:spacing w:val="-4"/>
          <w:sz w:val="32"/>
          <w:szCs w:val="32"/>
        </w:rPr>
        <w:tab/>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资金使用合规性</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3</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3</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100%</w:t>
      </w:r>
      <w:r>
        <w:cr/>
      </w:r>
      <w:r>
        <w:rPr>
          <w:rFonts w:eastAsia="楷体" w:hint="eastAsia"/>
          <w:b w:val="0"/>
          <w:bCs w:val="0"/>
          <w:spacing w:val="-4"/>
          <w:sz w:val="32"/>
          <w:szCs w:val="32"/>
        </w:rPr>
        <w:br/>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组织实施</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管理制度健全性</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3</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3</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100%</w:t>
      </w:r>
      <w:r>
        <w:cr/>
      </w:r>
      <w:r>
        <w:rPr>
          <w:rFonts w:eastAsia="楷体" w:hint="eastAsia"/>
          <w:b w:val="0"/>
          <w:bCs w:val="0"/>
          <w:spacing w:val="-4"/>
          <w:sz w:val="32"/>
          <w:szCs w:val="32"/>
        </w:rPr>
        <w:br/>
      </w:r>
      <w:r>
        <w:rPr>
          <w:rStyle w:val="Strong"/>
          <w:rFonts w:eastAsia="楷体" w:hint="eastAsia"/>
          <w:b w:val="0"/>
          <w:bCs w:val="0"/>
          <w:spacing w:val="-4"/>
          <w:sz w:val="32"/>
          <w:szCs w:val="32"/>
        </w:rPr>
        <w:tab/>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制度执行有效性</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4</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4</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100%</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产出</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产出数量</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实训室建设数量</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5</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4.61</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92%</w:t>
      </w:r>
      <w:r>
        <w:cr/>
      </w:r>
      <w:r>
        <w:rPr>
          <w:rFonts w:eastAsia="楷体" w:hint="eastAsia"/>
          <w:b w:val="0"/>
          <w:bCs w:val="0"/>
          <w:spacing w:val="-4"/>
          <w:sz w:val="32"/>
          <w:szCs w:val="32"/>
        </w:rPr>
        <w:br/>
      </w:r>
      <w:r>
        <w:rPr>
          <w:rStyle w:val="Strong"/>
          <w:rFonts w:eastAsia="楷体" w:hint="eastAsia"/>
          <w:b w:val="0"/>
          <w:bCs w:val="0"/>
          <w:spacing w:val="-4"/>
          <w:sz w:val="32"/>
          <w:szCs w:val="32"/>
        </w:rPr>
        <w:tab/>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实训设备数量</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5</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4.75</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95%</w:t>
      </w:r>
      <w:r>
        <w:cr/>
      </w:r>
      <w:r>
        <w:rPr>
          <w:rFonts w:eastAsia="楷体" w:hint="eastAsia"/>
          <w:b w:val="0"/>
          <w:bCs w:val="0"/>
          <w:spacing w:val="-4"/>
          <w:sz w:val="32"/>
          <w:szCs w:val="32"/>
        </w:rPr>
        <w:br/>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产出质量</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项目验收合格率</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5</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5</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100%</w:t>
      </w:r>
      <w:r>
        <w:cr/>
      </w:r>
      <w:r>
        <w:rPr>
          <w:rFonts w:eastAsia="楷体" w:hint="eastAsia"/>
          <w:b w:val="0"/>
          <w:bCs w:val="0"/>
          <w:spacing w:val="-4"/>
          <w:sz w:val="32"/>
          <w:szCs w:val="32"/>
        </w:rPr>
        <w:br/>
      </w:r>
      <w:r>
        <w:rPr>
          <w:rStyle w:val="Strong"/>
          <w:rFonts w:eastAsia="楷体" w:hint="eastAsia"/>
          <w:b w:val="0"/>
          <w:bCs w:val="0"/>
          <w:spacing w:val="-4"/>
          <w:sz w:val="32"/>
          <w:szCs w:val="32"/>
        </w:rPr>
        <w:tab/>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政府采购率</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5</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5</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100%</w:t>
      </w:r>
      <w:r>
        <w:cr/>
      </w:r>
      <w:r>
        <w:rPr>
          <w:rFonts w:eastAsia="楷体" w:hint="eastAsia"/>
          <w:b w:val="0"/>
          <w:bCs w:val="0"/>
          <w:spacing w:val="-4"/>
          <w:sz w:val="32"/>
          <w:szCs w:val="32"/>
        </w:rPr>
        <w:br/>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产出时效</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项目按期完成率</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10</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9.23</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92.3%</w:t>
      </w:r>
      <w:r>
        <w:cr/>
      </w:r>
      <w:r>
        <w:rPr>
          <w:rFonts w:eastAsia="楷体" w:hint="eastAsia"/>
          <w:b w:val="0"/>
          <w:bCs w:val="0"/>
          <w:spacing w:val="-4"/>
          <w:sz w:val="32"/>
          <w:szCs w:val="32"/>
        </w:rPr>
        <w:br/>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产出成本</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设备购置费</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3</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3</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100%</w:t>
      </w:r>
      <w:r>
        <w:cr/>
      </w:r>
      <w:r>
        <w:rPr>
          <w:rFonts w:eastAsia="楷体" w:hint="eastAsia"/>
          <w:b w:val="0"/>
          <w:bCs w:val="0"/>
          <w:spacing w:val="-4"/>
          <w:sz w:val="32"/>
          <w:szCs w:val="32"/>
        </w:rPr>
        <w:br/>
      </w:r>
      <w:r>
        <w:rPr>
          <w:rStyle w:val="Strong"/>
          <w:rFonts w:eastAsia="楷体" w:hint="eastAsia"/>
          <w:b w:val="0"/>
          <w:bCs w:val="0"/>
          <w:spacing w:val="-4"/>
          <w:sz w:val="32"/>
          <w:szCs w:val="32"/>
        </w:rPr>
        <w:tab/>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技能大师工作室经费</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3</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1.72</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57.33%</w:t>
      </w:r>
      <w:r>
        <w:cr/>
      </w:r>
      <w:r>
        <w:rPr>
          <w:rFonts w:eastAsia="楷体" w:hint="eastAsia"/>
          <w:b w:val="0"/>
          <w:bCs w:val="0"/>
          <w:spacing w:val="-4"/>
          <w:sz w:val="32"/>
          <w:szCs w:val="32"/>
        </w:rPr>
        <w:br/>
      </w:r>
      <w:r>
        <w:rPr>
          <w:rStyle w:val="Strong"/>
          <w:rFonts w:eastAsia="楷体" w:hint="eastAsia"/>
          <w:b w:val="0"/>
          <w:bCs w:val="0"/>
          <w:spacing w:val="-4"/>
          <w:sz w:val="32"/>
          <w:szCs w:val="32"/>
        </w:rPr>
        <w:tab/>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短期培训费</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2</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0</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0%</w:t>
      </w:r>
      <w:r>
        <w:cr/>
      </w:r>
      <w:r>
        <w:rPr>
          <w:rFonts w:eastAsia="楷体" w:hint="eastAsia"/>
          <w:b w:val="0"/>
          <w:bCs w:val="0"/>
          <w:spacing w:val="-4"/>
          <w:sz w:val="32"/>
          <w:szCs w:val="32"/>
        </w:rPr>
        <w:br/>
      </w:r>
      <w:r>
        <w:rPr>
          <w:rStyle w:val="Strong"/>
          <w:rFonts w:eastAsia="楷体" w:hint="eastAsia"/>
          <w:b w:val="0"/>
          <w:bCs w:val="0"/>
          <w:spacing w:val="-4"/>
          <w:sz w:val="32"/>
          <w:szCs w:val="32"/>
        </w:rPr>
        <w:tab/>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人才专项经费</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2</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2</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100%</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效益</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项目效益</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提升职业技能培训能力，更好的服务区域经济，发挥引领示范作用</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5</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5</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100%</w:t>
      </w:r>
      <w:r>
        <w:cr/>
      </w:r>
      <w:r>
        <w:rPr>
          <w:rFonts w:eastAsia="楷体" w:hint="eastAsia"/>
          <w:b w:val="0"/>
          <w:bCs w:val="0"/>
          <w:spacing w:val="-4"/>
          <w:sz w:val="32"/>
          <w:szCs w:val="32"/>
        </w:rPr>
        <w:br/>
      </w:r>
      <w:r>
        <w:rPr>
          <w:rStyle w:val="Strong"/>
          <w:rFonts w:eastAsia="楷体" w:hint="eastAsia"/>
          <w:b w:val="0"/>
          <w:bCs w:val="0"/>
          <w:spacing w:val="-4"/>
          <w:sz w:val="32"/>
          <w:szCs w:val="32"/>
        </w:rPr>
        <w:tab/>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提升办学规模，改善办学条件</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5</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5</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100%</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满意度指标完成情况分析</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满意度指标</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师生满意度</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10</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10</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100%</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（二）主要绩效</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该项目资金区财政及时拨付，单位在此次评价期间内，有序完成设定目标的部分工作任务，物联网技术应用实训中心设备采购项目、云计算技术应用实训中心设备采购项目、智能汽车专业群虚拟仿真实训室设备采购项目、新能源汽车实训室设备采购项目、智能网联汽车实训室设备采购项目、电工电子实训室设备采购项目、机电装调实训室设备采购项目、工业自动化虚拟仿真实训中心设备采购项目、气动实训室设备采购项目、电气工程实训室设备采购项目、药物制剂专业实训室设备采购项目、幼儿教育专业实训室设备采购项目、实训室建设电脑采购、智能汽车专业群虚拟仿真实训室及新能源汽车实训室车辆购置、实训室建设项目（家具用具采购）、药物制剂实训室设备采购（空调1台）、云计算实训室设备采购（空调2台）、工业自动化虚拟仿真实训中心设备采购（LED屏4块）、药物制剂专业仿真药店实训设备采购（触控一体机3台）、幼儿教育专业实训室设备采购（触控一体机8台）、智能机电可视化实训室教学系统采购任务。项目建成后，学院办学条件将得到显著改善，实践教学质量实现跨越式提升，使教学内容紧密接轨行业尖端技术。</w:t>
      </w:r>
    </w:p>
    <w:p>
      <w:pPr>
        <w:spacing w:line="540" w:lineRule="exact"/>
        <w:ind w:firstLine="640" w:firstLineChars="200"/>
        <w:rPr>
          <w:rStyle w:val="Strong"/>
          <w:rFonts w:ascii="黑体" w:eastAsia="黑体" w:hAnsi="黑体"/>
        </w:rPr>
      </w:pPr>
      <w:r>
        <w:rPr>
          <w:rStyle w:val="Strong"/>
          <w:rFonts w:ascii="黑体" w:eastAsia="黑体" w:hAnsi="黑体" w:hint="eastAsia"/>
          <w:b w:val="0"/>
          <w:spacing w:val="-4"/>
          <w:sz w:val="32"/>
          <w:szCs w:val="32"/>
        </w:rPr>
        <w:t xml:space="preserve">四、绩效评价指标分析</w:t>
      </w:r>
      <w:r>
        <w:rPr>
          <w:rStyle w:val="Strong"/>
          <w:rFonts w:ascii="黑体" w:eastAsia="黑体" w:hAnsi="黑体" w:hint="eastAsia"/>
        </w:rPr>
        <w:t xml:space="preserve"> </w:t>
      </w:r>
    </w:p>
    <w:p>
      <w:pPr>
        <w:spacing w:line="540" w:lineRule="exact"/>
        <w:ind w:firstLine="640" w:firstLineChars="200"/>
        <w:rPr>
          <w:rFonts w:ascii="楷体" w:eastAsia="楷体" w:hAnsi="楷体"/>
          <w:b/>
          <w:spacing w:val="-4"/>
          <w:sz w:val="32"/>
          <w:szCs w:val="32"/>
        </w:rPr>
      </w:pPr>
      <w:r>
        <w:rPr>
          <w:rFonts w:ascii="楷体" w:eastAsia="楷体" w:hAnsi="楷体" w:hint="eastAsia"/>
          <w:b/>
          <w:spacing w:val="-4"/>
          <w:sz w:val="32"/>
          <w:szCs w:val="32"/>
        </w:rPr>
        <w:t xml:space="preserve">（一）</w:t>
      </w:r>
      <w:r>
        <w:rPr>
          <w:rStyle w:val="Strong"/>
          <w:rFonts w:ascii="楷体" w:eastAsia="楷体" w:hAnsi="楷体" w:hint="eastAsia"/>
          <w:spacing w:val="-4"/>
          <w:sz w:val="32"/>
          <w:szCs w:val="32"/>
        </w:rPr>
        <w:t xml:space="preserve">项目决策情况</w:t>
      </w:r>
    </w:p>
    <w:p>
      <w:pPr>
        <w:spacing w:line="540" w:lineRule="exact"/>
        <w:ind w:firstLine="640" w:firstLineChars="200"/>
        <w:rPr>
          <w:rStyle w:val="Strong"/>
          <w:rFonts w:eastAsia="楷体"/>
          <w:b w:val="0"/>
          <w:bCs w:val="0"/>
          <w:spacing w:val="-4"/>
          <w:sz w:val="32"/>
          <w:szCs w:val="32"/>
        </w:rPr>
      </w:pPr>
      <w:r>
        <w:rPr>
          <w:rStyle w:val="Strong"/>
          <w:rFonts w:eastAsia="楷体" w:hint="eastAsia"/>
          <w:b w:val="0"/>
          <w:bCs w:val="0"/>
          <w:spacing w:val="-4"/>
          <w:sz w:val="32"/>
          <w:szCs w:val="32"/>
        </w:rPr>
        <w:t xml:space="preserve">项目决策指标由3个二级指标和6个三级指标构成，权重为20分，实际得分20分。</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1.项目立项</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立项依据充分性：为深入贯彻习近平总书记关于大力发展技工教育和技能人才工作重要指示精神，切实提高技工院校办学能力和办学水平，根据《人力资源社会保障部、国家发展改革委、财政部关于深化技工院校改革，大力发展技工教育的意见》（人社部发【2021】30号）精神，设立该项目。本项目属于公共财政支持范围，符合国家法律法规、国民经济发展规划和相关政策。因此，立项依据充分，得4分。</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立项程序规范性: 项目依据文件要求，按照学校实际发展需求，学校通过党总支会议集体研究决定建设实训室项目，有关支出严格按照实训室建设项目执行，在此基础上已经过必要的可行性研究、绩效评估、集体决策，得4分。</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综上，该指标满分8分，得分8分。</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2.绩效目标</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绩效目标合理性：本项目的绩效目标按照产出、效益构建绩效评价指标，且具有明确性、可衡量性、可实现性、相关性和时限性等特点，能较为全面地反映本项目的产出和效益，故绩效目标合理性指标得分3分。</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绩效目标明确性：其中，目标已细化为具体的绩效指标明确性，可通过数量指标、质量指标、时效指标和成本指标予以量化，并具有确切的评价标准，且指标设定均与目标相关。各项指标均能在现实条件下收集到相关数据进行佐证（通过现场询问及网络沟通等方式向相关业务人员进行资料收集，聘请专业人员对部分项目进行验收），并与当年项目年度计划相对应，故绩效目标明确性指标得分3分。</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综上，该指标满分6分，得分6分。</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3.资金投入</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预算编制科学性：根据项目的实际进展情况以及学院所进行的可行性研究报告，乌鲁木齐技师学院的实训设备购置项目在年初的预算被设定为5011.68万元人民币。在预算的分配过程中，严格遵循了资金的使用方向，同时充分考虑了各个实训室的建设需求以及资金的具体用途。经过学院党委会的认真审议和讨论，最终通过了这份预算编制方案。</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故预算编制科学性指标得分3分。</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资金分配合理性： 乌鲁木齐技师学院实训设备购置项目全年预算数5011.68万元，根据资金使用方向、上级部门下拨项目资金和项目评定等级分配资金，具体分配如下：其中设备采购项目资金4985.75万元，技能大师工作室经费18.75万元，短期培训费6.68万元，人才专项经费0.5万元。</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故资金分配合理性指标得分3分。</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综上，该指标满分6分，得分6分。</w:t>
      </w:r>
      <w:r>
        <w:rPr>
          <w:rStyle w:val="Strong"/>
          <w:rFonts w:eastAsia="楷体" w:hint="eastAsia"/>
          <w:b w:val="0"/>
          <w:bCs w:val="0"/>
          <w:spacing w:val="-4"/>
          <w:sz w:val="32"/>
          <w:szCs w:val="32"/>
        </w:rPr>
        <w:tab/>
      </w:r>
    </w:p>
    <w:p>
      <w:pPr>
        <w:spacing w:line="540" w:lineRule="exact"/>
        <w:ind w:firstLine="640" w:firstLineChars="200"/>
        <w:rPr>
          <w:rStyle w:val="Strong"/>
          <w:rFonts w:ascii="楷体" w:eastAsia="楷体" w:hAnsi="楷体"/>
          <w:spacing w:val="-4"/>
          <w:sz w:val="32"/>
          <w:szCs w:val="32"/>
        </w:rPr>
      </w:pPr>
      <w:r>
        <w:rPr>
          <w:rFonts w:ascii="楷体" w:eastAsia="楷体" w:hAnsi="楷体" w:hint="eastAsia"/>
          <w:b/>
          <w:spacing w:val="-4"/>
          <w:sz w:val="32"/>
          <w:szCs w:val="32"/>
        </w:rPr>
        <w:t xml:space="preserve">（二）</w:t>
      </w:r>
      <w:r>
        <w:rPr>
          <w:rStyle w:val="Strong"/>
          <w:rFonts w:ascii="楷体" w:eastAsia="楷体" w:hAnsi="楷体" w:hint="eastAsia"/>
          <w:spacing w:val="-4"/>
          <w:sz w:val="32"/>
          <w:szCs w:val="32"/>
        </w:rPr>
        <w:t xml:space="preserve">项目过程情况</w:t>
      </w:r>
    </w:p>
    <w:p>
      <w:pPr>
        <w:spacing w:line="540" w:lineRule="exact"/>
        <w:ind w:firstLine="640" w:firstLineChars="200"/>
        <w:rPr>
          <w:rStyle w:val="Strong"/>
          <w:rFonts w:eastAsia="楷体"/>
          <w:b w:val="0"/>
          <w:bCs w:val="0"/>
          <w:spacing w:val="-4"/>
          <w:sz w:val="32"/>
          <w:szCs w:val="32"/>
        </w:rPr>
      </w:pPr>
      <w:r>
        <w:rPr>
          <w:rStyle w:val="Strong"/>
          <w:rFonts w:eastAsia="楷体" w:hint="eastAsia"/>
          <w:b w:val="0"/>
          <w:bCs w:val="0"/>
          <w:spacing w:val="-4"/>
          <w:sz w:val="32"/>
          <w:szCs w:val="32"/>
        </w:rPr>
        <w:t xml:space="preserve">项目过程指标由2个二级指标和5个三级指标构成，权重为13分，实际得分12.99分。</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1.资金管理</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资金到位率： 该项目资金为单位自有资金，全年预算数5011.68万元，2024年实际到位资金5011.68万元，资金到位率100%。</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    故资金到位率指标得分5分。</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    预算执行率：该项目资金为单位自有资金，全年预算数5011.68万元，2024年执行资金4997万元，资金执行率率99.71%。</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故预算执行率得分为4.99分。</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资金使用合规性：本项目资金的使用符合国家财经法规和预算管理制度以及专项资金管理办法的规定。同时，资金的拨付有完整的审批程序，符合项目预算批复或合同规定的用途，不存在截留、挤占、挪用、虚列支出等情况。故资金使用合规性得分为3分。</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综上，该指标满分13分，得分12.99分。</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2.组织实施</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管理制度健全性：乌鲁木齐技师学院已制定《内控制度》，且制度合法、合规、完整，为项目顺利实施提供重要保障。故管理制度健全性得分为3分。</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制度执行有效性：根据评价小组核查情况，乌鲁木齐技师学院实训设备购置项目严格遵守相关法律法规和相关管理规定，项目调整及支出调整手续完备，整体管理合理有序，学校组织分工明确，项目实施过程中职责分工明确，各部门在工作开展中协调配合到位，不存在因协调配合影响项目实施等问题。合同签订过程中审批程序、签订形式规范。制度执行有效。故制度执行有效性指标得分4分。</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综上，该指标满分7分，得分7分。</w:t>
      </w:r>
    </w:p>
    <w:p>
      <w:pPr>
        <w:spacing w:line="540" w:lineRule="exact"/>
        <w:ind w:firstLine="640" w:firstLineChars="200"/>
        <w:rPr>
          <w:rFonts w:ascii="楷体" w:eastAsia="楷体" w:hAnsi="楷体"/>
          <w:b/>
          <w:spacing w:val="-4"/>
          <w:sz w:val="32"/>
          <w:szCs w:val="32"/>
        </w:rPr>
      </w:pPr>
      <w:r>
        <w:rPr>
          <w:rFonts w:ascii="楷体" w:eastAsia="楷体" w:hAnsi="楷体" w:hint="eastAsia"/>
          <w:b/>
          <w:spacing w:val="-4"/>
          <w:sz w:val="32"/>
          <w:szCs w:val="32"/>
        </w:rPr>
        <w:t xml:space="preserve">（三）</w:t>
      </w:r>
      <w:r>
        <w:rPr>
          <w:rStyle w:val="Strong"/>
          <w:rFonts w:ascii="楷体" w:eastAsia="楷体" w:hAnsi="楷体" w:hint="eastAsia"/>
          <w:spacing w:val="-4"/>
          <w:sz w:val="32"/>
          <w:szCs w:val="32"/>
        </w:rPr>
        <w:t xml:space="preserve">项目产出情况</w:t>
      </w:r>
    </w:p>
    <w:p>
      <w:pPr>
        <w:spacing w:line="540" w:lineRule="exact"/>
        <w:ind w:firstLine="640" w:firstLineChars="200"/>
        <w:rPr>
          <w:rStyle w:val="Strong"/>
          <w:rFonts w:eastAsia="楷体"/>
          <w:b w:val="0"/>
          <w:bCs w:val="0"/>
          <w:spacing w:val="-4"/>
          <w:sz w:val="32"/>
          <w:szCs w:val="32"/>
        </w:rPr>
      </w:pPr>
      <w:r>
        <w:rPr>
          <w:rStyle w:val="Strong"/>
          <w:rFonts w:eastAsia="楷体" w:hint="eastAsia"/>
          <w:b w:val="0"/>
          <w:bCs w:val="0"/>
          <w:spacing w:val="-4"/>
          <w:sz w:val="32"/>
          <w:szCs w:val="32"/>
        </w:rPr>
        <w:t xml:space="preserve">项目产出指标由4个二级指标和6个三级指标构成，权重为40分，实际得分35.31分。</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1.产出数量</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数量指标 “实训室建设数量”的目标值是13个，2024年度我单位已完成物联网技术应用实训中心、云计算技术应用实训中心、电工电子实训室、新能源汽车实训室等12个实训室的建设，其中：人工智能信息技术应用实训室因招标过程中有质疑，2025年4月23日再次完成招标。实际完成率：92.31%，故实际完成率得分为4.61分。数量指标“实训设备数量”的目标值是21批，2024年度我单位已完成物联网技术应用实训中心设备、云计算技术应用实训中心设备、电工电子实训室设备、新能源汽车实训室设备等采购20批，实际完成率：95.24%，故实际完成率得分为4.75分。</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综上，数量指标得分为9.36分。</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2.产出质量</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项目验收合格率：目标值为100%，实际完成率为100%，项目验收合格率得分为5分。</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实训室建设及设备购置，由业务科室经办人、负责人，固定资产管理员及第三方进行验收合格后并投入使用，故项目验收合格率为5分。</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政府采购率：目标值为100%，实际完成率为100%，政府采购率得分为5分。</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所有设备属于集采项目或达到限额以上的均进行政府集中采购，不属于集采项目未达到限额以上的委托第三方采购或在政采云上采购。项目政府采购率为5分。</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综上，质量指标得分为10分。</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3.产出时效。</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项目按期完成率：项目目标值为100%，实际完成率为92.31%。乌鲁木齐技师学院实训设备购置项目13个，2024年度我单位实际完成12个，原因是1个实训室因招标过程中有质疑，2025年4月23日再次完成招标。</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未达到预期的设定指标。</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故完成率得分为9.23分。</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4.产出成本</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项目产出成本由1个二级指标和4个三级指标构成，权重为10分，实际得分6.72分。</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项目预算5011.68万元，实际支出4997万元，1、设备购置费4985.75万元，实训室设备购置费2660.68万元（其中：设备购置费2657.99万元，专家评审费2.69万元），上缴财政2325.07万元（视同支出），得分3分；2、技能大师工作室经费18.75万元，实际支出10.75万元，得分1.72分；3、短期培训费6.68万元，实际支出0万元，得分0分；4、人才专项经费0.5万元，实际支出0.5万元，得分2分；</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综上，产出成本得分6.72分。</w:t>
      </w:r>
    </w:p>
    <w:p>
      <w:pPr>
        <w:spacing w:line="540" w:lineRule="exact"/>
        <w:ind w:firstLine="640" w:firstLineChars="200"/>
        <w:rPr>
          <w:rFonts w:ascii="楷体" w:eastAsia="楷体" w:hAnsi="楷体"/>
          <w:b/>
          <w:spacing w:val="-4"/>
          <w:sz w:val="32"/>
          <w:szCs w:val="32"/>
        </w:rPr>
      </w:pPr>
      <w:r>
        <w:rPr>
          <w:rFonts w:ascii="楷体" w:eastAsia="楷体" w:hAnsi="楷体" w:hint="eastAsia"/>
          <w:b/>
          <w:spacing w:val="-4"/>
          <w:sz w:val="32"/>
          <w:szCs w:val="32"/>
        </w:rPr>
        <w:t xml:space="preserve">（四）</w:t>
      </w:r>
      <w:r>
        <w:rPr>
          <w:rStyle w:val="Strong"/>
          <w:rFonts w:ascii="楷体" w:eastAsia="楷体" w:hAnsi="楷体" w:hint="eastAsia"/>
          <w:spacing w:val="-4"/>
          <w:sz w:val="32"/>
          <w:szCs w:val="32"/>
        </w:rPr>
        <w:t xml:space="preserve">项目效益情况</w:t>
      </w:r>
    </w:p>
    <w:p>
      <w:pPr>
        <w:spacing w:line="540" w:lineRule="exact"/>
        <w:ind w:firstLine="640" w:firstLineChars="200"/>
        <w:rPr>
          <w:rStyle w:val="Strong"/>
          <w:rFonts w:eastAsia="楷体"/>
          <w:b w:val="0"/>
          <w:bCs w:val="0"/>
          <w:spacing w:val="-4"/>
          <w:sz w:val="32"/>
          <w:szCs w:val="32"/>
        </w:rPr>
      </w:pPr>
      <w:r>
        <w:rPr>
          <w:rStyle w:val="Strong"/>
          <w:rFonts w:eastAsia="楷体" w:hint="eastAsia"/>
          <w:b w:val="0"/>
          <w:bCs w:val="0"/>
          <w:spacing w:val="-4"/>
          <w:sz w:val="32"/>
          <w:szCs w:val="32"/>
        </w:rPr>
        <w:t xml:space="preserve">项目效益指标由1个二级指标和2个三级指标构成，权重为10分，实际得分10分。 </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（1）项目效益</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社会效益指标：评价指标“提升职业技能培训能力，更好的服务区域经济，发挥引领示范作用”，指标值：5分，实际完成值：5分，达成年度指标。评价指标“提升办学规模，改善办学条件”，指标指：5分，实际完成值：5分，达成年度指标。本项目的实施将提升乌鲁木齐市职业教育水平，极大的改善了办学条件，为学校开展职业教育、培养更多的高技能型人才提供有力的保障。</w:t>
      </w:r>
    </w:p>
    <w:p>
      <w:pPr>
        <w:spacing w:line="540" w:lineRule="exact"/>
        <w:ind w:firstLine="640" w:firstLineChars="200"/>
        <w:rPr>
          <w:rStyle w:val="Strong"/>
          <w:rFonts w:eastAsia="楷体"/>
          <w:b w:val="0"/>
          <w:bCs w:val="0"/>
          <w:spacing w:val="-4"/>
          <w:sz w:val="32"/>
          <w:szCs w:val="32"/>
        </w:rPr>
      </w:pPr>
      <w:r>
        <w:rPr>
          <w:rStyle w:val="Strong"/>
          <w:rFonts w:eastAsia="楷体" w:hint="eastAsia"/>
          <w:b w:val="0"/>
          <w:bCs w:val="0"/>
          <w:spacing w:val="-4"/>
          <w:sz w:val="32"/>
          <w:szCs w:val="32"/>
        </w:rPr>
        <w:t xml:space="preserve">群众满意度分析：评价指标“师生满意度”，指标值;=100%，实际完成值：=100%。通过设置问卷调查的方式进行考评评价，共计调查样本总量为20个样本，有效调查问卷20份。其中，统计“受益群体满意度”的平均值为100%。故满意度指标得分为10分。</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综上，该指标满分10分，得分10分。</w:t>
      </w:r>
    </w:p>
    <w:p>
      <w:pPr>
        <w:spacing w:line="540" w:lineRule="exact"/>
        <w:ind w:firstLine="640" w:firstLineChars="20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五、主要经验及做法、存在的问题及原因分析</w:t>
      </w:r>
    </w:p>
    <w:p>
      <w:pPr>
        <w:spacing w:line="540" w:lineRule="exact"/>
        <w:ind w:firstLine="640" w:firstLineChars="200"/>
        <w:rPr>
          <w:rStyle w:val="Strong"/>
          <w:rFonts w:eastAsia="楷体"/>
        </w:rPr>
      </w:pPr>
      <w:r>
        <w:rPr>
          <w:rStyle w:val="Strong"/>
          <w:rFonts w:eastAsia="楷体" w:hint="eastAsia"/>
          <w:b w:val="0"/>
          <w:bCs w:val="0"/>
          <w:spacing w:val="-4"/>
          <w:sz w:val="32"/>
          <w:szCs w:val="32"/>
        </w:rPr>
        <w:t xml:space="preserve">（一）主要经验及做法</w:t>
      </w:r>
      <w:r>
        <w:cr/>
      </w:r>
      <w:r>
        <w:rPr>
          <w:rFonts w:eastAsia="楷体" w:hint="eastAsia"/>
          <w:b w:val="0"/>
          <w:bCs w:val="0"/>
          <w:spacing w:val="-4"/>
          <w:sz w:val="32"/>
          <w:szCs w:val="32"/>
        </w:rPr>
        <w:br/>
      </w:r>
      <w:r>
        <w:cr/>
      </w:r>
      <w:r>
        <w:rPr>
          <w:rFonts w:eastAsia="楷体" w:hint="eastAsia"/>
          <w:b w:val="0"/>
          <w:bCs w:val="0"/>
          <w:spacing w:val="-4"/>
          <w:sz w:val="32"/>
          <w:szCs w:val="32"/>
        </w:rPr>
        <w:br/>
      </w:r>
      <w:r>
        <w:rPr>
          <w:rStyle w:val="Strong"/>
          <w:rFonts w:eastAsia="楷体" w:hint="eastAsia"/>
          <w:b w:val="0"/>
          <w:bCs w:val="0"/>
          <w:spacing w:val="-4"/>
          <w:sz w:val="32"/>
          <w:szCs w:val="32"/>
        </w:rPr>
        <w:t xml:space="preserve">1.长期以来，学院的发展得到政府和各级部门的高度重视和大力支持，尤其是人社厅对学院实训设备的投入，极大的改善了办学条件，为学校开展职业教育、培养更多的高技能型人才提供有力的保障。学院领导开拓创新、求真务实，认真贯彻职业教育的新理念、新要求，狠抓教育教学管理，认真落实各专业人才培养方案。坚持立德树人，为社会输送更多高技能型人才。</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    2.严格按照管理制度的规定办事，使各项施工作顺利进行。在工程建设过程中的每一个环节，均按照公开、公正、透明化的原则，严格依照有关规定和程序操作。</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（二）存在的问题及原因分析</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1、乌鲁木齐技师学院实训设备购置项目由于设备采购项目较多，资金量大，流程较为严格，采购进度较为缓慢，目前采购活动均已结束，各项设备正在陆续进场，人员培训和固定资产需要及时跟进。</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2、在采购过程中，对采购政策了解的不透彻，导致采购科目不细，影响力采购进度。</w:t>
      </w:r>
    </w:p>
    <w:p>
      <w:pPr>
        <w:spacing w:line="540" w:lineRule="exact"/>
        <w:ind w:firstLine="640" w:firstLineChars="20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六、有关建议</w:t>
      </w:r>
    </w:p>
    <w:p>
      <w:pPr>
        <w:spacing w:line="540" w:lineRule="exact"/>
        <w:ind w:firstLine="640" w:firstLineChars="200"/>
        <w:rPr>
          <w:rStyle w:val="Strong"/>
          <w:rFonts w:eastAsia="楷体"/>
          <w:b w:val="0"/>
          <w:bCs w:val="0"/>
          <w:spacing w:val="-4"/>
          <w:sz w:val="32"/>
          <w:szCs w:val="32"/>
        </w:rPr>
      </w:pPr>
      <w:r>
        <w:rPr>
          <w:rStyle w:val="Strong"/>
          <w:rFonts w:eastAsia="楷体" w:hint="eastAsia"/>
          <w:b w:val="0"/>
          <w:bCs w:val="0"/>
          <w:spacing w:val="-4"/>
          <w:sz w:val="32"/>
          <w:szCs w:val="32"/>
        </w:rPr>
        <w:t xml:space="preserve">1、对项目决策的建议，上级部门要根据学院专业发展和社会对人才需求的实际进行项目建设决策，项目建成后，学院办学条件将得到显著改善，实践教学质量实现跨越式提升，使教学内容紧密接轨行业尖端技术。</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2、对预算安排与执行的建议。制定合理预算计划，实施有效的预算管理，严格按预算执行。</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    3、对资金管理的建议。严格执行专项资金管理办法和财政资金管理制度，根据项目完成进度及时申请和支付资金并按项目核算。</w:t>
      </w:r>
    </w:p>
    <w:p>
      <w:pPr>
        <w:spacing w:line="540" w:lineRule="exact"/>
        <w:ind w:firstLine="640" w:firstLineChars="20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七、其他需要说明的问题</w:t>
      </w:r>
    </w:p>
    <w:p>
      <w:pPr>
        <w:spacing w:line="540" w:lineRule="exact"/>
        <w:ind w:firstLine="640" w:firstLineChars="200"/>
        <w:rPr>
          <w:rStyle w:val="Strong"/>
          <w:rFonts w:eastAsia="楷体"/>
          <w:b w:val="0"/>
          <w:bCs w:val="0"/>
          <w:spacing w:val="-4"/>
          <w:sz w:val="32"/>
          <w:szCs w:val="32"/>
        </w:rPr>
      </w:pPr>
      <w:r>
        <w:rPr>
          <w:rStyle w:val="Strong"/>
          <w:rFonts w:eastAsia="楷体" w:hint="eastAsia"/>
          <w:b w:val="0"/>
          <w:bCs w:val="0"/>
          <w:spacing w:val="-4"/>
          <w:sz w:val="32"/>
          <w:szCs w:val="32"/>
        </w:rPr>
        <w:t xml:space="preserve">项目支出政策和路径设计科学，符合实际需要，充分考虑了项目的长远发展和当前需求，确保了资金的有效利用。项目安排准确，严格按照立项时的目标和计划执行，未发现任何背离项目立项初衷的情况，保证了项目的稳定性和可持续性。此外，项目的申报、审核机制也相当完善，确保了项目从申报到实施的每一个环节都经过严格把关，提高了项目的质量和效益。在资金使用方面，经过严格审查，未发现任何虚假行为和骗取财政资金的问题，确保了资金的合法合规使用。综上所述，该项目在支出政策、路径设计、项目安排、申报审核以及资金使用等方面均表现出色，值得肯定和推广。</w:t>
      </w:r>
    </w:p>
    <w:p>
      <w:pPr>
        <w:spacing w:line="540" w:lineRule="exact"/>
        <w:ind w:firstLine="640" w:firstLineChars="200"/>
        <w:rPr>
          <w:rStyle w:val="Strong"/>
          <w:rFonts w:ascii="仿宋" w:eastAsia="仿宋" w:hAnsi="仿宋"/>
          <w:b w:val="0"/>
          <w:spacing w:val="-4"/>
          <w:sz w:val="32"/>
          <w:szCs w:val="32"/>
        </w:rPr>
      </w:pPr>
    </w:p>
    <w:p>
      <w:pPr>
        <w:spacing w:line="540" w:lineRule="exact"/>
        <w:ind w:firstLine="640" w:firstLineChars="200"/>
        <w:rPr>
          <w:rStyle w:val="Strong"/>
          <w:rFonts w:ascii="仿宋" w:eastAsia="仿宋" w:hAnsi="仿宋"/>
          <w:b w:val="0"/>
          <w:spacing w:val="-4"/>
          <w:sz w:val="32"/>
          <w:szCs w:val="32"/>
        </w:rPr>
      </w:pPr>
    </w:p>
    <w:p>
      <w:pPr>
        <w:spacing w:line="540" w:lineRule="exact"/>
        <w:ind w:firstLine="640" w:firstLineChars="200"/>
        <w:rPr>
          <w:rStyle w:val="Strong"/>
          <w:rFonts w:ascii="仿宋" w:eastAsia="仿宋" w:hAnsi="仿宋"/>
          <w:b w:val="0"/>
          <w:spacing w:val="-4"/>
          <w:sz w:val="32"/>
          <w:szCs w:val="32"/>
        </w:rPr>
      </w:pPr>
    </w:p>
    <w:p>
      <w:pPr>
        <w:spacing w:line="540" w:lineRule="exact"/>
        <w:ind w:firstLine="640" w:firstLineChars="200"/>
        <w:rPr>
          <w:rStyle w:val="Strong"/>
          <w:rFonts w:ascii="仿宋" w:eastAsia="仿宋" w:hAnsi="仿宋"/>
          <w:b w:val="0"/>
          <w:spacing w:val="-4"/>
          <w:sz w:val="32"/>
          <w:szCs w:val="32"/>
        </w:rPr>
      </w:pPr>
    </w:p>
    <w:p>
      <w:pPr>
        <w:spacing w:line="540" w:lineRule="exact"/>
        <w:ind w:firstLine="640" w:firstLineChars="200"/>
        <w:rPr>
          <w:rStyle w:val="Strong"/>
          <w:rFonts w:ascii="仿宋" w:eastAsia="仿宋" w:hAnsi="仿宋"/>
          <w:b w:val="0"/>
          <w:spacing w:val="-4"/>
          <w:sz w:val="32"/>
          <w:szCs w:val="32"/>
        </w:rPr>
      </w:pPr>
    </w:p>
    <w:sectPr>
      <w:footerReference w:type="default" r:id="rId3"/>
      <w:pgSz w:w="11906" w:h="16838" w:orient="portrait"/>
      <w:pgMar w:top="1440" w:right="1558" w:bottom="1440" w:left="1757" w:header="851" w:footer="992" w:gutter="0"/>
      <w:pgBorders/>
      <w:cols w:num="1" w:space="425">
        <w:col w:w="8591"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00" w:usb3="00000000" w:csb0="0004009F" w:csb1="DFD70000"/>
  </w:font>
  <w:font w:name="方正小标宋_GBK">
    <w:altName w:val="微软雅黑"/>
    <w:panose1 w:val="03000509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422003363"/>
    </w:sdtPr>
    <w:sdtContent>
      <w:p>
        <w:pPr>
          <w:pStyle w:val="Footer"/>
          <w:jc w:val="center"/>
        </w:pPr>
        <w:r>
          <w:fldChar w:fldCharType="begin"/>
        </w:r>
        <w:r>
          <w:instrText xml:space="preserve">PAGE   \* MERGEFORMAT</w:instrText>
        </w:r>
        <w:r>
          <w:fldChar w:fldCharType="separate"/>
        </w:r>
        <w:r>
          <w:rPr>
            <w:lang w:val="zh-CN"/>
          </w:rPr>
          <w:t xml:space="preserve">2</w:t>
        </w:r>
        <w:r>
          <w:fldChar w:fldCharType="end"/>
        </w:r>
      </w:p>
    </w:sdtContent>
  </w:sdt>
  <w:p>
    <w:pPr>
      <w:pStyle w:val="Foote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0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asciiTheme="minorHAnsi" w:eastAsiaTheme="minorEastAsia" w:hAnsiTheme="minorHAnsi"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qFormat="1"/>
    <w:lsdException w:name="footer" w:semiHidden="0" w:qFormat="1"/>
    <w:lsdException w:name="index heading"/>
    <w:lsdException w:name="caption" w:uiPriority="35"/>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qFormat="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qFormat="1"/>
    <w:lsdException w:name="Table Grid" w:semiHidden="0" w:uiPriority="59" w:unhideWhenUsed="0"/>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1">
    <w:name w:val="Heading 1"/>
    <w:basedOn w:val="Normal"/>
    <w:next w:val="Normal"/>
    <w:link w:val="标题1Char"/>
    <w:uiPriority w:val="9"/>
    <w:qFormat/>
    <w:pPr>
      <w:keepNext/>
      <w:widowControl/>
      <w:spacing w:before="240" w:after="60"/>
      <w:jc w:val="left"/>
      <w:outlineLvl w:val="0"/>
    </w:pPr>
    <w:rPr>
      <w:rFonts w:ascii="Cambria" w:eastAsia="宋体" w:hAnsi="Cambria" w:asciiTheme="majorHAnsi" w:eastAsiaTheme="majorEastAsia" w:hAnsiTheme="majorHAnsi"/>
      <w:b/>
      <w:bCs/>
      <w:kern w:val="32"/>
      <w:sz w:val="32"/>
      <w:szCs w:val="32"/>
    </w:rPr>
  </w:style>
  <w:style w:type="paragraph" w:styleId="Heading2">
    <w:name w:val="Heading 2"/>
    <w:basedOn w:val="Normal"/>
    <w:next w:val="Normal"/>
    <w:link w:val="标题2Char"/>
    <w:uiPriority w:val="9"/>
    <w:semiHidden/>
    <w:unhideWhenUsed/>
    <w:qFormat/>
    <w:pPr>
      <w:keepNext/>
      <w:widowControl/>
      <w:spacing w:before="240" w:after="60"/>
      <w:jc w:val="left"/>
      <w:outlineLvl w:val="1"/>
    </w:pPr>
    <w:rPr>
      <w:rFonts w:ascii="Cambria" w:eastAsia="宋体" w:hAnsi="Cambria" w:asciiTheme="majorHAnsi" w:eastAsiaTheme="majorEastAsia" w:hAnsiTheme="majorHAnsi"/>
      <w:b/>
      <w:bCs/>
      <w:i/>
      <w:iCs/>
      <w:kern w:val="0"/>
      <w:sz w:val="28"/>
      <w:szCs w:val="28"/>
    </w:rPr>
  </w:style>
  <w:style w:type="paragraph" w:styleId="Heading3">
    <w:name w:val="Heading 3"/>
    <w:basedOn w:val="Normal"/>
    <w:next w:val="Normal"/>
    <w:link w:val="标题3Char"/>
    <w:uiPriority w:val="9"/>
    <w:semiHidden/>
    <w:unhideWhenUsed/>
    <w:qFormat/>
    <w:pPr>
      <w:keepNext/>
      <w:widowControl/>
      <w:spacing w:before="240" w:after="60"/>
      <w:jc w:val="left"/>
      <w:outlineLvl w:val="2"/>
    </w:pPr>
    <w:rPr>
      <w:rFonts w:ascii="Cambria" w:eastAsia="宋体" w:hAnsi="Cambria" w:asciiTheme="majorHAnsi" w:eastAsiaTheme="majorEastAsia" w:hAnsiTheme="majorHAnsi"/>
      <w:b/>
      <w:bCs/>
      <w:kern w:val="0"/>
      <w:sz w:val="26"/>
      <w:szCs w:val="26"/>
    </w:rPr>
  </w:style>
  <w:style w:type="paragraph" w:styleId="Heading4">
    <w:name w:val="Heading 4"/>
    <w:basedOn w:val="Normal"/>
    <w:next w:val="Normal"/>
    <w:link w:val="标题4Char"/>
    <w:uiPriority w:val="9"/>
    <w:semiHidden/>
    <w:unhideWhenUsed/>
    <w:qFormat/>
    <w:pPr>
      <w:keepNext/>
      <w:widowControl/>
      <w:spacing w:before="240" w:after="60"/>
      <w:jc w:val="left"/>
      <w:outlineLvl w:val="3"/>
    </w:pPr>
    <w:rPr>
      <w:rFonts w:ascii="Calibri" w:eastAsia="宋体" w:hAnsi="Calibri" w:asciiTheme="minorHAnsi" w:eastAsiaTheme="minorEastAsia" w:hAnsiTheme="minorHAnsi"/>
      <w:b/>
      <w:bCs/>
      <w:kern w:val="0"/>
      <w:sz w:val="28"/>
      <w:szCs w:val="28"/>
    </w:rPr>
  </w:style>
  <w:style w:type="paragraph" w:styleId="Heading5">
    <w:name w:val="Heading 5"/>
    <w:basedOn w:val="Normal"/>
    <w:next w:val="Normal"/>
    <w:link w:val="标题5Char"/>
    <w:uiPriority w:val="9"/>
    <w:semiHidden/>
    <w:unhideWhenUsed/>
    <w:qFormat/>
    <w:pPr>
      <w:widowControl/>
      <w:spacing w:before="240" w:after="60"/>
      <w:jc w:val="left"/>
      <w:outlineLvl w:val="4"/>
    </w:pPr>
    <w:rPr>
      <w:rFonts w:ascii="Calibri" w:eastAsia="宋体" w:hAnsi="Calibri" w:asciiTheme="minorHAnsi" w:eastAsiaTheme="minorEastAsia" w:hAnsiTheme="minorHAnsi"/>
      <w:b/>
      <w:bCs/>
      <w:i/>
      <w:iCs/>
      <w:kern w:val="0"/>
      <w:sz w:val="26"/>
      <w:szCs w:val="26"/>
    </w:rPr>
  </w:style>
  <w:style w:type="paragraph" w:styleId="Heading6">
    <w:name w:val="Heading 6"/>
    <w:basedOn w:val="Normal"/>
    <w:next w:val="Normal"/>
    <w:link w:val="标题6Char"/>
    <w:uiPriority w:val="9"/>
    <w:semiHidden/>
    <w:unhideWhenUsed/>
    <w:qFormat/>
    <w:pPr>
      <w:widowControl/>
      <w:spacing w:before="240" w:after="60"/>
      <w:jc w:val="left"/>
      <w:outlineLvl w:val="5"/>
    </w:pPr>
    <w:rPr>
      <w:rFonts w:ascii="Calibri" w:eastAsia="宋体" w:hAnsi="Calibri" w:asciiTheme="minorHAnsi" w:eastAsiaTheme="minorEastAsia" w:hAnsiTheme="minorHAnsi"/>
      <w:b/>
      <w:bCs/>
      <w:kern w:val="0"/>
      <w:sz w:val="22"/>
      <w:szCs w:val="22"/>
    </w:rPr>
  </w:style>
  <w:style w:type="paragraph" w:styleId="Heading7">
    <w:name w:val="Heading 7"/>
    <w:basedOn w:val="Normal"/>
    <w:next w:val="Normal"/>
    <w:link w:val="标题7Char"/>
    <w:uiPriority w:val="9"/>
    <w:semiHidden/>
    <w:unhideWhenUsed/>
    <w:qFormat/>
    <w:pPr>
      <w:widowControl/>
      <w:spacing w:before="240" w:after="60"/>
      <w:jc w:val="left"/>
      <w:outlineLvl w:val="6"/>
    </w:pPr>
    <w:rPr>
      <w:rFonts w:ascii="Calibri" w:eastAsia="宋体" w:hAnsi="Calibri" w:asciiTheme="minorHAnsi" w:eastAsiaTheme="minorEastAsia" w:hAnsiTheme="minorHAnsi"/>
      <w:kern w:val="0"/>
      <w:sz w:val="24"/>
    </w:rPr>
  </w:style>
  <w:style w:type="paragraph" w:styleId="Heading8">
    <w:name w:val="Heading 8"/>
    <w:basedOn w:val="Normal"/>
    <w:next w:val="Normal"/>
    <w:link w:val="标题8Char"/>
    <w:uiPriority w:val="9"/>
    <w:semiHidden/>
    <w:unhideWhenUsed/>
    <w:qFormat/>
    <w:pPr>
      <w:widowControl/>
      <w:spacing w:before="240" w:after="60"/>
      <w:jc w:val="left"/>
      <w:outlineLvl w:val="7"/>
    </w:pPr>
    <w:rPr>
      <w:rFonts w:ascii="Calibri" w:eastAsia="宋体" w:hAnsi="Calibri" w:asciiTheme="minorHAnsi" w:eastAsiaTheme="minorEastAsia" w:hAnsiTheme="minorHAnsi"/>
      <w:i/>
      <w:iCs/>
      <w:kern w:val="0"/>
      <w:sz w:val="24"/>
    </w:rPr>
  </w:style>
  <w:style w:type="paragraph" w:styleId="Heading9">
    <w:name w:val="Heading 9"/>
    <w:basedOn w:val="Normal"/>
    <w:next w:val="Normal"/>
    <w:link w:val="标题9Char"/>
    <w:uiPriority w:val="9"/>
    <w:semiHidden/>
    <w:unhideWhenUsed/>
    <w:qFormat/>
    <w:pPr>
      <w:widowControl/>
      <w:spacing w:before="240" w:after="60"/>
      <w:jc w:val="left"/>
      <w:outlineLvl w:val="8"/>
    </w:pPr>
    <w:rPr>
      <w:rFonts w:ascii="Cambria" w:eastAsia="宋体" w:hAnsi="Cambria" w:asciiTheme="majorHAnsi" w:eastAsiaTheme="majorEastAsia" w:hAnsiTheme="majorHAnsi"/>
      <w:kern w:val="0"/>
      <w:sz w:val="22"/>
      <w:szCs w:val="22"/>
    </w:rPr>
  </w:style>
  <w:style w:type="character" w:default="1" w:styleId="DefaultParagraphFont">
    <w:name w:val="Default Paragraph Font"/>
    <w:uiPriority w:val="1"/>
    <w:semiHidden/>
    <w:unhideWhenUsed/>
    <w:qFormat/>
    <w:rPr/>
  </w:style>
  <w:style w:type="table" w:default="1" w:styleId="NormalTable">
    <w:name w:val="Normal Table"/>
    <w:uiPriority w:val="99"/>
    <w:semiHidden/>
    <w:unhideWhenUsed/>
    <w:qFormat/>
    <w:rPr/>
    <w:tblPr>
      <w:tblCellMar>
        <w:top w:w="0" w:type="dxa"/>
        <w:left w:w="108" w:type="dxa"/>
        <w:bottom w:w="0" w:type="dxa"/>
        <w:right w:w="108" w:type="dxa"/>
      </w:tblCellMar>
    </w:tblPr>
  </w:style>
  <w:style w:type="paragraph" w:styleId="BalloonText">
    <w:name w:val="Balloon Text"/>
    <w:basedOn w:val="Normal"/>
    <w:link w:val="批注框文本Char"/>
    <w:uiPriority w:val="99"/>
    <w:semiHidden/>
    <w:unhideWhenUsed/>
    <w:qFormat/>
    <w:rPr>
      <w:sz w:val="18"/>
      <w:szCs w:val="18"/>
    </w:rPr>
  </w:style>
  <w:style w:type="paragraph" w:styleId="Footer">
    <w:name w:val="Footer"/>
    <w:basedOn w:val="Normal"/>
    <w:link w:val="页脚Char"/>
    <w:uiPriority w:val="99"/>
    <w:unhideWhenUsed/>
    <w:qFormat/>
    <w:pPr>
      <w:tabs>
        <w:tab w:val="center" w:pos="4153"/>
        <w:tab w:val="right" w:pos="8306"/>
      </w:tabs>
      <w:snapToGrid w:val="0"/>
      <w:jc w:val="left"/>
    </w:pPr>
    <w:rPr>
      <w:rFonts w:ascii="Calibri" w:hAnsi="Calibri"/>
      <w:sz w:val="18"/>
      <w:szCs w:val="18"/>
    </w:rPr>
  </w:style>
  <w:style w:type="paragraph" w:styleId="Header">
    <w:name w:val="Header"/>
    <w:basedOn w:val="Normal"/>
    <w:link w:val="页眉Char"/>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Subtitle">
    <w:name w:val="Subtitle"/>
    <w:basedOn w:val="Normal"/>
    <w:next w:val="Normal"/>
    <w:link w:val="副标题Char"/>
    <w:uiPriority w:val="11"/>
    <w:qFormat/>
    <w:pPr>
      <w:widowControl/>
      <w:spacing w:after="60"/>
      <w:jc w:val="center"/>
      <w:outlineLvl w:val="1"/>
    </w:pPr>
    <w:rPr>
      <w:rFonts w:ascii="Cambria" w:eastAsia="宋体" w:hAnsi="Cambria" w:asciiTheme="majorHAnsi" w:eastAsiaTheme="majorEastAsia" w:hAnsiTheme="majorHAnsi"/>
      <w:kern w:val="0"/>
      <w:sz w:val="24"/>
    </w:rPr>
  </w:style>
  <w:style w:type="paragraph" w:styleId="Title">
    <w:name w:val="Title"/>
    <w:basedOn w:val="Normal"/>
    <w:next w:val="Normal"/>
    <w:link w:val="标题Char"/>
    <w:uiPriority w:val="10"/>
    <w:qFormat/>
    <w:pPr>
      <w:widowControl/>
      <w:spacing w:before="240" w:after="60"/>
      <w:jc w:val="center"/>
      <w:outlineLvl w:val="0"/>
    </w:pPr>
    <w:rPr>
      <w:rFonts w:ascii="Cambria" w:eastAsia="宋体" w:hAnsi="Cambria" w:asciiTheme="majorHAnsi" w:eastAsiaTheme="majorEastAsia" w:hAnsiTheme="majorHAnsi"/>
      <w:b/>
      <w:bCs/>
      <w:kern w:val="28"/>
      <w:sz w:val="32"/>
      <w:szCs w:val="32"/>
    </w:rPr>
  </w:style>
  <w:style w:type="character" w:styleId="Strong">
    <w:name w:val="Strong"/>
    <w:basedOn w:val="DefaultParagraphFont"/>
    <w:qFormat/>
    <w:rPr>
      <w:b/>
      <w:bCs/>
    </w:rPr>
  </w:style>
  <w:style w:type="character" w:styleId="Emphasis">
    <w:name w:val="Emphasis"/>
    <w:basedOn w:val="DefaultParagraphFont"/>
    <w:uiPriority w:val="20"/>
    <w:qFormat/>
    <w:rPr>
      <w:rFonts w:ascii="Calibri" w:hAnsi="Calibri" w:asciiTheme="minorHAnsi" w:hAnsiTheme="minorHAnsi"/>
      <w:b/>
      <w:i/>
      <w:iCs/>
    </w:rPr>
  </w:style>
  <w:style w:type="character" w:customStyle="1" w:styleId="标题1Char">
    <w:name w:val="标题 1 Char"/>
    <w:basedOn w:val="DefaultParagraphFont"/>
    <w:link w:val="Heading1"/>
    <w:uiPriority w:val="9"/>
    <w:qFormat/>
    <w:rPr>
      <w:rFonts w:ascii="Cambria" w:eastAsia="宋体" w:hAnsi="Cambria" w:asciiTheme="majorHAnsi" w:eastAsiaTheme="majorEastAsia" w:hAnsiTheme="majorHAnsi"/>
      <w:b/>
      <w:bCs/>
      <w:kern w:val="32"/>
      <w:sz w:val="32"/>
      <w:szCs w:val="32"/>
    </w:rPr>
  </w:style>
  <w:style w:type="character" w:customStyle="1" w:styleId="标题2Char">
    <w:name w:val="标题 2 Char"/>
    <w:basedOn w:val="DefaultParagraphFont"/>
    <w:link w:val="Heading2"/>
    <w:uiPriority w:val="9"/>
    <w:semiHidden/>
    <w:qFormat/>
    <w:rPr>
      <w:rFonts w:ascii="Cambria" w:eastAsia="宋体" w:hAnsi="Cambria" w:asciiTheme="majorHAnsi" w:eastAsiaTheme="majorEastAsia" w:hAnsiTheme="majorHAnsi"/>
      <w:b/>
      <w:bCs/>
      <w:i/>
      <w:iCs/>
      <w:sz w:val="28"/>
      <w:szCs w:val="28"/>
    </w:rPr>
  </w:style>
  <w:style w:type="character" w:customStyle="1" w:styleId="标题3Char">
    <w:name w:val="标题 3 Char"/>
    <w:basedOn w:val="DefaultParagraphFont"/>
    <w:link w:val="Heading3"/>
    <w:uiPriority w:val="9"/>
    <w:semiHidden/>
    <w:qFormat/>
    <w:rPr>
      <w:rFonts w:ascii="Cambria" w:eastAsia="宋体" w:hAnsi="Cambria" w:asciiTheme="majorHAnsi" w:eastAsiaTheme="majorEastAsia" w:hAnsiTheme="majorHAnsi"/>
      <w:b/>
      <w:bCs/>
      <w:sz w:val="26"/>
      <w:szCs w:val="26"/>
    </w:rPr>
  </w:style>
  <w:style w:type="character" w:customStyle="1" w:styleId="标题4Char">
    <w:name w:val="标题 4 Char"/>
    <w:basedOn w:val="DefaultParagraphFont"/>
    <w:link w:val="Heading4"/>
    <w:uiPriority w:val="9"/>
    <w:semiHidden/>
    <w:qFormat/>
    <w:rPr>
      <w:b/>
      <w:bCs/>
      <w:sz w:val="28"/>
      <w:szCs w:val="28"/>
    </w:rPr>
  </w:style>
  <w:style w:type="character" w:customStyle="1" w:styleId="标题5Char">
    <w:name w:val="标题 5 Char"/>
    <w:basedOn w:val="DefaultParagraphFont"/>
    <w:link w:val="Heading5"/>
    <w:uiPriority w:val="9"/>
    <w:semiHidden/>
    <w:qFormat/>
    <w:rPr>
      <w:b/>
      <w:bCs/>
      <w:i/>
      <w:iCs/>
      <w:sz w:val="26"/>
      <w:szCs w:val="26"/>
    </w:rPr>
  </w:style>
  <w:style w:type="character" w:customStyle="1" w:styleId="标题6Char">
    <w:name w:val="标题 6 Char"/>
    <w:basedOn w:val="DefaultParagraphFont"/>
    <w:link w:val="Heading6"/>
    <w:uiPriority w:val="9"/>
    <w:semiHidden/>
    <w:qFormat/>
    <w:rPr>
      <w:b/>
      <w:bCs/>
    </w:rPr>
  </w:style>
  <w:style w:type="character" w:customStyle="1" w:styleId="标题7Char">
    <w:name w:val="标题 7 Char"/>
    <w:basedOn w:val="DefaultParagraphFont"/>
    <w:link w:val="Heading7"/>
    <w:uiPriority w:val="9"/>
    <w:semiHidden/>
    <w:qFormat/>
    <w:rPr>
      <w:sz w:val="24"/>
      <w:szCs w:val="24"/>
    </w:rPr>
  </w:style>
  <w:style w:type="character" w:customStyle="1" w:styleId="标题8Char">
    <w:name w:val="标题 8 Char"/>
    <w:basedOn w:val="DefaultParagraphFont"/>
    <w:link w:val="Heading8"/>
    <w:uiPriority w:val="9"/>
    <w:semiHidden/>
    <w:qFormat/>
    <w:rPr>
      <w:i/>
      <w:iCs/>
      <w:sz w:val="24"/>
      <w:szCs w:val="24"/>
    </w:rPr>
  </w:style>
  <w:style w:type="character" w:customStyle="1" w:styleId="标题9Char">
    <w:name w:val="标题 9 Char"/>
    <w:basedOn w:val="DefaultParagraphFont"/>
    <w:link w:val="Heading9"/>
    <w:uiPriority w:val="9"/>
    <w:semiHidden/>
    <w:qFormat/>
    <w:rPr>
      <w:rFonts w:ascii="Cambria" w:eastAsia="宋体" w:hAnsi="Cambria" w:asciiTheme="majorHAnsi" w:eastAsiaTheme="majorEastAsia" w:hAnsiTheme="majorHAnsi"/>
    </w:rPr>
  </w:style>
  <w:style w:type="character" w:customStyle="1" w:styleId="标题Char">
    <w:name w:val="标题 Char"/>
    <w:basedOn w:val="DefaultParagraphFont"/>
    <w:link w:val="Title"/>
    <w:uiPriority w:val="10"/>
    <w:qFormat/>
    <w:rPr>
      <w:rFonts w:ascii="Cambria" w:eastAsia="宋体" w:hAnsi="Cambria" w:asciiTheme="majorHAnsi" w:eastAsiaTheme="majorEastAsia" w:hAnsiTheme="majorHAnsi"/>
      <w:b/>
      <w:bCs/>
      <w:kern w:val="28"/>
      <w:sz w:val="32"/>
      <w:szCs w:val="32"/>
    </w:rPr>
  </w:style>
  <w:style w:type="character" w:customStyle="1" w:styleId="副标题Char">
    <w:name w:val="副标题 Char"/>
    <w:basedOn w:val="DefaultParagraphFont"/>
    <w:link w:val="Subtitle"/>
    <w:uiPriority w:val="11"/>
    <w:qFormat/>
    <w:rPr>
      <w:rFonts w:ascii="Cambria" w:eastAsia="宋体" w:hAnsi="Cambria" w:asciiTheme="majorHAnsi" w:eastAsiaTheme="majorEastAsia" w:hAnsiTheme="majorHAnsi"/>
      <w:sz w:val="24"/>
      <w:szCs w:val="24"/>
    </w:rPr>
  </w:style>
  <w:style w:type="paragraph" w:styleId="NoSpacing">
    <w:name w:val="No Spacing"/>
    <w:basedOn w:val="Normal"/>
    <w:uiPriority w:val="1"/>
    <w:qFormat/>
    <w:pPr>
      <w:widowControl/>
      <w:jc w:val="left"/>
    </w:pPr>
    <w:rPr>
      <w:rFonts w:ascii="Calibri" w:eastAsia="宋体" w:hAnsi="Calibri" w:asciiTheme="minorHAnsi" w:eastAsiaTheme="minorEastAsia" w:hAnsiTheme="minorHAnsi"/>
      <w:kern w:val="0"/>
      <w:sz w:val="24"/>
      <w:szCs w:val="32"/>
      <w:lang w:eastAsia="en-US" w:bidi="en-US"/>
    </w:rPr>
  </w:style>
  <w:style w:type="paragraph" w:styleId="ListParagraph">
    <w:name w:val="List Paragraph"/>
    <w:basedOn w:val="Normal"/>
    <w:uiPriority w:val="34"/>
    <w:qFormat/>
    <w:pPr>
      <w:widowControl/>
      <w:ind w:left="720"/>
      <w:contextualSpacing/>
      <w:jc w:val="left"/>
    </w:pPr>
    <w:rPr>
      <w:rFonts w:ascii="Calibri" w:eastAsia="宋体" w:hAnsi="Calibri" w:asciiTheme="minorHAnsi" w:eastAsiaTheme="minorEastAsia" w:hAnsiTheme="minorHAnsi"/>
      <w:kern w:val="0"/>
      <w:sz w:val="24"/>
      <w:lang w:eastAsia="en-US" w:bidi="en-US"/>
    </w:rPr>
  </w:style>
  <w:style w:type="paragraph" w:styleId="Quote">
    <w:name w:val="Quote"/>
    <w:basedOn w:val="Normal"/>
    <w:next w:val="Normal"/>
    <w:link w:val="引用Char"/>
    <w:uiPriority w:val="29"/>
    <w:qFormat/>
    <w:pPr>
      <w:widowControl/>
      <w:jc w:val="left"/>
    </w:pPr>
    <w:rPr>
      <w:rFonts w:ascii="Calibri" w:eastAsia="宋体" w:hAnsi="Calibri" w:asciiTheme="minorHAnsi" w:eastAsiaTheme="minorEastAsia" w:hAnsiTheme="minorHAnsi"/>
      <w:i/>
      <w:kern w:val="0"/>
      <w:sz w:val="24"/>
    </w:rPr>
  </w:style>
  <w:style w:type="character" w:customStyle="1" w:styleId="引用Char">
    <w:name w:val="引用 Char"/>
    <w:basedOn w:val="DefaultParagraphFont"/>
    <w:link w:val="Quote"/>
    <w:uiPriority w:val="29"/>
    <w:qFormat/>
    <w:rPr>
      <w:i/>
      <w:sz w:val="24"/>
      <w:szCs w:val="24"/>
    </w:rPr>
  </w:style>
  <w:style w:type="paragraph" w:styleId="IntenseQuote">
    <w:name w:val="Intense Quote"/>
    <w:basedOn w:val="Normal"/>
    <w:next w:val="Normal"/>
    <w:link w:val="明显引用Char"/>
    <w:uiPriority w:val="30"/>
    <w:qFormat/>
    <w:pPr>
      <w:widowControl/>
      <w:ind w:left="720" w:right="720"/>
      <w:jc w:val="left"/>
    </w:pPr>
    <w:rPr>
      <w:rFonts w:ascii="Calibri" w:eastAsia="宋体" w:hAnsi="Calibri" w:asciiTheme="minorHAnsi" w:eastAsiaTheme="minorEastAsia" w:hAnsiTheme="minorHAnsi"/>
      <w:b/>
      <w:i/>
      <w:kern w:val="0"/>
      <w:sz w:val="24"/>
      <w:szCs w:val="22"/>
    </w:rPr>
  </w:style>
  <w:style w:type="character" w:customStyle="1" w:styleId="明显引用Char">
    <w:name w:val="明显引用 Char"/>
    <w:basedOn w:val="DefaultParagraphFont"/>
    <w:link w:val="IntenseQuote"/>
    <w:uiPriority w:val="30"/>
    <w:qFormat/>
    <w:rPr>
      <w:b/>
      <w:i/>
      <w:sz w:val="24"/>
    </w:rPr>
  </w:style>
  <w:style w:type="character" w:customStyle="1" w:styleId="不明显强调1">
    <w:name w:val="不明显强调1"/>
    <w:uiPriority w:val="19"/>
    <w:qFormat/>
    <w:rPr>
      <w:i/>
      <w:color w:val="595959" w:themeColor="text1" w:themeTint="A6"/>
      <w14:textFill>
        <w14:solidFill>
          <w14:schemeClr w14:val="tx1">
            <w14:lumMod w14:val="65000"/>
            <w14:lumOff w14:val="35000"/>
          </w14:schemeClr>
        </w14:solidFill>
      </w14:textFill>
    </w:rPr>
  </w:style>
  <w:style w:type="character" w:customStyle="1" w:styleId="明显强调1">
    <w:name w:val="明显强调1"/>
    <w:basedOn w:val="DefaultParagraphFont"/>
    <w:uiPriority w:val="21"/>
    <w:qFormat/>
    <w:rPr>
      <w:b/>
      <w:i/>
      <w:sz w:val="24"/>
      <w:szCs w:val="24"/>
      <w:u w:val="single"/>
    </w:rPr>
  </w:style>
  <w:style w:type="character" w:customStyle="1" w:styleId="不明显参考1">
    <w:name w:val="不明显参考1"/>
    <w:basedOn w:val="DefaultParagraphFont"/>
    <w:uiPriority w:val="31"/>
    <w:qFormat/>
    <w:rPr>
      <w:sz w:val="24"/>
      <w:szCs w:val="24"/>
      <w:u w:val="single"/>
    </w:rPr>
  </w:style>
  <w:style w:type="character" w:customStyle="1" w:styleId="明显参考1">
    <w:name w:val="明显参考1"/>
    <w:basedOn w:val="DefaultParagraphFont"/>
    <w:uiPriority w:val="32"/>
    <w:qFormat/>
    <w:rPr>
      <w:b/>
      <w:sz w:val="24"/>
      <w:u w:val="single"/>
    </w:rPr>
  </w:style>
  <w:style w:type="character" w:customStyle="1" w:styleId="书籍标题1">
    <w:name w:val="书籍标题1"/>
    <w:basedOn w:val="DefaultParagraphFont"/>
    <w:uiPriority w:val="33"/>
    <w:qFormat/>
    <w:rPr>
      <w:rFonts w:ascii="Cambria" w:eastAsia="宋体" w:hAnsi="Cambria" w:asciiTheme="majorHAnsi" w:eastAsiaTheme="majorEastAsia" w:hAnsiTheme="majorHAnsi"/>
      <w:b/>
      <w:i/>
      <w:sz w:val="24"/>
      <w:szCs w:val="24"/>
    </w:rPr>
  </w:style>
  <w:style w:type="paragraph" w:customStyle="1" w:styleId="TOC标题1">
    <w:name w:val="TOC 标题1"/>
    <w:basedOn w:val="Heading1"/>
    <w:next w:val="Normal"/>
    <w:uiPriority w:val="39"/>
    <w:semiHidden/>
    <w:unhideWhenUsed/>
    <w:qFormat/>
    <w:pPr>
      <w:outlineLvl w:val="9"/>
    </w:pPr>
    <w:rPr>
      <w:lang w:eastAsia="en-US" w:bidi="en-US"/>
    </w:rPr>
  </w:style>
  <w:style w:type="character" w:customStyle="1" w:styleId="页眉Char">
    <w:name w:val="页眉 Char"/>
    <w:basedOn w:val="DefaultParagraphFont"/>
    <w:link w:val="Header"/>
    <w:uiPriority w:val="99"/>
    <w:qFormat/>
    <w:rPr>
      <w:rFonts w:ascii="Calibri" w:eastAsia="宋体" w:hAnsi="Calibri"/>
      <w:kern w:val="2"/>
      <w:sz w:val="18"/>
      <w:szCs w:val="18"/>
    </w:rPr>
  </w:style>
  <w:style w:type="character" w:customStyle="1" w:styleId="页脚Char">
    <w:name w:val="页脚 Char"/>
    <w:basedOn w:val="DefaultParagraphFont"/>
    <w:link w:val="Footer"/>
    <w:uiPriority w:val="99"/>
    <w:qFormat/>
    <w:rPr>
      <w:rFonts w:ascii="Calibri" w:eastAsia="宋体" w:hAnsi="Calibri"/>
      <w:kern w:val="2"/>
      <w:sz w:val="18"/>
      <w:szCs w:val="18"/>
    </w:rPr>
  </w:style>
  <w:style w:type="character" w:customStyle="1" w:styleId="批注框文本Char">
    <w:name w:val="批注框文本 Char"/>
    <w:basedOn w:val="DefaultParagraphFont"/>
    <w:link w:val="BalloonText"/>
    <w:uiPriority w:val="99"/>
    <w:semiHidden/>
    <w:qFormat/>
    <w:rPr>
      <w:rFonts w:ascii="Times New Roman" w:eastAsia="宋体" w:hAnsi="Times New Roman"/>
      <w:kern w:val="2"/>
      <w:sz w:val="18"/>
      <w:szCs w:val="18"/>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footer" Target="footer1.xml"/><Relationship Id="rId4" Type="http://schemas.openxmlformats.org/officeDocument/2006/relationships/theme" Target="theme/theme1.xml"/><Relationship Id="rId5" Type="http://schemas.openxmlformats.org/officeDocument/2006/relationships/styles" Target="style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2052-11.1.0.8799</vt:lpwstr>
  </property>
  <property fmtid="{D5CDD505-2E9C-101B-9397-08002B2CF9AE}" pid="3" name="ICV">
    <vt:lpwstr>AC8D1C95289B424182C977C1902B2A2F</vt:lpwstr>
  </property>
</Properties>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Template>
  <TotalTime>0</TotalTime>
  <Pages>3</Pages>
  <Words>98</Words>
  <Characters>559</Characters>
  <Application>WPS Office_11.1.0.8799_F1E327BC-269C-435d-A152-05C5408002CA</Application>
  <DocSecurity>0</DocSecurity>
  <Lines>4</Lines>
  <Paragraphs>1</Paragraphs>
  <Company>市财政资金综合评价中心</Company>
  <CharactersWithSpaces>656</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恺_xFF08_预算处_xFF09_</dc:creator>
  <cp:lastModifiedBy>user</cp:lastModifiedBy>
  <cp:revision>2</cp:revision>
  <cp:lastPrinted>2018-12-31T10:56:00Z</cp:lastPrinted>
  <dcterms:created xsi:type="dcterms:W3CDTF">2025-04-28T05:31:00Z</dcterms:created>
  <dcterms:modified xsi:type="dcterms:W3CDTF">2025-09-05T05:16:41Z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2052-11.1.0.8799</vt:lpwstr>
  </property>
  <property fmtid="{D5CDD505-2E9C-101B-9397-08002B2CF9AE}" pid="3" name="ICV">
    <vt:lpwstr>AC8D1C95289B424182C977C1902B2A2F</vt:lpwstr>
  </property>
</Properties>
</file>