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8D4A6">
      <w:pPr>
        <w:spacing w:line="480" w:lineRule="auto"/>
        <w:ind w:firstLine="0" w:firstLineChars="0"/>
        <w:rPr>
          <w:rFonts w:ascii="Times New Roman" w:hAnsi="Times New Roman" w:eastAsia="黑体" w:cs="Times New Roman"/>
          <w:b/>
          <w:kern w:val="0"/>
          <w:sz w:val="50"/>
          <w:szCs w:val="50"/>
          <w:lang w:bidi="en-US"/>
        </w:rPr>
      </w:pPr>
    </w:p>
    <w:p w14:paraId="6EC0ADC6">
      <w:pPr>
        <w:spacing w:line="480" w:lineRule="auto"/>
        <w:ind w:firstLine="0" w:firstLineChars="0"/>
        <w:rPr>
          <w:rFonts w:ascii="Times New Roman" w:hAnsi="Times New Roman" w:eastAsia="黑体" w:cs="Times New Roman"/>
          <w:b/>
          <w:kern w:val="0"/>
          <w:sz w:val="50"/>
          <w:szCs w:val="50"/>
          <w:lang w:bidi="en-US"/>
        </w:rPr>
      </w:pPr>
    </w:p>
    <w:p w14:paraId="6682BC07">
      <w:pPr>
        <w:spacing w:line="480" w:lineRule="auto"/>
        <w:ind w:firstLine="0" w:firstLineChars="0"/>
        <w:jc w:val="center"/>
        <w:rPr>
          <w:rFonts w:ascii="Times New Roman" w:hAnsi="Times New Roman" w:eastAsia="黑体" w:cs="Times New Roman"/>
          <w:b/>
          <w:kern w:val="0"/>
          <w:sz w:val="50"/>
          <w:szCs w:val="50"/>
          <w:lang w:bidi="en-US"/>
        </w:rPr>
      </w:pPr>
    </w:p>
    <w:p w14:paraId="5FDDA31E">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 xml:space="preserve">财政项目支出绩效评价报告 </w:t>
      </w:r>
    </w:p>
    <w:p w14:paraId="4BFE949F">
      <w:pPr>
        <w:spacing w:line="480" w:lineRule="auto"/>
        <w:ind w:firstLine="0" w:firstLineChars="0"/>
        <w:jc w:val="center"/>
        <w:rPr>
          <w:rFonts w:ascii="Times New Roman" w:hAnsi="Times New Roman" w:eastAsia="黑体" w:cs="Times New Roman"/>
          <w:b/>
          <w:kern w:val="0"/>
          <w:sz w:val="50"/>
          <w:szCs w:val="50"/>
          <w:lang w:bidi="en-US"/>
        </w:rPr>
      </w:pPr>
    </w:p>
    <w:p w14:paraId="420BD2A5">
      <w:pPr>
        <w:spacing w:line="480" w:lineRule="auto"/>
        <w:ind w:firstLine="0" w:firstLineChars="0"/>
        <w:jc w:val="center"/>
        <w:rPr>
          <w:rFonts w:ascii="Times New Roman" w:hAnsi="Times New Roman" w:eastAsia="黑体" w:cs="Times New Roman"/>
          <w:b/>
          <w:kern w:val="0"/>
          <w:sz w:val="50"/>
          <w:szCs w:val="50"/>
          <w:lang w:bidi="en-US"/>
        </w:rPr>
      </w:pPr>
    </w:p>
    <w:p w14:paraId="15928EB3">
      <w:pPr>
        <w:spacing w:line="480" w:lineRule="auto"/>
        <w:ind w:firstLine="0" w:firstLineChars="0"/>
        <w:jc w:val="center"/>
        <w:rPr>
          <w:rFonts w:ascii="Times New Roman" w:hAnsi="Times New Roman" w:eastAsia="黑体" w:cs="Times New Roman"/>
          <w:b/>
          <w:kern w:val="0"/>
          <w:sz w:val="50"/>
          <w:szCs w:val="50"/>
          <w:lang w:bidi="en-US"/>
        </w:rPr>
      </w:pPr>
    </w:p>
    <w:p w14:paraId="453655CB">
      <w:pPr>
        <w:spacing w:line="480" w:lineRule="auto"/>
        <w:ind w:firstLine="0" w:firstLineChars="0"/>
        <w:jc w:val="center"/>
        <w:rPr>
          <w:rFonts w:ascii="Times New Roman" w:hAnsi="Times New Roman" w:eastAsia="黑体" w:cs="Times New Roman"/>
          <w:b/>
          <w:kern w:val="0"/>
          <w:sz w:val="50"/>
          <w:szCs w:val="50"/>
          <w:lang w:bidi="en-US"/>
        </w:rPr>
      </w:pPr>
    </w:p>
    <w:p w14:paraId="59C3C9B8">
      <w:pPr>
        <w:spacing w:line="480" w:lineRule="auto"/>
        <w:ind w:firstLine="0" w:firstLineChars="0"/>
        <w:jc w:val="center"/>
        <w:rPr>
          <w:rFonts w:ascii="Times New Roman" w:hAnsi="Times New Roman" w:eastAsia="黑体" w:cs="Times New Roman"/>
          <w:b/>
          <w:kern w:val="0"/>
          <w:sz w:val="50"/>
          <w:szCs w:val="50"/>
          <w:lang w:bidi="en-US"/>
        </w:rPr>
      </w:pPr>
    </w:p>
    <w:p w14:paraId="2FB4DE6D">
      <w:pPr>
        <w:spacing w:line="480" w:lineRule="auto"/>
        <w:ind w:firstLine="0" w:firstLineChars="0"/>
        <w:jc w:val="center"/>
        <w:rPr>
          <w:rFonts w:ascii="Times New Roman" w:hAnsi="Times New Roman" w:eastAsia="黑体" w:cs="Times New Roman"/>
          <w:b/>
          <w:kern w:val="0"/>
          <w:sz w:val="50"/>
          <w:szCs w:val="50"/>
          <w:lang w:bidi="en-US"/>
        </w:rPr>
      </w:pPr>
    </w:p>
    <w:p w14:paraId="5708E789">
      <w:pPr>
        <w:spacing w:line="480" w:lineRule="auto"/>
        <w:ind w:firstLine="0" w:firstLineChars="0"/>
        <w:jc w:val="center"/>
        <w:rPr>
          <w:rFonts w:ascii="仿宋_GB2312" w:hAnsi="Times New Roman" w:cs="Times New Roman"/>
          <w:kern w:val="0"/>
          <w:sz w:val="30"/>
          <w:szCs w:val="30"/>
          <w:lang w:bidi="en-US"/>
        </w:rPr>
      </w:pPr>
    </w:p>
    <w:p w14:paraId="0A419877">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w:t>
      </w:r>
      <w:r>
        <w:rPr>
          <w:rFonts w:ascii="仿宋_GB2312" w:hAnsi="Times New Roman" w:cs="Times New Roman"/>
          <w:kern w:val="0"/>
          <w:sz w:val="32"/>
          <w:szCs w:val="32"/>
          <w:lang w:bidi="en-US"/>
        </w:rPr>
        <w:t>2024</w:t>
      </w:r>
      <w:r>
        <w:rPr>
          <w:rFonts w:hint="eastAsia" w:ascii="仿宋_GB2312" w:hAnsi="Times New Roman" w:cs="Times New Roman"/>
          <w:kern w:val="0"/>
          <w:sz w:val="32"/>
          <w:szCs w:val="32"/>
          <w:lang w:bidi="en-US"/>
        </w:rPr>
        <w:t>年乌鲁木齐市教育招生考试中心</w:t>
      </w:r>
    </w:p>
    <w:p w14:paraId="0698C107">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标准化考点改造设备采购项目</w:t>
      </w:r>
      <w:r>
        <w:rPr>
          <w:rFonts w:ascii="仿宋_GB2312" w:hAnsi="Times New Roman" w:cs="Times New Roman"/>
          <w:kern w:val="0"/>
          <w:sz w:val="32"/>
          <w:szCs w:val="32"/>
          <w:lang w:bidi="en-US"/>
        </w:rPr>
        <w:t xml:space="preserve"> </w:t>
      </w:r>
    </w:p>
    <w:p w14:paraId="544C6B34">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项目单位：乌鲁木齐市教育招生考试中心</w:t>
      </w:r>
      <w:r>
        <w:rPr>
          <w:rFonts w:ascii="仿宋_GB2312" w:hAnsi="Times New Roman" w:cs="Times New Roman"/>
          <w:kern w:val="0"/>
          <w:sz w:val="32"/>
          <w:szCs w:val="32"/>
          <w:lang w:bidi="en-US"/>
        </w:rPr>
        <w:t xml:space="preserve"> </w:t>
      </w:r>
    </w:p>
    <w:p w14:paraId="18F5332A">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主管部门：乌鲁木齐市教育局</w:t>
      </w:r>
    </w:p>
    <w:p w14:paraId="47FFFCDC">
      <w:pPr>
        <w:spacing w:line="480" w:lineRule="auto"/>
        <w:ind w:firstLine="1411" w:firstLineChars="441"/>
        <w:jc w:val="left"/>
        <w:rPr>
          <w:rFonts w:ascii="仿宋_GB2312" w:hAnsi="Times New Roman" w:cs="Times New Roman"/>
          <w:kern w:val="0"/>
          <w:sz w:val="32"/>
          <w:szCs w:val="32"/>
          <w:lang w:bidi="en-US"/>
        </w:rPr>
      </w:pPr>
    </w:p>
    <w:p w14:paraId="586655E8">
      <w:pPr>
        <w:spacing w:line="480" w:lineRule="auto"/>
        <w:ind w:firstLine="0" w:firstLineChars="0"/>
        <w:rPr>
          <w:rFonts w:ascii="黑体" w:hAnsi="Times New Roman" w:eastAsia="黑体" w:cs="Times New Roman"/>
          <w:b/>
          <w:kern w:val="0"/>
          <w:sz w:val="32"/>
          <w:szCs w:val="32"/>
          <w:lang w:bidi="en-US"/>
        </w:rPr>
      </w:pPr>
    </w:p>
    <w:p w14:paraId="14BA8469">
      <w:pPr>
        <w:spacing w:line="480" w:lineRule="auto"/>
        <w:ind w:firstLine="0" w:firstLineChars="0"/>
        <w:rPr>
          <w:rFonts w:ascii="黑体" w:hAnsi="Times New Roman" w:eastAsia="黑体" w:cs="Times New Roman"/>
          <w:b/>
          <w:kern w:val="0"/>
          <w:sz w:val="32"/>
          <w:szCs w:val="32"/>
          <w:lang w:bidi="en-US"/>
        </w:rPr>
      </w:pPr>
    </w:p>
    <w:p w14:paraId="70F3DF26">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2024年0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6352191C">
      <w:pPr>
        <w:spacing w:line="480" w:lineRule="auto"/>
        <w:ind w:firstLine="0" w:firstLineChars="0"/>
        <w:jc w:val="center"/>
        <w:rPr>
          <w:rFonts w:ascii="仿宋_GB2312" w:hAnsi="Times New Roman" w:cs="Times New Roman"/>
          <w:kern w:val="0"/>
          <w:sz w:val="32"/>
          <w:szCs w:val="32"/>
          <w:lang w:bidi="en-US"/>
        </w:rPr>
      </w:pPr>
    </w:p>
    <w:p w14:paraId="7E56FB3B">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2B16D900">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01E49EB0">
          <w:pPr>
            <w:pStyle w:val="30"/>
            <w:ind w:firstLine="560"/>
            <w:jc w:val="center"/>
            <w:rPr>
              <w:rFonts w:hint="eastAsia"/>
            </w:rPr>
          </w:pPr>
          <w:r>
            <w:rPr>
              <w:lang w:val="zh-CN"/>
            </w:rPr>
            <w:t>目录</w:t>
          </w:r>
        </w:p>
        <w:p w14:paraId="3090ECA7">
          <w:pPr>
            <w:pStyle w:val="10"/>
            <w:tabs>
              <w:tab w:val="left" w:pos="1540"/>
              <w:tab w:val="right" w:leader="dot" w:pos="8296"/>
            </w:tabs>
            <w:ind w:firstLine="560"/>
            <w:rPr>
              <w:rFonts w:hint="eastAsia" w:asciiTheme="minorHAnsi" w:hAnsiTheme="minorHAnsi" w:eastAsiaTheme="minorEastAsia" w:cstheme="minorBidi"/>
              <w:sz w:val="22"/>
              <w:szCs w:val="24"/>
            </w:rPr>
          </w:pPr>
          <w:r>
            <w:fldChar w:fldCharType="begin"/>
          </w:r>
          <w:r>
            <w:instrText xml:space="preserve">TOC \o "1-3" \h \z \u</w:instrText>
          </w:r>
          <w:r>
            <w:fldChar w:fldCharType="separate"/>
          </w:r>
          <w:r>
            <w:fldChar w:fldCharType="begin"/>
          </w:r>
          <w:r>
            <w:instrText xml:space="preserve"> HYPERLINK \l "_Toc197478746" </w:instrText>
          </w:r>
          <w:r>
            <w:fldChar w:fldCharType="separate"/>
          </w:r>
          <w:r>
            <w:rPr>
              <w:rStyle w:val="17"/>
              <w:rFonts w:hint="eastAsia" w:ascii="仿宋" w:hAnsi="仿宋" w:eastAsia="仿宋"/>
              <w:color w:val="0563C1" w:themeColor="hyperlink"/>
              <w:lang w:bidi="en-US"/>
              <w14:textFill>
                <w14:solidFill>
                  <w14:schemeClr w14:val="hlink"/>
                </w14:solidFill>
              </w14:textFill>
            </w:rPr>
            <w:t>一、</w:t>
          </w:r>
          <w:r>
            <w:rPr>
              <w:rFonts w:hint="eastAsia" w:asciiTheme="minorHAnsi" w:hAnsiTheme="minorHAnsi" w:eastAsiaTheme="minorEastAsia" w:cstheme="minorBidi"/>
              <w:sz w:val="22"/>
              <w:szCs w:val="24"/>
            </w:rPr>
            <w:tab/>
          </w:r>
          <w:r>
            <w:rPr>
              <w:rStyle w:val="17"/>
              <w:rFonts w:hint="eastAsia" w:ascii="仿宋" w:hAnsi="仿宋" w:eastAsia="仿宋"/>
              <w:color w:val="0563C1" w:themeColor="hyperlink"/>
              <w:lang w:bidi="en-US"/>
              <w14:textFill>
                <w14:solidFill>
                  <w14:schemeClr w14:val="hlink"/>
                </w14:solidFill>
              </w14:textFill>
            </w:rPr>
            <w:t>基本情况</w:t>
          </w:r>
          <w:r>
            <w:rPr>
              <w:rFonts w:hint="eastAsia"/>
            </w:rPr>
            <w:tab/>
          </w:r>
          <w:r>
            <w:rPr>
              <w:rFonts w:hint="eastAsia"/>
            </w:rPr>
            <w:fldChar w:fldCharType="begin"/>
          </w:r>
          <w:r>
            <w:rPr>
              <w:rFonts w:hint="eastAsia"/>
            </w:rPr>
            <w:instrText xml:space="preserve"> </w:instrText>
          </w:r>
          <w:r>
            <w:instrText xml:space="preserve">PAGEREF _Toc197478746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2FD1BA77">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"_Toc197478747" </w:instrText>
          </w:r>
          <w:r>
            <w:fldChar w:fldCharType="separate"/>
          </w:r>
          <w:r>
            <w:rPr>
              <w:rStyle w:val="17"/>
              <w:rFonts w:hint="eastAsia" w:ascii="仿宋" w:hAnsi="仿宋" w:eastAsia="仿宋"/>
              <w:color w:val="0563C1" w:themeColor="hyperlink"/>
              <w:lang w:bidi="en-US"/>
              <w14:textFill>
                <w14:solidFill>
                  <w14:schemeClr w14:val="hlink"/>
                </w14:solidFill>
              </w14:textFill>
            </w:rPr>
            <w:t>（一）项目概况：</w:t>
          </w:r>
          <w:r>
            <w:rPr>
              <w:rFonts w:hint="eastAsia"/>
            </w:rPr>
            <w:tab/>
          </w:r>
          <w:r>
            <w:rPr>
              <w:rFonts w:hint="eastAsia"/>
            </w:rPr>
            <w:fldChar w:fldCharType="begin"/>
          </w:r>
          <w:r>
            <w:rPr>
              <w:rFonts w:hint="eastAsia"/>
            </w:rPr>
            <w:instrText xml:space="preserve"> </w:instrText>
          </w:r>
          <w:r>
            <w:instrText xml:space="preserve">PAGEREF _Toc197478747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0151ED0B">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"_Toc197478748" </w:instrText>
          </w:r>
          <w:r>
            <w:fldChar w:fldCharType="separate"/>
          </w:r>
          <w:r>
            <w:rPr>
              <w:rStyle w:val="17"/>
              <w:rFonts w:hint="eastAsia"/>
              <w:color w:val="0563C1" w:themeColor="hyperlink"/>
              <w14:textFill>
                <w14:solidFill>
                  <w14:schemeClr w14:val="hlink"/>
                </w14:solidFill>
              </w14:textFill>
            </w:rPr>
            <w:t>1项目背景、主要内容及实施情况</w:t>
          </w:r>
          <w:r>
            <w:rPr>
              <w:rFonts w:hint="eastAsia"/>
            </w:rPr>
            <w:tab/>
          </w:r>
          <w:r>
            <w:rPr>
              <w:rFonts w:hint="eastAsia"/>
            </w:rPr>
            <w:fldChar w:fldCharType="begin"/>
          </w:r>
          <w:r>
            <w:rPr>
              <w:rFonts w:hint="eastAsia"/>
            </w:rPr>
            <w:instrText xml:space="preserve"> </w:instrText>
          </w:r>
          <w:r>
            <w:instrText xml:space="preserve">PAGEREF _Toc197478748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26F74A3B">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"_Toc197478749" </w:instrText>
          </w:r>
          <w:r>
            <w:fldChar w:fldCharType="separate"/>
          </w:r>
          <w:r>
            <w:rPr>
              <w:rStyle w:val="17"/>
              <w:rFonts w:hint="eastAsia"/>
              <w:color w:val="0563C1" w:themeColor="hyperlink"/>
              <w14:textFill>
                <w14:solidFill>
                  <w14:schemeClr w14:val="hlink"/>
                </w14:solidFill>
              </w14:textFill>
            </w:rPr>
            <w:t>2.资金投入和使用情况</w:t>
          </w:r>
          <w:r>
            <w:rPr>
              <w:rFonts w:hint="eastAsia"/>
            </w:rPr>
            <w:tab/>
          </w:r>
          <w:r>
            <w:rPr>
              <w:rFonts w:hint="eastAsia"/>
            </w:rPr>
            <w:fldChar w:fldCharType="begin"/>
          </w:r>
          <w:r>
            <w:rPr>
              <w:rFonts w:hint="eastAsia"/>
            </w:rPr>
            <w:instrText xml:space="preserve"> </w:instrText>
          </w:r>
          <w:r>
            <w:instrText xml:space="preserve">PAGEREF _Toc197478749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284EB422">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"_Toc197478750" </w:instrText>
          </w:r>
          <w:r>
            <w:fldChar w:fldCharType="separate"/>
          </w:r>
          <w:r>
            <w:rPr>
              <w:rStyle w:val="17"/>
              <w:rFonts w:hint="eastAsia" w:ascii="仿宋" w:hAnsi="仿宋" w:eastAsia="仿宋"/>
              <w:color w:val="0563C1" w:themeColor="hyperlink"/>
              <w:lang w:bidi="en-US"/>
              <w14:textFill>
                <w14:solidFill>
                  <w14:schemeClr w14:val="hlink"/>
                </w14:solidFill>
              </w14:textFill>
            </w:rPr>
            <w:t>（二）项目绩效目标：</w:t>
          </w:r>
          <w:r>
            <w:rPr>
              <w:rFonts w:hint="eastAsia"/>
            </w:rPr>
            <w:tab/>
          </w:r>
          <w:r>
            <w:rPr>
              <w:rFonts w:hint="eastAsia"/>
            </w:rPr>
            <w:fldChar w:fldCharType="begin"/>
          </w:r>
          <w:r>
            <w:rPr>
              <w:rFonts w:hint="eastAsia"/>
            </w:rPr>
            <w:instrText xml:space="preserve"> </w:instrText>
          </w:r>
          <w:r>
            <w:instrText xml:space="preserve">PAGEREF _Toc197478750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202FF6F2">
          <w:pPr>
            <w:pStyle w:val="10"/>
            <w:tabs>
              <w:tab w:val="right" w:leader="dot" w:pos="8296"/>
            </w:tabs>
            <w:ind w:firstLine="560"/>
            <w:rPr>
              <w:rFonts w:hint="eastAsia" w:asciiTheme="minorHAnsi" w:hAnsiTheme="minorHAnsi" w:eastAsiaTheme="minorEastAsia" w:cstheme="minorBidi"/>
              <w:sz w:val="22"/>
              <w:szCs w:val="24"/>
            </w:rPr>
          </w:pPr>
          <w:r>
            <w:fldChar w:fldCharType="begin"/>
          </w:r>
          <w:r>
            <w:instrText xml:space="preserve"> HYPERLINK \l "_Toc197478751" </w:instrText>
          </w:r>
          <w:r>
            <w:fldChar w:fldCharType="separate"/>
          </w:r>
          <w:r>
            <w:rPr>
              <w:rStyle w:val="17"/>
              <w:rFonts w:hint="eastAsia" w:ascii="仿宋" w:hAnsi="仿宋" w:eastAsia="仿宋"/>
              <w:color w:val="0563C1" w:themeColor="hyperlink"/>
              <w:lang w:bidi="en-US"/>
              <w14:textFill>
                <w14:solidFill>
                  <w14:schemeClr w14:val="hlink"/>
                </w14:solidFill>
              </w14:textFill>
            </w:rPr>
            <w:t>二、绩效评价工作开展情况</w:t>
          </w:r>
          <w:r>
            <w:rPr>
              <w:rFonts w:hint="eastAsia"/>
            </w:rPr>
            <w:tab/>
          </w:r>
          <w:r>
            <w:rPr>
              <w:rFonts w:hint="eastAsia"/>
            </w:rPr>
            <w:fldChar w:fldCharType="begin"/>
          </w:r>
          <w:r>
            <w:rPr>
              <w:rFonts w:hint="eastAsia"/>
            </w:rPr>
            <w:instrText xml:space="preserve"> </w:instrText>
          </w:r>
          <w:r>
            <w:instrText xml:space="preserve">PAGEREF _Toc197478751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141DDC97">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"_Toc197478752" </w:instrText>
          </w:r>
          <w:r>
            <w:fldChar w:fldCharType="separate"/>
          </w:r>
          <w:r>
            <w:rPr>
              <w:rStyle w:val="17"/>
              <w:rFonts w:hint="eastAsia" w:ascii="仿宋" w:hAnsi="仿宋" w:eastAsia="仿宋"/>
              <w:color w:val="0563C1" w:themeColor="hyperlink"/>
              <w:lang w:bidi="en-US"/>
              <w14:textFill>
                <w14:solidFill>
                  <w14:schemeClr w14:val="hlink"/>
                </w14:solidFill>
              </w14:textFill>
            </w:rPr>
            <w:t>（一）绩效评价目的、对象和范围</w:t>
          </w:r>
          <w:r>
            <w:rPr>
              <w:rFonts w:hint="eastAsia"/>
            </w:rPr>
            <w:tab/>
          </w:r>
          <w:r>
            <w:rPr>
              <w:rFonts w:hint="eastAsia"/>
            </w:rPr>
            <w:fldChar w:fldCharType="begin"/>
          </w:r>
          <w:r>
            <w:rPr>
              <w:rFonts w:hint="eastAsia"/>
            </w:rPr>
            <w:instrText xml:space="preserve"> </w:instrText>
          </w:r>
          <w:r>
            <w:instrText xml:space="preserve">PAGEREF _Toc197478752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760FD7F9">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"_Toc197478753" </w:instrText>
          </w:r>
          <w:r>
            <w:fldChar w:fldCharType="separate"/>
          </w:r>
          <w:r>
            <w:rPr>
              <w:rStyle w:val="17"/>
              <w:rFonts w:hint="eastAsia"/>
              <w:color w:val="0563C1" w:themeColor="hyperlink"/>
              <w14:textFill>
                <w14:solidFill>
                  <w14:schemeClr w14:val="hlink"/>
                </w14:solidFill>
              </w14:textFill>
            </w:rPr>
            <w:t>1.绩效评价完整性</w:t>
          </w:r>
          <w:r>
            <w:rPr>
              <w:rFonts w:hint="eastAsia"/>
            </w:rPr>
            <w:tab/>
          </w:r>
          <w:r>
            <w:rPr>
              <w:rFonts w:hint="eastAsia"/>
            </w:rPr>
            <w:fldChar w:fldCharType="begin"/>
          </w:r>
          <w:r>
            <w:rPr>
              <w:rFonts w:hint="eastAsia"/>
            </w:rPr>
            <w:instrText xml:space="preserve"> </w:instrText>
          </w:r>
          <w:r>
            <w:instrText xml:space="preserve">PAGEREF _Toc197478753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7C77BF34">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"_Toc197478754" </w:instrText>
          </w:r>
          <w:r>
            <w:fldChar w:fldCharType="separate"/>
          </w:r>
          <w:r>
            <w:rPr>
              <w:rStyle w:val="17"/>
              <w:rFonts w:hint="eastAsia"/>
              <w:color w:val="0563C1" w:themeColor="hyperlink"/>
              <w14:textFill>
                <w14:solidFill>
                  <w14:schemeClr w14:val="hlink"/>
                </w14:solidFill>
              </w14:textFill>
            </w:rPr>
            <w:t>2.评价目的</w:t>
          </w:r>
          <w:r>
            <w:rPr>
              <w:rFonts w:hint="eastAsia"/>
            </w:rPr>
            <w:tab/>
          </w:r>
          <w:r>
            <w:rPr>
              <w:rFonts w:hint="eastAsia"/>
            </w:rPr>
            <w:fldChar w:fldCharType="begin"/>
          </w:r>
          <w:r>
            <w:rPr>
              <w:rFonts w:hint="eastAsia"/>
            </w:rPr>
            <w:instrText xml:space="preserve"> </w:instrText>
          </w:r>
          <w:r>
            <w:instrText xml:space="preserve">PAGEREF _Toc197478754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2E011586">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"_Toc197478755" </w:instrText>
          </w:r>
          <w:r>
            <w:fldChar w:fldCharType="separate"/>
          </w:r>
          <w:r>
            <w:rPr>
              <w:rStyle w:val="17"/>
              <w:rFonts w:hint="eastAsia"/>
              <w:color w:val="0563C1" w:themeColor="hyperlink"/>
              <w14:textFill>
                <w14:solidFill>
                  <w14:schemeClr w14:val="hlink"/>
                </w14:solidFill>
              </w14:textFill>
            </w:rPr>
            <w:t>3.评价对象</w:t>
          </w:r>
          <w:r>
            <w:rPr>
              <w:rFonts w:hint="eastAsia"/>
            </w:rPr>
            <w:tab/>
          </w:r>
          <w:r>
            <w:rPr>
              <w:rFonts w:hint="eastAsia"/>
            </w:rPr>
            <w:fldChar w:fldCharType="begin"/>
          </w:r>
          <w:r>
            <w:rPr>
              <w:rFonts w:hint="eastAsia"/>
            </w:rPr>
            <w:instrText xml:space="preserve"> </w:instrText>
          </w:r>
          <w:r>
            <w:instrText xml:space="preserve">PAGEREF _Toc197478755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6C43F55F">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"_Toc197478756" </w:instrText>
          </w:r>
          <w:r>
            <w:fldChar w:fldCharType="separate"/>
          </w:r>
          <w:r>
            <w:rPr>
              <w:rStyle w:val="17"/>
              <w:rFonts w:hint="eastAsia"/>
              <w:color w:val="0563C1" w:themeColor="hyperlink"/>
              <w14:textFill>
                <w14:solidFill>
                  <w14:schemeClr w14:val="hlink"/>
                </w14:solidFill>
              </w14:textFill>
            </w:rPr>
            <w:t>4.绩效评价范围</w:t>
          </w:r>
          <w:r>
            <w:rPr>
              <w:rFonts w:hint="eastAsia"/>
            </w:rPr>
            <w:tab/>
          </w:r>
          <w:r>
            <w:rPr>
              <w:rFonts w:hint="eastAsia"/>
            </w:rPr>
            <w:fldChar w:fldCharType="begin"/>
          </w:r>
          <w:r>
            <w:rPr>
              <w:rFonts w:hint="eastAsia"/>
            </w:rPr>
            <w:instrText xml:space="preserve"> </w:instrText>
          </w:r>
          <w:r>
            <w:instrText xml:space="preserve">PAGEREF _Toc197478756 \h</w:instrText>
          </w:r>
          <w:r>
            <w:rPr>
              <w:rFonts w:hint="eastAsia"/>
            </w:rPr>
            <w:instrText xml:space="preserve"> </w:instrText>
          </w:r>
          <w:r>
            <w:fldChar w:fldCharType="separate"/>
          </w:r>
          <w:r>
            <w:t>7</w:t>
          </w:r>
          <w:r>
            <w:rPr>
              <w:rFonts w:hint="eastAsia"/>
            </w:rPr>
            <w:fldChar w:fldCharType="end"/>
          </w:r>
          <w:r>
            <w:rPr>
              <w:rFonts w:hint="eastAsia"/>
            </w:rPr>
            <w:fldChar w:fldCharType="end"/>
          </w:r>
        </w:p>
        <w:p w14:paraId="37B694F3">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"_Toc197478757" </w:instrText>
          </w:r>
          <w:r>
            <w:fldChar w:fldCharType="separate"/>
          </w:r>
          <w:r>
            <w:rPr>
              <w:rStyle w:val="17"/>
              <w:rFonts w:hint="eastAsia" w:ascii="仿宋" w:hAnsi="仿宋" w:eastAsia="仿宋"/>
              <w:color w:val="0563C1" w:themeColor="hyperlink"/>
              <w:lang w:bidi="en-US"/>
              <w14:textFill>
                <w14:solidFill>
                  <w14:schemeClr w14:val="hlink"/>
                </w14:solidFill>
              </w14:textFill>
            </w:rPr>
            <w:t>（二）绩效评价原则、指标体系、方法及标准</w:t>
          </w:r>
          <w:r>
            <w:rPr>
              <w:rFonts w:hint="eastAsia"/>
            </w:rPr>
            <w:tab/>
          </w:r>
          <w:r>
            <w:rPr>
              <w:rFonts w:hint="eastAsia"/>
            </w:rPr>
            <w:fldChar w:fldCharType="begin"/>
          </w:r>
          <w:r>
            <w:rPr>
              <w:rFonts w:hint="eastAsia"/>
            </w:rPr>
            <w:instrText xml:space="preserve"> </w:instrText>
          </w:r>
          <w:r>
            <w:instrText xml:space="preserve">PAGEREF _Toc197478757 \h</w:instrText>
          </w:r>
          <w:r>
            <w:rPr>
              <w:rFonts w:hint="eastAsia"/>
            </w:rPr>
            <w:instrText xml:space="preserve"> </w:instrText>
          </w:r>
          <w:r>
            <w:fldChar w:fldCharType="separate"/>
          </w:r>
          <w:r>
            <w:t>8</w:t>
          </w:r>
          <w:r>
            <w:rPr>
              <w:rFonts w:hint="eastAsia"/>
            </w:rPr>
            <w:fldChar w:fldCharType="end"/>
          </w:r>
          <w:r>
            <w:rPr>
              <w:rFonts w:hint="eastAsia"/>
            </w:rPr>
            <w:fldChar w:fldCharType="end"/>
          </w:r>
        </w:p>
        <w:p w14:paraId="4D33F9EF">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"_Toc197478758" </w:instrText>
          </w:r>
          <w:r>
            <w:fldChar w:fldCharType="separate"/>
          </w:r>
          <w:r>
            <w:rPr>
              <w:rStyle w:val="17"/>
              <w:rFonts w:hint="eastAsia"/>
              <w:color w:val="0563C1" w:themeColor="hyperlink"/>
              <w14:textFill>
                <w14:solidFill>
                  <w14:schemeClr w14:val="hlink"/>
                </w14:solidFill>
              </w14:textFill>
            </w:rPr>
            <w:t>1.评价原则</w:t>
          </w:r>
          <w:r>
            <w:rPr>
              <w:rFonts w:hint="eastAsia"/>
            </w:rPr>
            <w:tab/>
          </w:r>
          <w:r>
            <w:rPr>
              <w:rFonts w:hint="eastAsia"/>
            </w:rPr>
            <w:fldChar w:fldCharType="begin"/>
          </w:r>
          <w:r>
            <w:rPr>
              <w:rFonts w:hint="eastAsia"/>
            </w:rPr>
            <w:instrText xml:space="preserve"> </w:instrText>
          </w:r>
          <w:r>
            <w:instrText xml:space="preserve">PAGEREF _Toc197478758 \h</w:instrText>
          </w:r>
          <w:r>
            <w:rPr>
              <w:rFonts w:hint="eastAsia"/>
            </w:rPr>
            <w:instrText xml:space="preserve"> </w:instrText>
          </w:r>
          <w:r>
            <w:fldChar w:fldCharType="separate"/>
          </w:r>
          <w:r>
            <w:t>8</w:t>
          </w:r>
          <w:r>
            <w:rPr>
              <w:rFonts w:hint="eastAsia"/>
            </w:rPr>
            <w:fldChar w:fldCharType="end"/>
          </w:r>
          <w:r>
            <w:rPr>
              <w:rFonts w:hint="eastAsia"/>
            </w:rPr>
            <w:fldChar w:fldCharType="end"/>
          </w:r>
        </w:p>
        <w:p w14:paraId="3952804A">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"_Toc197478759" </w:instrText>
          </w:r>
          <w:r>
            <w:fldChar w:fldCharType="separate"/>
          </w:r>
          <w:r>
            <w:rPr>
              <w:rStyle w:val="17"/>
              <w:rFonts w:hint="eastAsia"/>
              <w:color w:val="0563C1" w:themeColor="hyperlink"/>
              <w14:textFill>
                <w14:solidFill>
                  <w14:schemeClr w14:val="hlink"/>
                </w14:solidFill>
              </w14:textFill>
            </w:rPr>
            <w:t>2.评价指标体系</w:t>
          </w:r>
          <w:r>
            <w:rPr>
              <w:rFonts w:hint="eastAsia"/>
            </w:rPr>
            <w:tab/>
          </w:r>
          <w:r>
            <w:rPr>
              <w:rFonts w:hint="eastAsia"/>
            </w:rPr>
            <w:fldChar w:fldCharType="begin"/>
          </w:r>
          <w:r>
            <w:rPr>
              <w:rFonts w:hint="eastAsia"/>
            </w:rPr>
            <w:instrText xml:space="preserve"> </w:instrText>
          </w:r>
          <w:r>
            <w:instrText xml:space="preserve">PAGEREF _Toc197478759 \h</w:instrText>
          </w:r>
          <w:r>
            <w:rPr>
              <w:rFonts w:hint="eastAsia"/>
            </w:rPr>
            <w:instrText xml:space="preserve"> </w:instrText>
          </w:r>
          <w:r>
            <w:fldChar w:fldCharType="separate"/>
          </w:r>
          <w:r>
            <w:t>9</w:t>
          </w:r>
          <w:r>
            <w:rPr>
              <w:rFonts w:hint="eastAsia"/>
            </w:rPr>
            <w:fldChar w:fldCharType="end"/>
          </w:r>
          <w:r>
            <w:rPr>
              <w:rFonts w:hint="eastAsia"/>
            </w:rPr>
            <w:fldChar w:fldCharType="end"/>
          </w:r>
        </w:p>
        <w:p w14:paraId="3F795ED2">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"_Toc197478760" </w:instrText>
          </w:r>
          <w:r>
            <w:fldChar w:fldCharType="separate"/>
          </w:r>
          <w:r>
            <w:rPr>
              <w:rStyle w:val="17"/>
              <w:rFonts w:hint="eastAsia"/>
              <w:color w:val="0563C1" w:themeColor="hyperlink"/>
              <w14:textFill>
                <w14:solidFill>
                  <w14:schemeClr w14:val="hlink"/>
                </w14:solidFill>
              </w14:textFill>
            </w:rPr>
            <w:t>3.评价方法</w:t>
          </w:r>
          <w:r>
            <w:rPr>
              <w:rFonts w:hint="eastAsia"/>
            </w:rPr>
            <w:tab/>
          </w:r>
          <w:r>
            <w:rPr>
              <w:rFonts w:hint="eastAsia"/>
            </w:rPr>
            <w:fldChar w:fldCharType="begin"/>
          </w:r>
          <w:r>
            <w:rPr>
              <w:rFonts w:hint="eastAsia"/>
            </w:rPr>
            <w:instrText xml:space="preserve"> </w:instrText>
          </w:r>
          <w:r>
            <w:instrText xml:space="preserve">PAGEREF _Toc197478760 \h</w:instrText>
          </w:r>
          <w:r>
            <w:rPr>
              <w:rFonts w:hint="eastAsia"/>
            </w:rPr>
            <w:instrText xml:space="preserve"> </w:instrText>
          </w:r>
          <w:r>
            <w:fldChar w:fldCharType="separate"/>
          </w:r>
          <w:r>
            <w:t>15</w:t>
          </w:r>
          <w:r>
            <w:rPr>
              <w:rFonts w:hint="eastAsia"/>
            </w:rPr>
            <w:fldChar w:fldCharType="end"/>
          </w:r>
          <w:r>
            <w:rPr>
              <w:rFonts w:hint="eastAsia"/>
            </w:rPr>
            <w:fldChar w:fldCharType="end"/>
          </w:r>
        </w:p>
        <w:p w14:paraId="7B0C39C0">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"_Toc197478761" </w:instrText>
          </w:r>
          <w:r>
            <w:fldChar w:fldCharType="separate"/>
          </w:r>
          <w:r>
            <w:rPr>
              <w:rStyle w:val="17"/>
              <w:rFonts w:hint="eastAsia"/>
              <w:color w:val="0563C1" w:themeColor="hyperlink"/>
              <w14:textFill>
                <w14:solidFill>
                  <w14:schemeClr w14:val="hlink"/>
                </w14:solidFill>
              </w14:textFill>
            </w:rPr>
            <w:t>4.评价标准</w:t>
          </w:r>
          <w:r>
            <w:rPr>
              <w:rFonts w:hint="eastAsia"/>
            </w:rPr>
            <w:tab/>
          </w:r>
          <w:r>
            <w:rPr>
              <w:rFonts w:hint="eastAsia"/>
            </w:rPr>
            <w:fldChar w:fldCharType="begin"/>
          </w:r>
          <w:r>
            <w:rPr>
              <w:rFonts w:hint="eastAsia"/>
            </w:rPr>
            <w:instrText xml:space="preserve"> </w:instrText>
          </w:r>
          <w:r>
            <w:instrText xml:space="preserve">PAGEREF _Toc197478761 \h</w:instrText>
          </w:r>
          <w:r>
            <w:rPr>
              <w:rFonts w:hint="eastAsia"/>
            </w:rPr>
            <w:instrText xml:space="preserve"> </w:instrText>
          </w:r>
          <w:r>
            <w:fldChar w:fldCharType="separate"/>
          </w:r>
          <w:r>
            <w:t>16</w:t>
          </w:r>
          <w:r>
            <w:rPr>
              <w:rFonts w:hint="eastAsia"/>
            </w:rPr>
            <w:fldChar w:fldCharType="end"/>
          </w:r>
          <w:r>
            <w:rPr>
              <w:rFonts w:hint="eastAsia"/>
            </w:rPr>
            <w:fldChar w:fldCharType="end"/>
          </w:r>
        </w:p>
        <w:p w14:paraId="63D44512">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"_Toc197478762" </w:instrText>
          </w:r>
          <w:r>
            <w:fldChar w:fldCharType="separate"/>
          </w:r>
          <w:r>
            <w:rPr>
              <w:rStyle w:val="17"/>
              <w:rFonts w:hint="eastAsia" w:ascii="仿宋" w:hAnsi="仿宋" w:eastAsia="仿宋"/>
              <w:color w:val="0563C1" w:themeColor="hyperlink"/>
              <w:lang w:bidi="en-US"/>
              <w14:textFill>
                <w14:solidFill>
                  <w14:schemeClr w14:val="hlink"/>
                </w14:solidFill>
              </w14:textFill>
            </w:rPr>
            <w:t>（三）绩效评价工作过程</w:t>
          </w:r>
          <w:r>
            <w:rPr>
              <w:rFonts w:hint="eastAsia"/>
            </w:rPr>
            <w:tab/>
          </w:r>
          <w:r>
            <w:rPr>
              <w:rFonts w:hint="eastAsia"/>
            </w:rPr>
            <w:fldChar w:fldCharType="begin"/>
          </w:r>
          <w:r>
            <w:rPr>
              <w:rFonts w:hint="eastAsia"/>
            </w:rPr>
            <w:instrText xml:space="preserve"> </w:instrText>
          </w:r>
          <w:r>
            <w:instrText xml:space="preserve">PAGEREF _Toc197478762 \h</w:instrText>
          </w:r>
          <w:r>
            <w:rPr>
              <w:rFonts w:hint="eastAsia"/>
            </w:rPr>
            <w:instrText xml:space="preserve"> </w:instrText>
          </w:r>
          <w:r>
            <w:fldChar w:fldCharType="separate"/>
          </w:r>
          <w:r>
            <w:t>17</w:t>
          </w:r>
          <w:r>
            <w:rPr>
              <w:rFonts w:hint="eastAsia"/>
            </w:rPr>
            <w:fldChar w:fldCharType="end"/>
          </w:r>
          <w:r>
            <w:rPr>
              <w:rFonts w:hint="eastAsia"/>
            </w:rPr>
            <w:fldChar w:fldCharType="end"/>
          </w:r>
        </w:p>
        <w:p w14:paraId="6E65FFD0">
          <w:pPr>
            <w:pStyle w:val="10"/>
            <w:tabs>
              <w:tab w:val="right" w:leader="dot" w:pos="8296"/>
            </w:tabs>
            <w:ind w:firstLine="560"/>
            <w:rPr>
              <w:rFonts w:hint="eastAsia" w:asciiTheme="minorHAnsi" w:hAnsiTheme="minorHAnsi" w:eastAsiaTheme="minorEastAsia" w:cstheme="minorBidi"/>
              <w:sz w:val="22"/>
              <w:szCs w:val="24"/>
            </w:rPr>
          </w:pPr>
          <w:r>
            <w:fldChar w:fldCharType="begin"/>
          </w:r>
          <w:r>
            <w:instrText xml:space="preserve"> HYPERLINK \l "_Toc197478763" </w:instrText>
          </w:r>
          <w:r>
            <w:fldChar w:fldCharType="separate"/>
          </w:r>
          <w:r>
            <w:rPr>
              <w:rStyle w:val="17"/>
              <w:rFonts w:hint="eastAsia" w:ascii="仿宋" w:hAnsi="仿宋" w:eastAsia="仿宋"/>
              <w:color w:val="0563C1" w:themeColor="hyperlink"/>
              <w:lang w:bidi="en-US"/>
              <w14:textFill>
                <w14:solidFill>
                  <w14:schemeClr w14:val="hlink"/>
                </w14:solidFill>
              </w14:textFill>
            </w:rPr>
            <w:t>三、综合评价情况及评价结论</w:t>
          </w:r>
          <w:r>
            <w:rPr>
              <w:rFonts w:hint="eastAsia"/>
            </w:rPr>
            <w:tab/>
          </w:r>
          <w:r>
            <w:rPr>
              <w:rFonts w:hint="eastAsia"/>
            </w:rPr>
            <w:fldChar w:fldCharType="begin"/>
          </w:r>
          <w:r>
            <w:rPr>
              <w:rFonts w:hint="eastAsia"/>
            </w:rPr>
            <w:instrText xml:space="preserve"> </w:instrText>
          </w:r>
          <w:r>
            <w:instrText xml:space="preserve">PAGEREF _Toc197478763 \h</w:instrText>
          </w:r>
          <w:r>
            <w:rPr>
              <w:rFonts w:hint="eastAsia"/>
            </w:rPr>
            <w:instrText xml:space="preserve"> </w:instrText>
          </w:r>
          <w:r>
            <w:fldChar w:fldCharType="separate"/>
          </w:r>
          <w:r>
            <w:t>17</w:t>
          </w:r>
          <w:r>
            <w:rPr>
              <w:rFonts w:hint="eastAsia"/>
            </w:rPr>
            <w:fldChar w:fldCharType="end"/>
          </w:r>
          <w:r>
            <w:rPr>
              <w:rFonts w:hint="eastAsia"/>
            </w:rPr>
            <w:fldChar w:fldCharType="end"/>
          </w:r>
        </w:p>
        <w:p w14:paraId="394AEBFE">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"_Toc197478764" </w:instrText>
          </w:r>
          <w:r>
            <w:fldChar w:fldCharType="separate"/>
          </w:r>
          <w:r>
            <w:rPr>
              <w:rStyle w:val="17"/>
              <w:rFonts w:hint="eastAsia" w:ascii="仿宋" w:hAnsi="仿宋" w:eastAsia="仿宋"/>
              <w:color w:val="0563C1" w:themeColor="hyperlink"/>
              <w:lang w:bidi="en-US"/>
              <w14:textFill>
                <w14:solidFill>
                  <w14:schemeClr w14:val="hlink"/>
                </w14:solidFill>
              </w14:textFill>
            </w:rPr>
            <w:t>（一）评价结论</w:t>
          </w:r>
          <w:r>
            <w:rPr>
              <w:rFonts w:hint="eastAsia"/>
            </w:rPr>
            <w:tab/>
          </w:r>
          <w:r>
            <w:rPr>
              <w:rFonts w:hint="eastAsia"/>
            </w:rPr>
            <w:fldChar w:fldCharType="begin"/>
          </w:r>
          <w:r>
            <w:rPr>
              <w:rFonts w:hint="eastAsia"/>
            </w:rPr>
            <w:instrText xml:space="preserve"> </w:instrText>
          </w:r>
          <w:r>
            <w:instrText xml:space="preserve">PAGEREF _Toc197478764 \h</w:instrText>
          </w:r>
          <w:r>
            <w:rPr>
              <w:rFonts w:hint="eastAsia"/>
            </w:rPr>
            <w:instrText xml:space="preserve"> </w:instrText>
          </w:r>
          <w:r>
            <w:fldChar w:fldCharType="separate"/>
          </w:r>
          <w:r>
            <w:t>17</w:t>
          </w:r>
          <w:r>
            <w:rPr>
              <w:rFonts w:hint="eastAsia"/>
            </w:rPr>
            <w:fldChar w:fldCharType="end"/>
          </w:r>
          <w:r>
            <w:rPr>
              <w:rFonts w:hint="eastAsia"/>
            </w:rPr>
            <w:fldChar w:fldCharType="end"/>
          </w:r>
        </w:p>
        <w:p w14:paraId="07312AD9">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"_Toc197478765" </w:instrText>
          </w:r>
          <w:r>
            <w:fldChar w:fldCharType="separate"/>
          </w:r>
          <w:r>
            <w:rPr>
              <w:rStyle w:val="17"/>
              <w:rFonts w:hint="eastAsia" w:ascii="仿宋" w:hAnsi="仿宋" w:eastAsia="仿宋"/>
              <w:color w:val="0563C1" w:themeColor="hyperlink"/>
              <w:lang w:bidi="en-US"/>
              <w14:textFill>
                <w14:solidFill>
                  <w14:schemeClr w14:val="hlink"/>
                </w14:solidFill>
              </w14:textFill>
            </w:rPr>
            <w:t>（二）主要绩效</w:t>
          </w:r>
          <w:r>
            <w:rPr>
              <w:rFonts w:hint="eastAsia"/>
            </w:rPr>
            <w:tab/>
          </w:r>
          <w:r>
            <w:rPr>
              <w:rFonts w:hint="eastAsia"/>
            </w:rPr>
            <w:fldChar w:fldCharType="begin"/>
          </w:r>
          <w:r>
            <w:rPr>
              <w:rFonts w:hint="eastAsia"/>
            </w:rPr>
            <w:instrText xml:space="preserve"> </w:instrText>
          </w:r>
          <w:r>
            <w:instrText xml:space="preserve">PAGEREF _Toc197478765 \h</w:instrText>
          </w:r>
          <w:r>
            <w:rPr>
              <w:rFonts w:hint="eastAsia"/>
            </w:rPr>
            <w:instrText xml:space="preserve"> </w:instrText>
          </w:r>
          <w:r>
            <w:fldChar w:fldCharType="separate"/>
          </w:r>
          <w:r>
            <w:t>18</w:t>
          </w:r>
          <w:r>
            <w:rPr>
              <w:rFonts w:hint="eastAsia"/>
            </w:rPr>
            <w:fldChar w:fldCharType="end"/>
          </w:r>
          <w:r>
            <w:rPr>
              <w:rFonts w:hint="eastAsia"/>
            </w:rPr>
            <w:fldChar w:fldCharType="end"/>
          </w:r>
        </w:p>
        <w:p w14:paraId="08F8C078">
          <w:pPr>
            <w:pStyle w:val="10"/>
            <w:tabs>
              <w:tab w:val="right" w:leader="dot" w:pos="8296"/>
            </w:tabs>
            <w:ind w:firstLine="560"/>
            <w:rPr>
              <w:rFonts w:hint="eastAsia" w:asciiTheme="minorHAnsi" w:hAnsiTheme="minorHAnsi" w:eastAsiaTheme="minorEastAsia" w:cstheme="minorBidi"/>
              <w:sz w:val="22"/>
              <w:szCs w:val="24"/>
            </w:rPr>
          </w:pPr>
          <w:r>
            <w:fldChar w:fldCharType="begin"/>
          </w:r>
          <w:r>
            <w:instrText xml:space="preserve"> HYPERLINK \l "_Toc197478766" </w:instrText>
          </w:r>
          <w:r>
            <w:fldChar w:fldCharType="separate"/>
          </w:r>
          <w:r>
            <w:rPr>
              <w:rStyle w:val="17"/>
              <w:rFonts w:hint="eastAsia" w:ascii="仿宋" w:hAnsi="仿宋" w:eastAsia="仿宋"/>
              <w:color w:val="0563C1" w:themeColor="hyperlink"/>
              <w:lang w:bidi="en-US"/>
              <w14:textFill>
                <w14:solidFill>
                  <w14:schemeClr w14:val="hlink"/>
                </w14:solidFill>
              </w14:textFill>
            </w:rPr>
            <w:t>四、绩效评价指标分析</w:t>
          </w:r>
          <w:r>
            <w:rPr>
              <w:rFonts w:hint="eastAsia"/>
            </w:rPr>
            <w:tab/>
          </w:r>
          <w:r>
            <w:rPr>
              <w:rFonts w:hint="eastAsia"/>
            </w:rPr>
            <w:fldChar w:fldCharType="begin"/>
          </w:r>
          <w:r>
            <w:rPr>
              <w:rFonts w:hint="eastAsia"/>
            </w:rPr>
            <w:instrText xml:space="preserve"> </w:instrText>
          </w:r>
          <w:r>
            <w:instrText xml:space="preserve">PAGEREF _Toc197478766 \h</w:instrText>
          </w:r>
          <w:r>
            <w:rPr>
              <w:rFonts w:hint="eastAsia"/>
            </w:rPr>
            <w:instrText xml:space="preserve"> </w:instrText>
          </w:r>
          <w:r>
            <w:fldChar w:fldCharType="separate"/>
          </w:r>
          <w:r>
            <w:t>19</w:t>
          </w:r>
          <w:r>
            <w:rPr>
              <w:rFonts w:hint="eastAsia"/>
            </w:rPr>
            <w:fldChar w:fldCharType="end"/>
          </w:r>
          <w:r>
            <w:rPr>
              <w:rFonts w:hint="eastAsia"/>
            </w:rPr>
            <w:fldChar w:fldCharType="end"/>
          </w:r>
        </w:p>
        <w:p w14:paraId="6B3B706C">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"_Toc197478767" </w:instrText>
          </w:r>
          <w:r>
            <w:fldChar w:fldCharType="separate"/>
          </w:r>
          <w:r>
            <w:rPr>
              <w:rStyle w:val="17"/>
              <w:rFonts w:hint="eastAsia" w:ascii="仿宋" w:hAnsi="仿宋" w:eastAsia="仿宋"/>
              <w:color w:val="0563C1" w:themeColor="hyperlink"/>
              <w:lang w:bidi="en-US"/>
              <w14:textFill>
                <w14:solidFill>
                  <w14:schemeClr w14:val="hlink"/>
                </w14:solidFill>
              </w14:textFill>
            </w:rPr>
            <w:t>（一）项目决策情况</w:t>
          </w:r>
          <w:r>
            <w:rPr>
              <w:rFonts w:hint="eastAsia"/>
            </w:rPr>
            <w:tab/>
          </w:r>
          <w:r>
            <w:rPr>
              <w:rFonts w:hint="eastAsia"/>
            </w:rPr>
            <w:fldChar w:fldCharType="begin"/>
          </w:r>
          <w:r>
            <w:rPr>
              <w:rFonts w:hint="eastAsia"/>
            </w:rPr>
            <w:instrText xml:space="preserve"> </w:instrText>
          </w:r>
          <w:r>
            <w:instrText xml:space="preserve">PAGEREF _Toc197478767 \h</w:instrText>
          </w:r>
          <w:r>
            <w:rPr>
              <w:rFonts w:hint="eastAsia"/>
            </w:rPr>
            <w:instrText xml:space="preserve"> </w:instrText>
          </w:r>
          <w:r>
            <w:fldChar w:fldCharType="separate"/>
          </w:r>
          <w:r>
            <w:t>19</w:t>
          </w:r>
          <w:r>
            <w:rPr>
              <w:rFonts w:hint="eastAsia"/>
            </w:rPr>
            <w:fldChar w:fldCharType="end"/>
          </w:r>
          <w:r>
            <w:rPr>
              <w:rFonts w:hint="eastAsia"/>
            </w:rPr>
            <w:fldChar w:fldCharType="end"/>
          </w:r>
        </w:p>
        <w:p w14:paraId="78219E24">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"_Toc197478768" </w:instrText>
          </w:r>
          <w:r>
            <w:fldChar w:fldCharType="separate"/>
          </w:r>
          <w:r>
            <w:rPr>
              <w:rStyle w:val="17"/>
              <w:rFonts w:hint="eastAsia"/>
              <w:color w:val="0563C1" w:themeColor="hyperlink"/>
              <w14:textFill>
                <w14:solidFill>
                  <w14:schemeClr w14:val="hlink"/>
                </w14:solidFill>
              </w14:textFill>
            </w:rPr>
            <w:t>1.项目立项</w:t>
          </w:r>
          <w:r>
            <w:rPr>
              <w:rFonts w:hint="eastAsia"/>
            </w:rPr>
            <w:tab/>
          </w:r>
          <w:r>
            <w:rPr>
              <w:rFonts w:hint="eastAsia"/>
            </w:rPr>
            <w:fldChar w:fldCharType="begin"/>
          </w:r>
          <w:r>
            <w:rPr>
              <w:rFonts w:hint="eastAsia"/>
            </w:rPr>
            <w:instrText xml:space="preserve"> </w:instrText>
          </w:r>
          <w:r>
            <w:instrText xml:space="preserve">PAGEREF _Toc197478768 \h</w:instrText>
          </w:r>
          <w:r>
            <w:rPr>
              <w:rFonts w:hint="eastAsia"/>
            </w:rPr>
            <w:instrText xml:space="preserve"> </w:instrText>
          </w:r>
          <w:r>
            <w:fldChar w:fldCharType="separate"/>
          </w:r>
          <w:r>
            <w:t>20</w:t>
          </w:r>
          <w:r>
            <w:rPr>
              <w:rFonts w:hint="eastAsia"/>
            </w:rPr>
            <w:fldChar w:fldCharType="end"/>
          </w:r>
          <w:r>
            <w:rPr>
              <w:rFonts w:hint="eastAsia"/>
            </w:rPr>
            <w:fldChar w:fldCharType="end"/>
          </w:r>
        </w:p>
        <w:p w14:paraId="3B6E788B">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"_Toc197478769" </w:instrText>
          </w:r>
          <w:r>
            <w:fldChar w:fldCharType="separate"/>
          </w:r>
          <w:r>
            <w:rPr>
              <w:rStyle w:val="17"/>
              <w:rFonts w:hint="eastAsia"/>
              <w:color w:val="0563C1" w:themeColor="hyperlink"/>
              <w14:textFill>
                <w14:solidFill>
                  <w14:schemeClr w14:val="hlink"/>
                </w14:solidFill>
              </w14:textFill>
            </w:rPr>
            <w:t>2.绩效目标</w:t>
          </w:r>
          <w:r>
            <w:rPr>
              <w:rFonts w:hint="eastAsia"/>
            </w:rPr>
            <w:tab/>
          </w:r>
          <w:r>
            <w:rPr>
              <w:rFonts w:hint="eastAsia"/>
            </w:rPr>
            <w:fldChar w:fldCharType="begin"/>
          </w:r>
          <w:r>
            <w:rPr>
              <w:rFonts w:hint="eastAsia"/>
            </w:rPr>
            <w:instrText xml:space="preserve"> </w:instrText>
          </w:r>
          <w:r>
            <w:instrText xml:space="preserve">PAGEREF _Toc197478769 \h</w:instrText>
          </w:r>
          <w:r>
            <w:rPr>
              <w:rFonts w:hint="eastAsia"/>
            </w:rPr>
            <w:instrText xml:space="preserve"> </w:instrText>
          </w:r>
          <w:r>
            <w:fldChar w:fldCharType="separate"/>
          </w:r>
          <w:r>
            <w:t>21</w:t>
          </w:r>
          <w:r>
            <w:rPr>
              <w:rFonts w:hint="eastAsia"/>
            </w:rPr>
            <w:fldChar w:fldCharType="end"/>
          </w:r>
          <w:r>
            <w:rPr>
              <w:rFonts w:hint="eastAsia"/>
            </w:rPr>
            <w:fldChar w:fldCharType="end"/>
          </w:r>
        </w:p>
        <w:p w14:paraId="4BFEAC57">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"_Toc197478770" </w:instrText>
          </w:r>
          <w:r>
            <w:fldChar w:fldCharType="separate"/>
          </w:r>
          <w:r>
            <w:rPr>
              <w:rStyle w:val="17"/>
              <w:rFonts w:hint="eastAsia"/>
              <w:color w:val="0563C1" w:themeColor="hyperlink"/>
              <w14:textFill>
                <w14:solidFill>
                  <w14:schemeClr w14:val="hlink"/>
                </w14:solidFill>
              </w14:textFill>
            </w:rPr>
            <w:t>3.资金投入</w:t>
          </w:r>
          <w:r>
            <w:rPr>
              <w:rFonts w:hint="eastAsia"/>
            </w:rPr>
            <w:tab/>
          </w:r>
          <w:r>
            <w:rPr>
              <w:rFonts w:hint="eastAsia"/>
            </w:rPr>
            <w:fldChar w:fldCharType="begin"/>
          </w:r>
          <w:r>
            <w:rPr>
              <w:rFonts w:hint="eastAsia"/>
            </w:rPr>
            <w:instrText xml:space="preserve"> </w:instrText>
          </w:r>
          <w:r>
            <w:instrText xml:space="preserve">PAGEREF _Toc197478770 \h</w:instrText>
          </w:r>
          <w:r>
            <w:rPr>
              <w:rFonts w:hint="eastAsia"/>
            </w:rPr>
            <w:instrText xml:space="preserve"> </w:instrText>
          </w:r>
          <w:r>
            <w:fldChar w:fldCharType="separate"/>
          </w:r>
          <w:r>
            <w:t>21</w:t>
          </w:r>
          <w:r>
            <w:rPr>
              <w:rFonts w:hint="eastAsia"/>
            </w:rPr>
            <w:fldChar w:fldCharType="end"/>
          </w:r>
          <w:r>
            <w:rPr>
              <w:rFonts w:hint="eastAsia"/>
            </w:rPr>
            <w:fldChar w:fldCharType="end"/>
          </w:r>
        </w:p>
        <w:p w14:paraId="0423CC78">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"_Toc197478771" </w:instrText>
          </w:r>
          <w:r>
            <w:fldChar w:fldCharType="separate"/>
          </w:r>
          <w:r>
            <w:rPr>
              <w:rStyle w:val="17"/>
              <w:rFonts w:hint="eastAsia" w:ascii="仿宋" w:hAnsi="仿宋" w:eastAsia="仿宋"/>
              <w:color w:val="0563C1" w:themeColor="hyperlink"/>
              <w:lang w:bidi="en-US"/>
              <w14:textFill>
                <w14:solidFill>
                  <w14:schemeClr w14:val="hlink"/>
                </w14:solidFill>
              </w14:textFill>
            </w:rPr>
            <w:t>（二）项目过程情况</w:t>
          </w:r>
          <w:r>
            <w:rPr>
              <w:rFonts w:hint="eastAsia"/>
            </w:rPr>
            <w:tab/>
          </w:r>
          <w:r>
            <w:rPr>
              <w:rFonts w:hint="eastAsia"/>
            </w:rPr>
            <w:fldChar w:fldCharType="begin"/>
          </w:r>
          <w:r>
            <w:rPr>
              <w:rFonts w:hint="eastAsia"/>
            </w:rPr>
            <w:instrText xml:space="preserve"> </w:instrText>
          </w:r>
          <w:r>
            <w:instrText xml:space="preserve">PAGEREF _Toc197478771 \h</w:instrText>
          </w:r>
          <w:r>
            <w:rPr>
              <w:rFonts w:hint="eastAsia"/>
            </w:rPr>
            <w:instrText xml:space="preserve"> </w:instrText>
          </w:r>
          <w:r>
            <w:fldChar w:fldCharType="separate"/>
          </w:r>
          <w:r>
            <w:t>22</w:t>
          </w:r>
          <w:r>
            <w:rPr>
              <w:rFonts w:hint="eastAsia"/>
            </w:rPr>
            <w:fldChar w:fldCharType="end"/>
          </w:r>
          <w:r>
            <w:rPr>
              <w:rFonts w:hint="eastAsia"/>
            </w:rPr>
            <w:fldChar w:fldCharType="end"/>
          </w:r>
        </w:p>
        <w:p w14:paraId="7BCE746A">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"_Toc197478772" </w:instrText>
          </w:r>
          <w:r>
            <w:fldChar w:fldCharType="separate"/>
          </w:r>
          <w:r>
            <w:rPr>
              <w:rStyle w:val="17"/>
              <w:rFonts w:hint="eastAsia"/>
              <w:color w:val="0563C1" w:themeColor="hyperlink"/>
              <w14:textFill>
                <w14:solidFill>
                  <w14:schemeClr w14:val="hlink"/>
                </w14:solidFill>
              </w14:textFill>
            </w:rPr>
            <w:t>1.资金管理</w:t>
          </w:r>
          <w:r>
            <w:rPr>
              <w:rFonts w:hint="eastAsia"/>
            </w:rPr>
            <w:tab/>
          </w:r>
          <w:r>
            <w:rPr>
              <w:rFonts w:hint="eastAsia"/>
            </w:rPr>
            <w:fldChar w:fldCharType="begin"/>
          </w:r>
          <w:r>
            <w:rPr>
              <w:rFonts w:hint="eastAsia"/>
            </w:rPr>
            <w:instrText xml:space="preserve"> </w:instrText>
          </w:r>
          <w:r>
            <w:instrText xml:space="preserve">PAGEREF _Toc197478772 \h</w:instrText>
          </w:r>
          <w:r>
            <w:rPr>
              <w:rFonts w:hint="eastAsia"/>
            </w:rPr>
            <w:instrText xml:space="preserve"> </w:instrText>
          </w:r>
          <w:r>
            <w:fldChar w:fldCharType="separate"/>
          </w:r>
          <w:r>
            <w:t>22</w:t>
          </w:r>
          <w:r>
            <w:rPr>
              <w:rFonts w:hint="eastAsia"/>
            </w:rPr>
            <w:fldChar w:fldCharType="end"/>
          </w:r>
          <w:r>
            <w:rPr>
              <w:rFonts w:hint="eastAsia"/>
            </w:rPr>
            <w:fldChar w:fldCharType="end"/>
          </w:r>
        </w:p>
        <w:p w14:paraId="17BC1114">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"_Toc197478773" </w:instrText>
          </w:r>
          <w:r>
            <w:fldChar w:fldCharType="separate"/>
          </w:r>
          <w:r>
            <w:rPr>
              <w:rStyle w:val="17"/>
              <w:rFonts w:hint="eastAsia"/>
              <w:color w:val="0563C1" w:themeColor="hyperlink"/>
              <w14:textFill>
                <w14:solidFill>
                  <w14:schemeClr w14:val="hlink"/>
                </w14:solidFill>
              </w14:textFill>
            </w:rPr>
            <w:t>2.组织实施</w:t>
          </w:r>
          <w:r>
            <w:rPr>
              <w:rFonts w:hint="eastAsia"/>
            </w:rPr>
            <w:tab/>
          </w:r>
          <w:r>
            <w:rPr>
              <w:rFonts w:hint="eastAsia"/>
            </w:rPr>
            <w:fldChar w:fldCharType="begin"/>
          </w:r>
          <w:r>
            <w:rPr>
              <w:rFonts w:hint="eastAsia"/>
            </w:rPr>
            <w:instrText xml:space="preserve"> </w:instrText>
          </w:r>
          <w:r>
            <w:instrText xml:space="preserve">PAGEREF _Toc197478773 \h</w:instrText>
          </w:r>
          <w:r>
            <w:rPr>
              <w:rFonts w:hint="eastAsia"/>
            </w:rPr>
            <w:instrText xml:space="preserve"> </w:instrText>
          </w:r>
          <w:r>
            <w:fldChar w:fldCharType="separate"/>
          </w:r>
          <w:r>
            <w:t>23</w:t>
          </w:r>
          <w:r>
            <w:rPr>
              <w:rFonts w:hint="eastAsia"/>
            </w:rPr>
            <w:fldChar w:fldCharType="end"/>
          </w:r>
          <w:r>
            <w:rPr>
              <w:rFonts w:hint="eastAsia"/>
            </w:rPr>
            <w:fldChar w:fldCharType="end"/>
          </w:r>
        </w:p>
        <w:p w14:paraId="28A2FB11">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"_Toc197478774" </w:instrText>
          </w:r>
          <w:r>
            <w:fldChar w:fldCharType="separate"/>
          </w:r>
          <w:r>
            <w:rPr>
              <w:rStyle w:val="17"/>
              <w:rFonts w:hint="eastAsia" w:ascii="仿宋" w:hAnsi="仿宋" w:eastAsia="仿宋"/>
              <w:color w:val="0563C1" w:themeColor="hyperlink"/>
              <w:lang w:bidi="en-US"/>
              <w14:textFill>
                <w14:solidFill>
                  <w14:schemeClr w14:val="hlink"/>
                </w14:solidFill>
              </w14:textFill>
            </w:rPr>
            <w:t>（三）项目产出情况</w:t>
          </w:r>
          <w:r>
            <w:rPr>
              <w:rFonts w:hint="eastAsia"/>
            </w:rPr>
            <w:tab/>
          </w:r>
          <w:r>
            <w:rPr>
              <w:rFonts w:hint="eastAsia"/>
            </w:rPr>
            <w:fldChar w:fldCharType="begin"/>
          </w:r>
          <w:r>
            <w:rPr>
              <w:rFonts w:hint="eastAsia"/>
            </w:rPr>
            <w:instrText xml:space="preserve"> </w:instrText>
          </w:r>
          <w:r>
            <w:instrText xml:space="preserve">PAGEREF _Toc197478774 \h</w:instrText>
          </w:r>
          <w:r>
            <w:rPr>
              <w:rFonts w:hint="eastAsia"/>
            </w:rPr>
            <w:instrText xml:space="preserve"> </w:instrText>
          </w:r>
          <w:r>
            <w:fldChar w:fldCharType="separate"/>
          </w:r>
          <w:r>
            <w:t>24</w:t>
          </w:r>
          <w:r>
            <w:rPr>
              <w:rFonts w:hint="eastAsia"/>
            </w:rPr>
            <w:fldChar w:fldCharType="end"/>
          </w:r>
          <w:r>
            <w:rPr>
              <w:rFonts w:hint="eastAsia"/>
            </w:rPr>
            <w:fldChar w:fldCharType="end"/>
          </w:r>
        </w:p>
        <w:p w14:paraId="4D3172E1">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"_Toc197478775" </w:instrText>
          </w:r>
          <w:r>
            <w:fldChar w:fldCharType="separate"/>
          </w:r>
          <w:r>
            <w:rPr>
              <w:rStyle w:val="17"/>
              <w:rFonts w:hint="eastAsia"/>
              <w:color w:val="0563C1" w:themeColor="hyperlink"/>
              <w14:textFill>
                <w14:solidFill>
                  <w14:schemeClr w14:val="hlink"/>
                </w14:solidFill>
              </w14:textFill>
            </w:rPr>
            <w:t>1.产出数量</w:t>
          </w:r>
          <w:r>
            <w:rPr>
              <w:rFonts w:hint="eastAsia"/>
            </w:rPr>
            <w:tab/>
          </w:r>
          <w:r>
            <w:rPr>
              <w:rFonts w:hint="eastAsia"/>
            </w:rPr>
            <w:fldChar w:fldCharType="begin"/>
          </w:r>
          <w:r>
            <w:rPr>
              <w:rFonts w:hint="eastAsia"/>
            </w:rPr>
            <w:instrText xml:space="preserve"> </w:instrText>
          </w:r>
          <w:r>
            <w:instrText xml:space="preserve">PAGEREF _Toc197478775 \h</w:instrText>
          </w:r>
          <w:r>
            <w:rPr>
              <w:rFonts w:hint="eastAsia"/>
            </w:rPr>
            <w:instrText xml:space="preserve"> </w:instrText>
          </w:r>
          <w:r>
            <w:fldChar w:fldCharType="separate"/>
          </w:r>
          <w:r>
            <w:t>24</w:t>
          </w:r>
          <w:r>
            <w:rPr>
              <w:rFonts w:hint="eastAsia"/>
            </w:rPr>
            <w:fldChar w:fldCharType="end"/>
          </w:r>
          <w:r>
            <w:rPr>
              <w:rFonts w:hint="eastAsia"/>
            </w:rPr>
            <w:fldChar w:fldCharType="end"/>
          </w:r>
        </w:p>
        <w:p w14:paraId="7061A7F0">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"_Toc197478776" </w:instrText>
          </w:r>
          <w:r>
            <w:fldChar w:fldCharType="separate"/>
          </w:r>
          <w:r>
            <w:rPr>
              <w:rStyle w:val="17"/>
              <w:rFonts w:hint="eastAsia"/>
              <w:color w:val="0563C1" w:themeColor="hyperlink"/>
              <w14:textFill>
                <w14:solidFill>
                  <w14:schemeClr w14:val="hlink"/>
                </w14:solidFill>
              </w14:textFill>
            </w:rPr>
            <w:t>2.产出质量</w:t>
          </w:r>
          <w:r>
            <w:rPr>
              <w:rFonts w:hint="eastAsia"/>
            </w:rPr>
            <w:tab/>
          </w:r>
          <w:r>
            <w:rPr>
              <w:rFonts w:hint="eastAsia"/>
            </w:rPr>
            <w:fldChar w:fldCharType="begin"/>
          </w:r>
          <w:r>
            <w:rPr>
              <w:rFonts w:hint="eastAsia"/>
            </w:rPr>
            <w:instrText xml:space="preserve"> </w:instrText>
          </w:r>
          <w:r>
            <w:instrText xml:space="preserve">PAGEREF _Toc197478776 \h</w:instrText>
          </w:r>
          <w:r>
            <w:rPr>
              <w:rFonts w:hint="eastAsia"/>
            </w:rPr>
            <w:instrText xml:space="preserve"> </w:instrText>
          </w:r>
          <w:r>
            <w:fldChar w:fldCharType="separate"/>
          </w:r>
          <w:r>
            <w:t>24</w:t>
          </w:r>
          <w:r>
            <w:rPr>
              <w:rFonts w:hint="eastAsia"/>
            </w:rPr>
            <w:fldChar w:fldCharType="end"/>
          </w:r>
          <w:r>
            <w:rPr>
              <w:rFonts w:hint="eastAsia"/>
            </w:rPr>
            <w:fldChar w:fldCharType="end"/>
          </w:r>
        </w:p>
        <w:p w14:paraId="3CECAFBC">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"_Toc197478777" </w:instrText>
          </w:r>
          <w:r>
            <w:fldChar w:fldCharType="separate"/>
          </w:r>
          <w:r>
            <w:rPr>
              <w:rStyle w:val="17"/>
              <w:rFonts w:hint="eastAsia"/>
              <w:color w:val="0563C1" w:themeColor="hyperlink"/>
              <w14:textFill>
                <w14:solidFill>
                  <w14:schemeClr w14:val="hlink"/>
                </w14:solidFill>
              </w14:textFill>
            </w:rPr>
            <w:t>3.产出时效</w:t>
          </w:r>
          <w:r>
            <w:rPr>
              <w:rFonts w:hint="eastAsia"/>
            </w:rPr>
            <w:tab/>
          </w:r>
          <w:r>
            <w:rPr>
              <w:rFonts w:hint="eastAsia"/>
            </w:rPr>
            <w:fldChar w:fldCharType="begin"/>
          </w:r>
          <w:r>
            <w:rPr>
              <w:rFonts w:hint="eastAsia"/>
            </w:rPr>
            <w:instrText xml:space="preserve"> </w:instrText>
          </w:r>
          <w:r>
            <w:instrText xml:space="preserve">PAGEREF _Toc197478777 \h</w:instrText>
          </w:r>
          <w:r>
            <w:rPr>
              <w:rFonts w:hint="eastAsia"/>
            </w:rPr>
            <w:instrText xml:space="preserve"> </w:instrText>
          </w:r>
          <w:r>
            <w:fldChar w:fldCharType="separate"/>
          </w:r>
          <w:r>
            <w:t>25</w:t>
          </w:r>
          <w:r>
            <w:rPr>
              <w:rFonts w:hint="eastAsia"/>
            </w:rPr>
            <w:fldChar w:fldCharType="end"/>
          </w:r>
          <w:r>
            <w:rPr>
              <w:rFonts w:hint="eastAsia"/>
            </w:rPr>
            <w:fldChar w:fldCharType="end"/>
          </w:r>
        </w:p>
        <w:p w14:paraId="2D8B4ADE">
          <w:pPr>
            <w:pStyle w:val="5"/>
            <w:tabs>
              <w:tab w:val="right" w:leader="dot" w:pos="8296"/>
            </w:tabs>
            <w:ind w:left="1120" w:firstLine="560"/>
            <w:rPr>
              <w:rFonts w:hint="eastAsia" w:asciiTheme="minorHAnsi" w:hAnsiTheme="minorHAnsi" w:eastAsiaTheme="minorEastAsia" w:cstheme="minorBidi"/>
              <w:sz w:val="22"/>
              <w:szCs w:val="24"/>
            </w:rPr>
          </w:pPr>
          <w:r>
            <w:fldChar w:fldCharType="begin"/>
          </w:r>
          <w:r>
            <w:instrText xml:space="preserve"> HYPERLINK \l "_Toc197478778" </w:instrText>
          </w:r>
          <w:r>
            <w:fldChar w:fldCharType="separate"/>
          </w:r>
          <w:r>
            <w:rPr>
              <w:rStyle w:val="17"/>
              <w:rFonts w:hint="eastAsia"/>
              <w:color w:val="0563C1" w:themeColor="hyperlink"/>
              <w14:textFill>
                <w14:solidFill>
                  <w14:schemeClr w14:val="hlink"/>
                </w14:solidFill>
              </w14:textFill>
            </w:rPr>
            <w:t>4.产出成本</w:t>
          </w:r>
          <w:r>
            <w:rPr>
              <w:rFonts w:hint="eastAsia"/>
            </w:rPr>
            <w:tab/>
          </w:r>
          <w:r>
            <w:rPr>
              <w:rFonts w:hint="eastAsia"/>
            </w:rPr>
            <w:fldChar w:fldCharType="begin"/>
          </w:r>
          <w:r>
            <w:rPr>
              <w:rFonts w:hint="eastAsia"/>
            </w:rPr>
            <w:instrText xml:space="preserve"> </w:instrText>
          </w:r>
          <w:r>
            <w:instrText xml:space="preserve">PAGEREF _Toc197478778 \h</w:instrText>
          </w:r>
          <w:r>
            <w:rPr>
              <w:rFonts w:hint="eastAsia"/>
            </w:rPr>
            <w:instrText xml:space="preserve"> </w:instrText>
          </w:r>
          <w:r>
            <w:fldChar w:fldCharType="separate"/>
          </w:r>
          <w:r>
            <w:t>25</w:t>
          </w:r>
          <w:r>
            <w:rPr>
              <w:rFonts w:hint="eastAsia"/>
            </w:rPr>
            <w:fldChar w:fldCharType="end"/>
          </w:r>
          <w:r>
            <w:rPr>
              <w:rFonts w:hint="eastAsia"/>
            </w:rPr>
            <w:fldChar w:fldCharType="end"/>
          </w:r>
        </w:p>
        <w:p w14:paraId="1F5438B7">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"_Toc197478779" </w:instrText>
          </w:r>
          <w:r>
            <w:fldChar w:fldCharType="separate"/>
          </w:r>
          <w:r>
            <w:rPr>
              <w:rStyle w:val="17"/>
              <w:rFonts w:hint="eastAsia" w:ascii="仿宋" w:hAnsi="仿宋" w:eastAsia="仿宋"/>
              <w:color w:val="0563C1" w:themeColor="hyperlink"/>
              <w:lang w:bidi="en-US"/>
              <w14:textFill>
                <w14:solidFill>
                  <w14:schemeClr w14:val="hlink"/>
                </w14:solidFill>
              </w14:textFill>
            </w:rPr>
            <w:t>（四）项目效益</w:t>
          </w:r>
          <w:r>
            <w:rPr>
              <w:rFonts w:hint="eastAsia"/>
            </w:rPr>
            <w:tab/>
          </w:r>
          <w:r>
            <w:rPr>
              <w:rFonts w:hint="eastAsia"/>
            </w:rPr>
            <w:fldChar w:fldCharType="begin"/>
          </w:r>
          <w:r>
            <w:rPr>
              <w:rFonts w:hint="eastAsia"/>
            </w:rPr>
            <w:instrText xml:space="preserve"> </w:instrText>
          </w:r>
          <w:r>
            <w:instrText xml:space="preserve">PAGEREF _Toc197478779 \h</w:instrText>
          </w:r>
          <w:r>
            <w:rPr>
              <w:rFonts w:hint="eastAsia"/>
            </w:rPr>
            <w:instrText xml:space="preserve"> </w:instrText>
          </w:r>
          <w:r>
            <w:fldChar w:fldCharType="separate"/>
          </w:r>
          <w:r>
            <w:t>26</w:t>
          </w:r>
          <w:r>
            <w:rPr>
              <w:rFonts w:hint="eastAsia"/>
            </w:rPr>
            <w:fldChar w:fldCharType="end"/>
          </w:r>
          <w:r>
            <w:rPr>
              <w:rFonts w:hint="eastAsia"/>
            </w:rPr>
            <w:fldChar w:fldCharType="end"/>
          </w:r>
        </w:p>
        <w:p w14:paraId="4832652E">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"_Toc197478780" </w:instrText>
          </w:r>
          <w:r>
            <w:fldChar w:fldCharType="separate"/>
          </w:r>
          <w:r>
            <w:rPr>
              <w:rStyle w:val="17"/>
              <w:rFonts w:hint="eastAsia" w:ascii="仿宋" w:hAnsi="仿宋" w:eastAsia="仿宋"/>
              <w:color w:val="0563C1" w:themeColor="hyperlink"/>
              <w:lang w:bidi="en-US"/>
              <w14:textFill>
                <w14:solidFill>
                  <w14:schemeClr w14:val="hlink"/>
                </w14:solidFill>
              </w14:textFill>
            </w:rPr>
            <w:t>（五）满意度指标完成情况分析</w:t>
          </w:r>
          <w:r>
            <w:rPr>
              <w:rFonts w:hint="eastAsia"/>
            </w:rPr>
            <w:tab/>
          </w:r>
          <w:r>
            <w:rPr>
              <w:rFonts w:hint="eastAsia"/>
            </w:rPr>
            <w:fldChar w:fldCharType="begin"/>
          </w:r>
          <w:r>
            <w:rPr>
              <w:rFonts w:hint="eastAsia"/>
            </w:rPr>
            <w:instrText xml:space="preserve"> </w:instrText>
          </w:r>
          <w:r>
            <w:instrText xml:space="preserve">PAGEREF _Toc197478780 \h</w:instrText>
          </w:r>
          <w:r>
            <w:rPr>
              <w:rFonts w:hint="eastAsia"/>
            </w:rPr>
            <w:instrText xml:space="preserve"> </w:instrText>
          </w:r>
          <w:r>
            <w:fldChar w:fldCharType="separate"/>
          </w:r>
          <w:r>
            <w:t>26</w:t>
          </w:r>
          <w:r>
            <w:rPr>
              <w:rFonts w:hint="eastAsia"/>
            </w:rPr>
            <w:fldChar w:fldCharType="end"/>
          </w:r>
          <w:r>
            <w:rPr>
              <w:rFonts w:hint="eastAsia"/>
            </w:rPr>
            <w:fldChar w:fldCharType="end"/>
          </w:r>
        </w:p>
        <w:p w14:paraId="71A4FEB0">
          <w:pPr>
            <w:pStyle w:val="10"/>
            <w:tabs>
              <w:tab w:val="right" w:leader="dot" w:pos="8296"/>
            </w:tabs>
            <w:ind w:firstLine="560"/>
            <w:rPr>
              <w:rFonts w:hint="eastAsia" w:asciiTheme="minorHAnsi" w:hAnsiTheme="minorHAnsi" w:eastAsiaTheme="minorEastAsia" w:cstheme="minorBidi"/>
              <w:sz w:val="22"/>
              <w:szCs w:val="24"/>
            </w:rPr>
          </w:pPr>
          <w:r>
            <w:fldChar w:fldCharType="begin"/>
          </w:r>
          <w:r>
            <w:instrText xml:space="preserve"> HYPERLINK \l "_Toc197478781" </w:instrText>
          </w:r>
          <w:r>
            <w:fldChar w:fldCharType="separate"/>
          </w:r>
          <w:r>
            <w:rPr>
              <w:rStyle w:val="17"/>
              <w:rFonts w:hint="eastAsia" w:ascii="仿宋" w:hAnsi="仿宋" w:eastAsia="仿宋"/>
              <w:color w:val="0563C1" w:themeColor="hyperlink"/>
              <w:lang w:bidi="en-US"/>
              <w14:textFill>
                <w14:solidFill>
                  <w14:schemeClr w14:val="hlink"/>
                </w14:solidFill>
              </w14:textFill>
            </w:rPr>
            <w:t>五、主要经验及做法、存在的问题及原因分析</w:t>
          </w:r>
          <w:r>
            <w:rPr>
              <w:rFonts w:hint="eastAsia"/>
            </w:rPr>
            <w:tab/>
          </w:r>
          <w:r>
            <w:rPr>
              <w:rFonts w:hint="eastAsia"/>
            </w:rPr>
            <w:fldChar w:fldCharType="begin"/>
          </w:r>
          <w:r>
            <w:rPr>
              <w:rFonts w:hint="eastAsia"/>
            </w:rPr>
            <w:instrText xml:space="preserve"> </w:instrText>
          </w:r>
          <w:r>
            <w:instrText xml:space="preserve">PAGEREF _Toc197478781 \h</w:instrText>
          </w:r>
          <w:r>
            <w:rPr>
              <w:rFonts w:hint="eastAsia"/>
            </w:rPr>
            <w:instrText xml:space="preserve"> </w:instrText>
          </w:r>
          <w:r>
            <w:fldChar w:fldCharType="separate"/>
          </w:r>
          <w:r>
            <w:t>27</w:t>
          </w:r>
          <w:r>
            <w:rPr>
              <w:rFonts w:hint="eastAsia"/>
            </w:rPr>
            <w:fldChar w:fldCharType="end"/>
          </w:r>
          <w:r>
            <w:rPr>
              <w:rFonts w:hint="eastAsia"/>
            </w:rPr>
            <w:fldChar w:fldCharType="end"/>
          </w:r>
        </w:p>
        <w:p w14:paraId="6CB148EA">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"_Toc197478782" </w:instrText>
          </w:r>
          <w:r>
            <w:fldChar w:fldCharType="separate"/>
          </w:r>
          <w:r>
            <w:rPr>
              <w:rStyle w:val="17"/>
              <w:rFonts w:hint="eastAsia" w:ascii="仿宋" w:hAnsi="仿宋" w:eastAsia="仿宋"/>
              <w:color w:val="0563C1" w:themeColor="hyperlink"/>
              <w:lang w:bidi="en-US"/>
              <w14:textFill>
                <w14:solidFill>
                  <w14:schemeClr w14:val="hlink"/>
                </w14:solidFill>
              </w14:textFill>
            </w:rPr>
            <w:t>（一）主要经验及做法</w:t>
          </w:r>
          <w:r>
            <w:rPr>
              <w:rFonts w:hint="eastAsia"/>
            </w:rPr>
            <w:tab/>
          </w:r>
          <w:r>
            <w:rPr>
              <w:rFonts w:hint="eastAsia"/>
            </w:rPr>
            <w:fldChar w:fldCharType="begin"/>
          </w:r>
          <w:r>
            <w:rPr>
              <w:rFonts w:hint="eastAsia"/>
            </w:rPr>
            <w:instrText xml:space="preserve"> </w:instrText>
          </w:r>
          <w:r>
            <w:instrText xml:space="preserve">PAGEREF _Toc197478782 \h</w:instrText>
          </w:r>
          <w:r>
            <w:rPr>
              <w:rFonts w:hint="eastAsia"/>
            </w:rPr>
            <w:instrText xml:space="preserve"> </w:instrText>
          </w:r>
          <w:r>
            <w:fldChar w:fldCharType="separate"/>
          </w:r>
          <w:r>
            <w:t>27</w:t>
          </w:r>
          <w:r>
            <w:rPr>
              <w:rFonts w:hint="eastAsia"/>
            </w:rPr>
            <w:fldChar w:fldCharType="end"/>
          </w:r>
          <w:r>
            <w:rPr>
              <w:rFonts w:hint="eastAsia"/>
            </w:rPr>
            <w:fldChar w:fldCharType="end"/>
          </w:r>
        </w:p>
        <w:p w14:paraId="641CFC73">
          <w:pPr>
            <w:pStyle w:val="12"/>
            <w:tabs>
              <w:tab w:val="right" w:leader="dot" w:pos="8296"/>
            </w:tabs>
            <w:ind w:left="560" w:firstLine="560"/>
            <w:rPr>
              <w:rFonts w:hint="eastAsia" w:asciiTheme="minorHAnsi" w:hAnsiTheme="minorHAnsi" w:eastAsiaTheme="minorEastAsia" w:cstheme="minorBidi"/>
              <w:sz w:val="22"/>
              <w:szCs w:val="24"/>
            </w:rPr>
          </w:pPr>
          <w:r>
            <w:fldChar w:fldCharType="begin"/>
          </w:r>
          <w:r>
            <w:instrText xml:space="preserve"> HYPERLINK \l "_Toc197478783" </w:instrText>
          </w:r>
          <w:r>
            <w:fldChar w:fldCharType="separate"/>
          </w:r>
          <w:r>
            <w:rPr>
              <w:rStyle w:val="17"/>
              <w:rFonts w:hint="eastAsia" w:ascii="仿宋" w:hAnsi="仿宋" w:eastAsia="仿宋"/>
              <w:color w:val="0563C1" w:themeColor="hyperlink"/>
              <w:lang w:bidi="en-US"/>
              <w14:textFill>
                <w14:solidFill>
                  <w14:schemeClr w14:val="hlink"/>
                </w14:solidFill>
              </w14:textFill>
            </w:rPr>
            <w:t>（二）存在的问题及原因分析</w:t>
          </w:r>
          <w:r>
            <w:rPr>
              <w:rFonts w:hint="eastAsia"/>
            </w:rPr>
            <w:tab/>
          </w:r>
          <w:r>
            <w:rPr>
              <w:rFonts w:hint="eastAsia"/>
            </w:rPr>
            <w:fldChar w:fldCharType="begin"/>
          </w:r>
          <w:r>
            <w:rPr>
              <w:rFonts w:hint="eastAsia"/>
            </w:rPr>
            <w:instrText xml:space="preserve"> </w:instrText>
          </w:r>
          <w:r>
            <w:instrText xml:space="preserve">PAGEREF _Toc197478783 \h</w:instrText>
          </w:r>
          <w:r>
            <w:rPr>
              <w:rFonts w:hint="eastAsia"/>
            </w:rPr>
            <w:instrText xml:space="preserve"> </w:instrText>
          </w:r>
          <w:r>
            <w:fldChar w:fldCharType="separate"/>
          </w:r>
          <w:r>
            <w:t>28</w:t>
          </w:r>
          <w:r>
            <w:rPr>
              <w:rFonts w:hint="eastAsia"/>
            </w:rPr>
            <w:fldChar w:fldCharType="end"/>
          </w:r>
          <w:r>
            <w:rPr>
              <w:rFonts w:hint="eastAsia"/>
            </w:rPr>
            <w:fldChar w:fldCharType="end"/>
          </w:r>
        </w:p>
        <w:p w14:paraId="5D07E4A0">
          <w:pPr>
            <w:pStyle w:val="10"/>
            <w:tabs>
              <w:tab w:val="right" w:leader="dot" w:pos="8296"/>
            </w:tabs>
            <w:ind w:firstLine="560"/>
            <w:rPr>
              <w:rFonts w:hint="eastAsia" w:asciiTheme="minorHAnsi" w:hAnsiTheme="minorHAnsi" w:eastAsiaTheme="minorEastAsia" w:cstheme="minorBidi"/>
              <w:sz w:val="22"/>
              <w:szCs w:val="24"/>
            </w:rPr>
          </w:pPr>
          <w:r>
            <w:fldChar w:fldCharType="begin"/>
          </w:r>
          <w:r>
            <w:instrText xml:space="preserve"> HYPERLINK \l "_Toc197478784" </w:instrText>
          </w:r>
          <w:r>
            <w:fldChar w:fldCharType="separate"/>
          </w:r>
          <w:r>
            <w:rPr>
              <w:rStyle w:val="17"/>
              <w:rFonts w:hint="eastAsia" w:ascii="仿宋" w:hAnsi="仿宋" w:eastAsia="仿宋"/>
              <w:color w:val="0563C1" w:themeColor="hyperlink"/>
              <w:lang w:bidi="en-US"/>
              <w14:textFill>
                <w14:solidFill>
                  <w14:schemeClr w14:val="hlink"/>
                </w14:solidFill>
              </w14:textFill>
            </w:rPr>
            <w:t>六、有关建议</w:t>
          </w:r>
          <w:r>
            <w:rPr>
              <w:rFonts w:hint="eastAsia"/>
            </w:rPr>
            <w:tab/>
          </w:r>
          <w:r>
            <w:rPr>
              <w:rFonts w:hint="eastAsia"/>
            </w:rPr>
            <w:fldChar w:fldCharType="begin"/>
          </w:r>
          <w:r>
            <w:rPr>
              <w:rFonts w:hint="eastAsia"/>
            </w:rPr>
            <w:instrText xml:space="preserve"> </w:instrText>
          </w:r>
          <w:r>
            <w:instrText xml:space="preserve">PAGEREF _Toc197478784 \h</w:instrText>
          </w:r>
          <w:r>
            <w:rPr>
              <w:rFonts w:hint="eastAsia"/>
            </w:rPr>
            <w:instrText xml:space="preserve"> </w:instrText>
          </w:r>
          <w:r>
            <w:fldChar w:fldCharType="separate"/>
          </w:r>
          <w:r>
            <w:t>29</w:t>
          </w:r>
          <w:r>
            <w:rPr>
              <w:rFonts w:hint="eastAsia"/>
            </w:rPr>
            <w:fldChar w:fldCharType="end"/>
          </w:r>
          <w:r>
            <w:rPr>
              <w:rFonts w:hint="eastAsia"/>
            </w:rPr>
            <w:fldChar w:fldCharType="end"/>
          </w:r>
        </w:p>
        <w:p w14:paraId="0442704E">
          <w:pPr>
            <w:pStyle w:val="10"/>
            <w:tabs>
              <w:tab w:val="right" w:leader="dot" w:pos="8296"/>
            </w:tabs>
            <w:ind w:firstLine="560"/>
            <w:rPr>
              <w:rFonts w:hint="eastAsia" w:asciiTheme="minorHAnsi" w:hAnsiTheme="minorHAnsi" w:eastAsiaTheme="minorEastAsia" w:cstheme="minorBidi"/>
              <w:sz w:val="22"/>
              <w:szCs w:val="24"/>
            </w:rPr>
          </w:pPr>
          <w:r>
            <w:fldChar w:fldCharType="begin"/>
          </w:r>
          <w:r>
            <w:instrText xml:space="preserve"> HYPERLINK \l "_Toc197478785" </w:instrText>
          </w:r>
          <w:r>
            <w:fldChar w:fldCharType="separate"/>
          </w:r>
          <w:r>
            <w:rPr>
              <w:rStyle w:val="17"/>
              <w:rFonts w:hint="eastAsia" w:ascii="仿宋" w:hAnsi="仿宋" w:eastAsia="仿宋"/>
              <w:color w:val="0563C1" w:themeColor="hyperlink"/>
              <w:lang w:bidi="en-US"/>
              <w14:textFill>
                <w14:solidFill>
                  <w14:schemeClr w14:val="hlink"/>
                </w14:solidFill>
              </w14:textFill>
            </w:rPr>
            <w:t>七、其他需要说明的问题</w:t>
          </w:r>
          <w:r>
            <w:rPr>
              <w:rFonts w:hint="eastAsia"/>
            </w:rPr>
            <w:tab/>
          </w:r>
          <w:r>
            <w:rPr>
              <w:rFonts w:hint="eastAsia"/>
            </w:rPr>
            <w:fldChar w:fldCharType="begin"/>
          </w:r>
          <w:r>
            <w:rPr>
              <w:rFonts w:hint="eastAsia"/>
            </w:rPr>
            <w:instrText xml:space="preserve"> </w:instrText>
          </w:r>
          <w:r>
            <w:instrText xml:space="preserve">PAGEREF _Toc197478785 \h</w:instrText>
          </w:r>
          <w:r>
            <w:rPr>
              <w:rFonts w:hint="eastAsia"/>
            </w:rPr>
            <w:instrText xml:space="preserve"> </w:instrText>
          </w:r>
          <w:r>
            <w:fldChar w:fldCharType="separate"/>
          </w:r>
          <w:r>
            <w:t>30</w:t>
          </w:r>
          <w:r>
            <w:rPr>
              <w:rFonts w:hint="eastAsia"/>
            </w:rPr>
            <w:fldChar w:fldCharType="end"/>
          </w:r>
          <w:r>
            <w:rPr>
              <w:rFonts w:hint="eastAsia"/>
            </w:rPr>
            <w:fldChar w:fldCharType="end"/>
          </w:r>
        </w:p>
        <w:p w14:paraId="22310101">
          <w:pPr>
            <w:ind w:firstLine="562"/>
          </w:pPr>
          <w:r>
            <w:rPr>
              <w:b/>
              <w:bCs/>
              <w:lang w:val="zh-CN"/>
            </w:rPr>
            <w:fldChar w:fldCharType="end"/>
          </w:r>
        </w:p>
      </w:sdtContent>
    </w:sdt>
    <w:p w14:paraId="2732E953">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4A6A7555">
      <w:pPr>
        <w:pStyle w:val="3"/>
        <w:numPr>
          <w:ilvl w:val="0"/>
          <w:numId w:val="1"/>
        </w:numPr>
        <w:ind w:firstLineChars="0"/>
        <w:jc w:val="left"/>
        <w:rPr>
          <w:rFonts w:ascii="仿宋" w:hAnsi="仿宋" w:eastAsia="仿宋"/>
          <w:sz w:val="36"/>
          <w:szCs w:val="36"/>
          <w:lang w:bidi="en-US"/>
        </w:rPr>
      </w:pPr>
      <w:bookmarkStart w:id="0" w:name="_Toc197478746"/>
      <w:bookmarkStart w:id="1" w:name="_Toc67911601"/>
      <w:r>
        <w:rPr>
          <w:rFonts w:hint="eastAsia" w:ascii="仿宋" w:hAnsi="仿宋" w:eastAsia="仿宋"/>
          <w:sz w:val="36"/>
          <w:szCs w:val="36"/>
          <w:lang w:bidi="en-US"/>
        </w:rPr>
        <w:t>基本情况</w:t>
      </w:r>
      <w:bookmarkEnd w:id="0"/>
      <w:bookmarkEnd w:id="1"/>
    </w:p>
    <w:p w14:paraId="476AF2AE">
      <w:pPr>
        <w:pStyle w:val="2"/>
        <w:ind w:firstLine="643"/>
        <w:rPr>
          <w:rFonts w:hint="eastAsia" w:ascii="仿宋" w:hAnsi="仿宋" w:eastAsia="仿宋"/>
          <w:lang w:bidi="en-US"/>
        </w:rPr>
      </w:pPr>
      <w:bookmarkStart w:id="2" w:name="_Toc197478747"/>
      <w:r>
        <w:rPr>
          <w:rFonts w:hint="eastAsia" w:ascii="仿宋" w:hAnsi="仿宋" w:eastAsia="仿宋"/>
          <w:lang w:bidi="en-US"/>
        </w:rPr>
        <w:t>（一）项目概况：</w:t>
      </w:r>
      <w:bookmarkEnd w:id="2"/>
    </w:p>
    <w:p w14:paraId="457B8FB5">
      <w:pPr>
        <w:spacing w:line="360" w:lineRule="auto"/>
        <w:ind w:firstLine="560"/>
        <w:rPr>
          <w:rFonts w:ascii="仿宋_GB2312"/>
        </w:rPr>
      </w:pPr>
      <w:bookmarkStart w:id="3" w:name="_Toc67911603"/>
      <w:r>
        <w:rPr>
          <w:rFonts w:hint="eastAsia" w:ascii="仿宋_GB2312"/>
        </w:rPr>
        <w:t>2024年计划完成改造建设20个标准化考点，重点完成</w:t>
      </w:r>
      <w:bookmarkStart w:id="4" w:name="OLE_LINK13"/>
      <w:r>
        <w:rPr>
          <w:rFonts w:hint="eastAsia" w:ascii="仿宋_GB2312"/>
        </w:rPr>
        <w:t>考点考场视频网上巡查系统、视频会议系统、身份认证系统的改造建设工作</w:t>
      </w:r>
      <w:bookmarkEnd w:id="4"/>
      <w:r>
        <w:rPr>
          <w:rFonts w:hint="eastAsia" w:ascii="仿宋_GB2312"/>
        </w:rPr>
        <w:t>，其中：考点指挥中心926.2万</w:t>
      </w:r>
      <w:r>
        <w:rPr>
          <w:rFonts w:hint="eastAsia" w:ascii="仿宋_GB2312"/>
          <w:lang w:eastAsia="zh-CN"/>
        </w:rPr>
        <w:t>元</w:t>
      </w:r>
      <w:r>
        <w:rPr>
          <w:rFonts w:hint="eastAsia" w:ascii="仿宋_GB2312"/>
        </w:rPr>
        <w:t>、视频会议系统132.36万</w:t>
      </w:r>
      <w:r>
        <w:rPr>
          <w:rFonts w:hint="eastAsia" w:ascii="仿宋_GB2312"/>
          <w:lang w:eastAsia="zh-CN"/>
        </w:rPr>
        <w:t>元</w:t>
      </w:r>
      <w:r>
        <w:rPr>
          <w:rFonts w:hint="eastAsia" w:ascii="仿宋_GB2312"/>
        </w:rPr>
        <w:t>、身份认证系统591.44万</w:t>
      </w:r>
      <w:r>
        <w:rPr>
          <w:rFonts w:hint="eastAsia" w:ascii="仿宋_GB2312"/>
          <w:lang w:eastAsia="zh-CN"/>
        </w:rPr>
        <w:t>元</w:t>
      </w:r>
      <w:r>
        <w:rPr>
          <w:rFonts w:hint="eastAsia" w:ascii="仿宋_GB2312"/>
        </w:rPr>
        <w:t>，预计投入资金1650万元。确保国家教育考试安全公平和教育考试改革平稳顺利实施，维护考试公平和加强诚信体系建设。</w:t>
      </w:r>
    </w:p>
    <w:p w14:paraId="3417B124">
      <w:pPr>
        <w:spacing w:line="360" w:lineRule="auto"/>
        <w:ind w:firstLine="560"/>
        <w:rPr>
          <w:rFonts w:ascii="仿宋_GB2312"/>
        </w:rPr>
      </w:pPr>
      <w:r>
        <w:rPr>
          <w:rFonts w:ascii="仿宋_GB2312"/>
        </w:rPr>
        <w:t>标准化考点建设是加强考试环境综合治理，提升考试综合治理水平，确保国家教育考试安全公平和教育考试改革平稳顺利实施的重要举措，对维护考试公平和加强诚信体系建设起到了积极的促进作用。</w:t>
      </w:r>
    </w:p>
    <w:p w14:paraId="759E978B">
      <w:pPr>
        <w:spacing w:line="360" w:lineRule="auto"/>
        <w:ind w:firstLine="560"/>
        <w:rPr>
          <w:rFonts w:ascii="仿宋_GB2312"/>
        </w:rPr>
      </w:pPr>
      <w:r>
        <w:rPr>
          <w:rFonts w:ascii="仿宋_GB2312"/>
        </w:rPr>
        <w:t>为贯彻落实科教兴国战略，自党的十八大以来，自治区党委、政府，高度重视教育现代化建设。以《教育部、财政部关于大力推进国家教育考试标准化考点建设工作的通知》（教学</w:t>
      </w:r>
      <w:r>
        <w:rPr>
          <w:rFonts w:hint="eastAsia" w:ascii="仿宋_GB2312"/>
        </w:rPr>
        <w:t>〔</w:t>
      </w:r>
      <w:r>
        <w:rPr>
          <w:rFonts w:ascii="仿宋_GB2312"/>
        </w:rPr>
        <w:t>2011</w:t>
      </w:r>
      <w:r>
        <w:rPr>
          <w:rFonts w:hint="eastAsia" w:ascii="仿宋_GB2312"/>
        </w:rPr>
        <w:t>〕</w:t>
      </w:r>
      <w:r>
        <w:rPr>
          <w:rFonts w:ascii="仿宋_GB2312"/>
        </w:rPr>
        <w:t>1号）要求为指导，采用“分期、分批，有序推进”的总体原则开展了乌鲁木齐市标准化考点项目建设。教育部办公厅于2021年专门发布通知：《教育部办公厅关于全面开展国家教育考试综合管理服务平台建设工作的通知》（教学厅函</w:t>
      </w:r>
      <w:r>
        <w:rPr>
          <w:rFonts w:hint="eastAsia" w:ascii="仿宋_GB2312"/>
        </w:rPr>
        <w:t>〔</w:t>
      </w:r>
      <w:r>
        <w:rPr>
          <w:rFonts w:ascii="仿宋_GB2312"/>
        </w:rPr>
        <w:t>2021</w:t>
      </w:r>
      <w:r>
        <w:rPr>
          <w:rFonts w:hint="eastAsia" w:ascii="仿宋_GB2312"/>
        </w:rPr>
        <w:t>〕</w:t>
      </w:r>
      <w:r>
        <w:rPr>
          <w:rFonts w:ascii="仿宋_GB2312"/>
        </w:rPr>
        <w:t>9号），通知明确要求：“各省（区、市）要将平台建设纳入“十四五”规划，坚持“统一规划、协力共建；多考统筹、自愿共享；突出重点、注重实效”的建设原则，遵循“两级建设、五级应用”的建设模式，围绕“业务、数据、指挥”三条主线，积极推进平台建设。主要建设内容为：配齐、配足本市教育评价改革等所需标准化考点（考场）；建设和完善具有身份认证、试卷跟踪、作弊防控、标准化考点管理等功能的教育考试综合管理平台；建设以考生库、考点库、工作人员库为主体的考试全局基础数据库和数据交换平台；建设以考试大数据为支撑、以动态数字图</w:t>
      </w:r>
      <w:r>
        <w:rPr>
          <w:rFonts w:hint="eastAsia" w:ascii="仿宋_GB2312"/>
          <w:lang w:val="en-US" w:eastAsia="zh-CN"/>
        </w:rPr>
        <w:t>呈现</w:t>
      </w:r>
      <w:r>
        <w:rPr>
          <w:rFonts w:ascii="仿宋_GB2312"/>
        </w:rPr>
        <w:t>的决策指挥系统。2013年由自治区安排专项资金为乌鲁木齐市</w:t>
      </w:r>
      <w:r>
        <w:rPr>
          <w:rFonts w:hint="eastAsia" w:ascii="仿宋_GB2312"/>
        </w:rPr>
        <w:t>建设</w:t>
      </w:r>
      <w:r>
        <w:rPr>
          <w:rFonts w:ascii="仿宋_GB2312"/>
        </w:rPr>
        <w:t>了57个标准化考点</w:t>
      </w:r>
      <w:r>
        <w:rPr>
          <w:rFonts w:hint="eastAsia" w:ascii="仿宋_GB2312"/>
        </w:rPr>
        <w:t>，经过十余年的使用，这些考点存在着：核心设备老旧，视频信号质量低，维护难度极大；设备电气及信号线路使用年限较长，安全隐患逐年增加；数据采集和交换机制不健全，考试辅助决策支撑力度不足等问题。</w:t>
      </w:r>
    </w:p>
    <w:p w14:paraId="37674BCD">
      <w:pPr>
        <w:pStyle w:val="4"/>
        <w:ind w:firstLine="643"/>
      </w:pPr>
      <w:bookmarkStart w:id="5" w:name="_Toc197478748"/>
      <w:r>
        <w:rPr>
          <w:rFonts w:hint="eastAsia"/>
        </w:rPr>
        <w:t>1项目背景、主要内容及实施情况</w:t>
      </w:r>
      <w:bookmarkEnd w:id="5"/>
    </w:p>
    <w:p w14:paraId="47ABFBD7">
      <w:pPr>
        <w:spacing w:line="360" w:lineRule="auto"/>
        <w:ind w:firstLine="560"/>
        <w:rPr>
          <w:rFonts w:ascii="仿宋_GB2312"/>
        </w:rPr>
      </w:pPr>
      <w:r>
        <w:rPr>
          <w:rFonts w:hint="eastAsia" w:ascii="仿宋_GB2312"/>
        </w:rPr>
        <w:t>该项目实施背景：</w:t>
      </w:r>
      <w:r>
        <w:rPr>
          <w:rFonts w:ascii="仿宋_GB2312"/>
        </w:rPr>
        <w:t>鉴于乌鲁木齐市标准化考点建设情况存在的问题，市教育招生考试中心做好前期充分的调研，结合我</w:t>
      </w:r>
      <w:r>
        <w:rPr>
          <w:rFonts w:hint="eastAsia" w:ascii="仿宋_GB2312"/>
        </w:rPr>
        <w:t>市</w:t>
      </w:r>
      <w:r>
        <w:rPr>
          <w:rFonts w:ascii="仿宋_GB2312"/>
        </w:rPr>
        <w:t>标准化考点建设实际情况，按“统一领导、统筹规划、统一标准、分步实施、分级管理、务实高效”的原则，充分考虑普通高考、研究生考试、成人高考、自学考试等各级各类考试业务需求，有机整合现有标准化考点设施、网络等资源，制定</w:t>
      </w:r>
      <w:r>
        <w:rPr>
          <w:rFonts w:hint="eastAsia" w:ascii="仿宋_GB2312"/>
        </w:rPr>
        <w:t>了三年</w:t>
      </w:r>
      <w:r>
        <w:rPr>
          <w:rFonts w:ascii="仿宋_GB2312"/>
        </w:rPr>
        <w:t>规划方案。</w:t>
      </w:r>
    </w:p>
    <w:p w14:paraId="6FDE4C7D">
      <w:pPr>
        <w:spacing w:line="360" w:lineRule="auto"/>
        <w:ind w:firstLine="560"/>
        <w:rPr>
          <w:rFonts w:ascii="仿宋_GB2312"/>
        </w:rPr>
      </w:pPr>
      <w:r>
        <w:rPr>
          <w:rFonts w:hint="eastAsia" w:ascii="仿宋_GB2312"/>
        </w:rPr>
        <w:t>项目2024年的主要实施内容：</w:t>
      </w:r>
      <w:r>
        <w:rPr>
          <w:rFonts w:ascii="仿宋_GB2312"/>
        </w:rPr>
        <w:t>改造建设20个标准化考点，重点完成</w:t>
      </w:r>
      <w:r>
        <w:rPr>
          <w:rFonts w:hint="eastAsia" w:ascii="仿宋_GB2312"/>
        </w:rPr>
        <w:t>2013年的标清</w:t>
      </w:r>
      <w:r>
        <w:rPr>
          <w:rFonts w:ascii="仿宋_GB2312"/>
        </w:rPr>
        <w:t>考点考场视频网上巡查系统、视频会议系统、身份认证系统的改造建设工作</w:t>
      </w:r>
      <w:r>
        <w:rPr>
          <w:rFonts w:hint="eastAsia" w:ascii="仿宋_GB2312"/>
        </w:rPr>
        <w:t>;</w:t>
      </w:r>
    </w:p>
    <w:p w14:paraId="1385B7FB">
      <w:pPr>
        <w:spacing w:line="360" w:lineRule="auto"/>
        <w:ind w:firstLine="560"/>
        <w:rPr>
          <w:rFonts w:ascii="仿宋_GB2312"/>
          <w:highlight w:val="yellow"/>
        </w:rPr>
      </w:pPr>
      <w:r>
        <w:rPr>
          <w:rFonts w:ascii="仿宋_GB2312"/>
        </w:rPr>
        <w:t>实际完成情况</w:t>
      </w:r>
      <w:r>
        <w:rPr>
          <w:rStyle w:val="21"/>
          <w:rFonts w:hint="eastAsia"/>
          <w:lang w:eastAsia="zh-CN"/>
        </w:rPr>
        <w:t>：</w:t>
      </w:r>
      <w:r>
        <w:rPr>
          <w:rFonts w:hint="eastAsia" w:ascii="仿宋_GB2312"/>
          <w:lang w:val="en-US" w:eastAsia="zh-CN"/>
        </w:rPr>
        <w:t>项目在</w:t>
      </w:r>
      <w:r>
        <w:rPr>
          <w:rFonts w:hint="eastAsia" w:ascii="仿宋_GB2312"/>
        </w:rPr>
        <w:t>2024年10月委托市公共资源交易中心完成该项目的采购招标工作，</w:t>
      </w:r>
      <w:r>
        <w:rPr>
          <w:rFonts w:hint="eastAsia" w:ascii="仿宋_GB2312"/>
          <w:highlight w:val="none"/>
          <w:lang w:val="en-US" w:eastAsia="zh-CN"/>
        </w:rPr>
        <w:t>中标金额为1565.53万元。</w:t>
      </w:r>
      <w:r>
        <w:rPr>
          <w:rFonts w:hint="eastAsia" w:ascii="仿宋_GB2312"/>
        </w:rPr>
        <w:t>2024年11月完成20个标准化考点信息化系统集成设备布线安装、调试工作。2024年12月市教育招生考试中心和各标准化考点学校共同完成该项目的验收工作，根据项目实施完成情况，综合验收组成员意见，符合合同约定及相关技术标准，经各级管理系统联调，设备运行正常，系统互联互通运行效果良好，验收合格。2024年12月12日报市级财政国库收付中心，予以支付项目资金。</w:t>
      </w:r>
    </w:p>
    <w:p w14:paraId="6A89ED49">
      <w:pPr>
        <w:pStyle w:val="4"/>
        <w:ind w:firstLine="643"/>
      </w:pPr>
      <w:bookmarkStart w:id="6" w:name="OLE_LINK15"/>
      <w:bookmarkStart w:id="7" w:name="_Toc197478749"/>
      <w:r>
        <w:rPr>
          <w:rFonts w:hint="eastAsia"/>
        </w:rPr>
        <w:t>2</w:t>
      </w:r>
      <w:r>
        <w:t>.资金投入和使用情况</w:t>
      </w:r>
      <w:bookmarkEnd w:id="6"/>
      <w:bookmarkEnd w:id="7"/>
    </w:p>
    <w:p w14:paraId="2FAD2AAA">
      <w:pPr>
        <w:spacing w:line="360" w:lineRule="auto"/>
        <w:ind w:firstLine="560"/>
        <w:rPr>
          <w:rFonts w:ascii="仿宋_GB2312"/>
        </w:rPr>
      </w:pPr>
      <w:r>
        <w:rPr>
          <w:rFonts w:hint="eastAsia" w:ascii="仿宋_GB2312"/>
        </w:rPr>
        <w:t>该项目资金投入情况：</w:t>
      </w:r>
      <w:r>
        <w:rPr>
          <w:rFonts w:hint="eastAsia" w:ascii="仿宋_GB2312"/>
          <w:color w:val="auto"/>
        </w:rPr>
        <w:t>经乌财科教〔2024〕2号文件批准，项</w:t>
      </w:r>
      <w:r>
        <w:rPr>
          <w:rFonts w:hint="eastAsia" w:ascii="仿宋_GB2312"/>
        </w:rPr>
        <w:t>目系</w:t>
      </w:r>
      <w:r>
        <w:rPr>
          <w:rFonts w:ascii="仿宋_GB2312"/>
        </w:rPr>
        <w:t>2024</w:t>
      </w:r>
      <w:r>
        <w:rPr>
          <w:rFonts w:hint="eastAsia" w:ascii="仿宋_GB2312"/>
        </w:rPr>
        <w:t>年本级资金，共安排预算1650万元，2024年年初预算批复项目，年中没有资金调整情况。</w:t>
      </w:r>
    </w:p>
    <w:p w14:paraId="3EAF7701">
      <w:pPr>
        <w:spacing w:line="360" w:lineRule="auto"/>
        <w:ind w:firstLine="560"/>
        <w:rPr>
          <w:rFonts w:hint="eastAsia" w:ascii="仿宋_GB2312"/>
          <w:highlight w:val="yellow"/>
        </w:rPr>
      </w:pPr>
      <w:r>
        <w:rPr>
          <w:rFonts w:hint="eastAsia" w:ascii="仿宋_GB2312"/>
        </w:rPr>
        <w:t>该项目资金使用情况：</w:t>
      </w:r>
      <w:r>
        <w:rPr>
          <w:rFonts w:hint="eastAsia" w:ascii="仿宋_GB2312"/>
          <w:highlight w:val="none"/>
        </w:rPr>
        <w:t>项目</w:t>
      </w:r>
      <w:r>
        <w:rPr>
          <w:rFonts w:hint="eastAsia" w:ascii="仿宋_GB2312"/>
          <w:highlight w:val="none"/>
          <w:lang w:val="en-US" w:eastAsia="zh-CN"/>
        </w:rPr>
        <w:t>资金使用金额为1565.53万元，其中：</w:t>
      </w:r>
      <w:r>
        <w:rPr>
          <w:rFonts w:hint="eastAsia" w:ascii="仿宋_GB2312"/>
          <w:highlight w:val="none"/>
        </w:rPr>
        <w:t>视频会议应急指挥系统相关硬件设备、软件采购（包含原信息化设备的拆除、新购入设备的安装、信息系统集成、调试、应用培训、</w:t>
      </w:r>
      <w:r>
        <w:rPr>
          <w:rFonts w:hint="eastAsia" w:ascii="仿宋_GB2312"/>
          <w:highlight w:val="none"/>
          <w:lang w:val="en-US" w:eastAsia="zh-CN"/>
        </w:rPr>
        <w:t>维修</w:t>
      </w:r>
      <w:r>
        <w:rPr>
          <w:rFonts w:hint="eastAsia" w:ascii="仿宋_GB2312"/>
          <w:highlight w:val="none"/>
        </w:rPr>
        <w:t>质保等）</w:t>
      </w:r>
      <w:r>
        <w:rPr>
          <w:rFonts w:hint="eastAsia" w:ascii="仿宋_GB2312"/>
          <w:highlight w:val="none"/>
          <w:lang w:val="en-US" w:eastAsia="zh-CN"/>
        </w:rPr>
        <w:t>132.08万元</w:t>
      </w:r>
      <w:r>
        <w:rPr>
          <w:rFonts w:hint="eastAsia" w:ascii="仿宋_GB2312"/>
          <w:highlight w:val="none"/>
        </w:rPr>
        <w:t>、考生身份</w:t>
      </w:r>
      <w:r>
        <w:rPr>
          <w:rFonts w:hint="eastAsia" w:ascii="仿宋_GB2312"/>
          <w:highlight w:val="none"/>
          <w:lang w:val="en-US" w:eastAsia="zh-CN"/>
        </w:rPr>
        <w:t>认</w:t>
      </w:r>
      <w:r>
        <w:rPr>
          <w:rFonts w:hint="eastAsia" w:ascii="仿宋_GB2312"/>
          <w:highlight w:val="none"/>
        </w:rPr>
        <w:t>证系统</w:t>
      </w:r>
      <w:r>
        <w:rPr>
          <w:rFonts w:hint="eastAsia" w:ascii="仿宋_GB2312"/>
          <w:highlight w:val="none"/>
          <w:lang w:val="en-US" w:eastAsia="zh-CN"/>
        </w:rPr>
        <w:t>507.34万元</w:t>
      </w:r>
      <w:r>
        <w:rPr>
          <w:rFonts w:hint="eastAsia" w:ascii="仿宋_GB2312"/>
          <w:highlight w:val="none"/>
        </w:rPr>
        <w:t>、</w:t>
      </w:r>
      <w:r>
        <w:rPr>
          <w:rFonts w:hint="eastAsia" w:ascii="仿宋_GB2312"/>
          <w:highlight w:val="none"/>
          <w:lang w:val="en-US" w:eastAsia="zh-CN"/>
        </w:rPr>
        <w:t>考点指挥中心系统926.11万元，</w:t>
      </w:r>
      <w:r>
        <w:rPr>
          <w:rFonts w:hint="eastAsia" w:ascii="仿宋_GB2312"/>
          <w:highlight w:val="none"/>
        </w:rPr>
        <w:t>项目无分包。</w:t>
      </w:r>
    </w:p>
    <w:p w14:paraId="3842B573">
      <w:pPr>
        <w:pStyle w:val="2"/>
        <w:ind w:firstLine="643"/>
        <w:rPr>
          <w:rFonts w:hint="eastAsia" w:ascii="仿宋" w:hAnsi="仿宋" w:eastAsia="仿宋"/>
          <w:lang w:bidi="en-US"/>
        </w:rPr>
      </w:pPr>
      <w:bookmarkStart w:id="8" w:name="_Toc197478750"/>
      <w:r>
        <w:rPr>
          <w:rFonts w:hint="eastAsia" w:ascii="仿宋" w:hAnsi="仿宋" w:eastAsia="仿宋"/>
          <w:lang w:bidi="en-US"/>
        </w:rPr>
        <w:t>（二）项目绩效目标：</w:t>
      </w:r>
      <w:bookmarkEnd w:id="3"/>
      <w:bookmarkEnd w:id="8"/>
    </w:p>
    <w:p w14:paraId="77F6156F">
      <w:pPr>
        <w:spacing w:line="360" w:lineRule="auto"/>
        <w:ind w:firstLine="560"/>
        <w:rPr>
          <w:rFonts w:hint="eastAsia"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9"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9"/>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按照指向明确、细化量化、合理可行和相应匹配的要求，设定三级绩效目标（数量指标、质量指标、时效指标、成本指标、效益指标），以准确、清晰地反映财政资金在使用期所能达到的预期产出和效果。</w:t>
      </w:r>
    </w:p>
    <w:p w14:paraId="1C353735">
      <w:pPr>
        <w:spacing w:line="360" w:lineRule="auto"/>
        <w:ind w:firstLine="560"/>
        <w:rPr>
          <w:rFonts w:hint="eastAsia" w:ascii="仿宋_GB2312" w:hAnsi="仿宋"/>
          <w:szCs w:val="28"/>
        </w:rPr>
      </w:pPr>
      <w:r>
        <w:rPr>
          <w:rFonts w:hint="eastAsia" w:ascii="仿宋_GB2312" w:hAnsi="仿宋"/>
          <w:szCs w:val="28"/>
        </w:rPr>
        <w:t>该项目为</w:t>
      </w:r>
      <w:r>
        <w:rPr>
          <w:rFonts w:ascii="仿宋_GB2312" w:hAnsi="仿宋"/>
          <w:szCs w:val="28"/>
        </w:rPr>
        <w:t>当年一次性项目</w:t>
      </w:r>
    </w:p>
    <w:p w14:paraId="6DF6FB1D">
      <w:pPr>
        <w:spacing w:line="360" w:lineRule="auto"/>
        <w:ind w:firstLine="560"/>
        <w:rPr>
          <w:rFonts w:hint="eastAsia" w:ascii="仿宋_GB2312" w:hAnsi="仿宋"/>
          <w:szCs w:val="28"/>
        </w:rPr>
      </w:pPr>
      <w:r>
        <w:rPr>
          <w:rFonts w:hint="eastAsia" w:ascii="仿宋_GB2312" w:hAnsi="仿宋"/>
          <w:szCs w:val="28"/>
        </w:rPr>
        <w:t>该项目总体绩效目标：国家教育考试标准化考点建设和信息化设备的改造更新，</w:t>
      </w:r>
      <w:bookmarkStart w:id="10" w:name="OLE_LINK2"/>
      <w:r>
        <w:rPr>
          <w:rFonts w:hint="eastAsia" w:ascii="仿宋_GB2312" w:hAnsi="仿宋"/>
          <w:szCs w:val="28"/>
        </w:rPr>
        <w:t>有力推动了整体教育考试工作高质量发展</w:t>
      </w:r>
      <w:bookmarkEnd w:id="10"/>
      <w:r>
        <w:rPr>
          <w:rFonts w:hint="eastAsia" w:ascii="仿宋_GB2312" w:hAnsi="仿宋"/>
          <w:szCs w:val="28"/>
        </w:rPr>
        <w:t>。进一步强化考试组织安全体系和加强诚信体系建设，确保国家教育考试安全公平和教育考试改革平稳顺利实施。信息化是时代发展的必然，信息化建设在教育招生考试过程中的实际应用和落定，得到了上级领导部门和地方政府的大力支持。投入了大量的人力、物力和财力，软硬件设施设备得到了改善和加强，智能巡考、信息化手段作弊防控、身份验证识别，试卷流转监控、建立智能保密室、以考试大数据为支撑、以动态数字图</w:t>
      </w:r>
      <w:r>
        <w:rPr>
          <w:rFonts w:hint="eastAsia" w:ascii="仿宋_GB2312" w:hAnsi="仿宋"/>
          <w:szCs w:val="28"/>
          <w:lang w:val="en-US" w:eastAsia="zh-CN"/>
        </w:rPr>
        <w:t>呈现</w:t>
      </w:r>
      <w:r>
        <w:rPr>
          <w:rFonts w:hint="eastAsia" w:ascii="仿宋_GB2312" w:hAnsi="仿宋"/>
          <w:szCs w:val="28"/>
        </w:rPr>
        <w:t>的考试综合管理平台等，这些都是考试制度改革的真实写照。</w:t>
      </w:r>
    </w:p>
    <w:p w14:paraId="648C7AFA">
      <w:pPr>
        <w:spacing w:line="360" w:lineRule="auto"/>
        <w:ind w:firstLine="560"/>
        <w:rPr>
          <w:rFonts w:ascii="仿宋_GB2312"/>
          <w:highlight w:val="none"/>
        </w:rPr>
      </w:pPr>
      <w:r>
        <w:rPr>
          <w:rFonts w:hint="eastAsia" w:ascii="仿宋_GB2312" w:hAnsi="仿宋"/>
          <w:szCs w:val="28"/>
        </w:rPr>
        <w:t>该项目阶段性目标为：</w:t>
      </w:r>
      <w:r>
        <w:rPr>
          <w:rFonts w:hint="eastAsia" w:ascii="仿宋_GB2312" w:hAnsi="仿宋"/>
          <w:szCs w:val="28"/>
          <w:highlight w:val="none"/>
        </w:rPr>
        <w:t>2024年计划完成20个标准化考点信息化建设改造任务，重</w:t>
      </w:r>
      <w:r>
        <w:rPr>
          <w:rFonts w:ascii="仿宋_GB2312" w:hAnsi="仿宋"/>
          <w:szCs w:val="28"/>
          <w:highlight w:val="none"/>
        </w:rPr>
        <w:t>点完成</w:t>
      </w:r>
      <w:r>
        <w:rPr>
          <w:rFonts w:hint="eastAsia" w:ascii="仿宋_GB2312" w:hAnsi="仿宋"/>
          <w:szCs w:val="28"/>
          <w:highlight w:val="none"/>
        </w:rPr>
        <w:t>2013年建成的老</w:t>
      </w:r>
      <w:r>
        <w:rPr>
          <w:rFonts w:hint="eastAsia" w:ascii="仿宋_GB2312" w:hAnsi="仿宋"/>
          <w:szCs w:val="28"/>
          <w:highlight w:val="none"/>
          <w:lang w:val="en-US" w:eastAsia="zh-CN"/>
        </w:rPr>
        <w:t>旧</w:t>
      </w:r>
      <w:r>
        <w:rPr>
          <w:rFonts w:hint="eastAsia" w:ascii="仿宋_GB2312" w:hAnsi="仿宋"/>
          <w:szCs w:val="28"/>
          <w:highlight w:val="none"/>
        </w:rPr>
        <w:t>标清标准化考点信息化设备的改造升级，完成其中20个标准化</w:t>
      </w:r>
      <w:r>
        <w:rPr>
          <w:rFonts w:ascii="仿宋_GB2312" w:hAnsi="仿宋"/>
          <w:szCs w:val="28"/>
          <w:highlight w:val="none"/>
        </w:rPr>
        <w:t>考点</w:t>
      </w:r>
      <w:r>
        <w:rPr>
          <w:rFonts w:ascii="仿宋_GB2312"/>
          <w:highlight w:val="none"/>
        </w:rPr>
        <w:t>考场</w:t>
      </w:r>
      <w:r>
        <w:rPr>
          <w:rFonts w:hint="eastAsia" w:ascii="仿宋_GB2312"/>
          <w:highlight w:val="none"/>
        </w:rPr>
        <w:t>实时智能</w:t>
      </w:r>
      <w:r>
        <w:rPr>
          <w:rFonts w:ascii="仿宋_GB2312"/>
          <w:highlight w:val="none"/>
        </w:rPr>
        <w:t>巡查系统、视频会议</w:t>
      </w:r>
      <w:r>
        <w:rPr>
          <w:rFonts w:hint="eastAsia" w:ascii="仿宋_GB2312"/>
          <w:highlight w:val="none"/>
        </w:rPr>
        <w:t>应急指挥</w:t>
      </w:r>
      <w:r>
        <w:rPr>
          <w:rFonts w:ascii="仿宋_GB2312"/>
          <w:highlight w:val="none"/>
        </w:rPr>
        <w:t>系统、</w:t>
      </w:r>
      <w:r>
        <w:rPr>
          <w:rFonts w:hint="eastAsia" w:ascii="仿宋_GB2312"/>
          <w:highlight w:val="none"/>
        </w:rPr>
        <w:t>考生</w:t>
      </w:r>
      <w:r>
        <w:rPr>
          <w:rFonts w:ascii="仿宋_GB2312"/>
          <w:highlight w:val="none"/>
        </w:rPr>
        <w:t>身份认证系统的改造建设工作</w:t>
      </w:r>
      <w:r>
        <w:rPr>
          <w:rFonts w:hint="eastAsia" w:ascii="仿宋_GB2312"/>
          <w:highlight w:val="none"/>
        </w:rPr>
        <w:t>。</w:t>
      </w:r>
    </w:p>
    <w:p w14:paraId="46853405">
      <w:pPr>
        <w:pStyle w:val="3"/>
        <w:ind w:firstLine="0" w:firstLineChars="0"/>
        <w:jc w:val="left"/>
        <w:rPr>
          <w:rFonts w:hint="eastAsia" w:ascii="仿宋" w:hAnsi="仿宋" w:eastAsia="仿宋"/>
          <w:sz w:val="36"/>
          <w:szCs w:val="36"/>
          <w:lang w:bidi="en-US"/>
        </w:rPr>
      </w:pPr>
      <w:bookmarkStart w:id="11" w:name="_Toc67911604"/>
      <w:bookmarkStart w:id="12" w:name="_Toc197478751"/>
      <w:r>
        <w:rPr>
          <w:rFonts w:hint="eastAsia" w:ascii="仿宋" w:hAnsi="仿宋" w:eastAsia="仿宋"/>
          <w:sz w:val="36"/>
          <w:szCs w:val="36"/>
          <w:lang w:bidi="en-US"/>
        </w:rPr>
        <w:t>二、绩效评价工作开展情况</w:t>
      </w:r>
      <w:bookmarkEnd w:id="11"/>
      <w:bookmarkEnd w:id="12"/>
    </w:p>
    <w:p w14:paraId="239387AF">
      <w:pPr>
        <w:pStyle w:val="2"/>
        <w:ind w:firstLine="643"/>
        <w:rPr>
          <w:rFonts w:hint="eastAsia" w:ascii="仿宋" w:hAnsi="仿宋" w:eastAsia="仿宋"/>
          <w:color w:val="000000" w:themeColor="text1"/>
          <w:lang w:bidi="en-US"/>
          <w14:textFill>
            <w14:solidFill>
              <w14:schemeClr w14:val="tx1"/>
            </w14:solidFill>
          </w14:textFill>
        </w:rPr>
      </w:pPr>
      <w:bookmarkStart w:id="13" w:name="_Toc197478752"/>
      <w:bookmarkStart w:id="14" w:name="_Toc67911605"/>
      <w:r>
        <w:rPr>
          <w:rFonts w:hint="eastAsia" w:ascii="仿宋" w:hAnsi="仿宋" w:eastAsia="仿宋"/>
          <w:color w:val="000000" w:themeColor="text1"/>
          <w:lang w:bidi="en-US"/>
          <w14:textFill>
            <w14:solidFill>
              <w14:schemeClr w14:val="tx1"/>
            </w14:solidFill>
          </w14:textFill>
        </w:rPr>
        <w:t>（一）绩效评价目的、对象和范围</w:t>
      </w:r>
      <w:bookmarkEnd w:id="13"/>
      <w:bookmarkEnd w:id="14"/>
    </w:p>
    <w:p w14:paraId="108FFFD3">
      <w:pPr>
        <w:pStyle w:val="4"/>
        <w:ind w:firstLine="643"/>
        <w:rPr>
          <w:color w:val="000000" w:themeColor="text1"/>
          <w14:textFill>
            <w14:solidFill>
              <w14:schemeClr w14:val="tx1"/>
            </w14:solidFill>
          </w14:textFill>
        </w:rPr>
      </w:pPr>
      <w:bookmarkStart w:id="15" w:name="_Toc197478753"/>
      <w:r>
        <w:rPr>
          <w:rFonts w:hint="eastAsia"/>
          <w:color w:val="000000" w:themeColor="text1"/>
          <w14:textFill>
            <w14:solidFill>
              <w14:schemeClr w14:val="tx1"/>
            </w14:solidFill>
          </w14:textFill>
        </w:rPr>
        <w:t>1</w:t>
      </w:r>
      <w:r>
        <w:rPr>
          <w:color w:val="000000" w:themeColor="text1"/>
          <w14:textFill>
            <w14:solidFill>
              <w14:schemeClr w14:val="tx1"/>
            </w14:solidFill>
          </w14:textFill>
        </w:rPr>
        <w:t>.绩效评价完整性</w:t>
      </w:r>
      <w:bookmarkEnd w:id="15"/>
    </w:p>
    <w:p w14:paraId="523755AE">
      <w:pPr>
        <w:spacing w:line="360" w:lineRule="auto"/>
        <w:ind w:firstLine="560"/>
        <w:rPr>
          <w:rFonts w:hint="eastAsia" w:ascii="仿宋_GB2312" w:hAnsi="仿宋"/>
          <w:color w:val="000000" w:themeColor="text1"/>
          <w:szCs w:val="28"/>
          <w:highlight w:val="yellow"/>
          <w14:textFill>
            <w14:solidFill>
              <w14:schemeClr w14:val="tx1"/>
            </w14:solidFill>
          </w14:textFill>
        </w:rPr>
      </w:pPr>
      <w:r>
        <w:rPr>
          <w:rFonts w:hint="eastAsia" w:ascii="仿宋_GB2312"/>
          <w:szCs w:val="28"/>
        </w:rPr>
        <w:t>本项目的绩效目标按照项目决策、实施过程、产出、效益构建绩效评价指标，且具有明确性、可衡量性、可实现性、相关性和时限性等特点，能较为全面地反映本项目的绩效评价目标。</w:t>
      </w:r>
      <w:r>
        <w:rPr>
          <w:rFonts w:hint="eastAsia" w:ascii="仿宋_GB2312" w:hAnsi="仿宋" w:cs="宋体"/>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包括向20个改造的标准化考点学校发放问卷调查的方式，并与当年项目年度计划相对应。</w:t>
      </w:r>
    </w:p>
    <w:p w14:paraId="4030093E">
      <w:pPr>
        <w:spacing w:line="360" w:lineRule="auto"/>
        <w:ind w:firstLine="560"/>
        <w:rPr>
          <w:rFonts w:ascii="仿宋_GB2312"/>
        </w:rPr>
      </w:pPr>
      <w:r>
        <w:rPr>
          <w:rFonts w:hint="eastAsia" w:ascii="仿宋_GB2312"/>
        </w:rPr>
        <w:t>考点考场视频网上巡查系统、视频会议系统、身份认证系统的改造建设工作，</w:t>
      </w:r>
      <w:r>
        <w:rPr>
          <w:rFonts w:ascii="仿宋_GB2312"/>
        </w:rPr>
        <w:t>以《教育部、财政部关于大力推进国家教育考试标准化考点建设工作的通知》（教学</w:t>
      </w:r>
      <w:r>
        <w:rPr>
          <w:rFonts w:hint="eastAsia" w:ascii="仿宋_GB2312"/>
        </w:rPr>
        <w:t>〔</w:t>
      </w:r>
      <w:r>
        <w:rPr>
          <w:rFonts w:ascii="仿宋_GB2312"/>
        </w:rPr>
        <w:t>2011</w:t>
      </w:r>
      <w:r>
        <w:rPr>
          <w:rFonts w:hint="eastAsia" w:ascii="仿宋_GB2312"/>
        </w:rPr>
        <w:t>〕</w:t>
      </w:r>
      <w:r>
        <w:rPr>
          <w:rFonts w:ascii="仿宋_GB2312"/>
        </w:rPr>
        <w:t>1号）要求为指导</w:t>
      </w:r>
      <w:r>
        <w:rPr>
          <w:rFonts w:hint="eastAsia" w:ascii="仿宋_GB2312"/>
        </w:rPr>
        <w:t>，</w:t>
      </w:r>
      <w:r>
        <w:rPr>
          <w:rFonts w:ascii="仿宋_GB2312"/>
        </w:rPr>
        <w:t>结合我</w:t>
      </w:r>
      <w:r>
        <w:rPr>
          <w:rFonts w:hint="eastAsia" w:ascii="仿宋_GB2312"/>
        </w:rPr>
        <w:t>市</w:t>
      </w:r>
      <w:r>
        <w:rPr>
          <w:rFonts w:ascii="仿宋_GB2312"/>
        </w:rPr>
        <w:t>标准化考点建设实际情况，按“统一领导、统筹规划、统一标准、</w:t>
      </w:r>
      <w:r>
        <w:rPr>
          <w:rFonts w:hint="eastAsia" w:ascii="仿宋_GB2312"/>
          <w:lang w:eastAsia="zh-CN"/>
        </w:rPr>
        <w:t>分步实施</w:t>
      </w:r>
      <w:r>
        <w:rPr>
          <w:rFonts w:ascii="仿宋_GB2312"/>
        </w:rPr>
        <w:t>、分级管理、务实高效”的原则</w:t>
      </w:r>
      <w:r>
        <w:rPr>
          <w:rFonts w:hint="eastAsia" w:ascii="仿宋_GB2312"/>
        </w:rPr>
        <w:t>顺利开展并完成当年目标任务，</w:t>
      </w:r>
      <w:r>
        <w:rPr>
          <w:rFonts w:hint="eastAsia" w:ascii="仿宋_GB2312"/>
          <w:bCs/>
          <w:szCs w:val="28"/>
        </w:rPr>
        <w:t>视频会议系统资金132.36万</w:t>
      </w:r>
      <w:r>
        <w:rPr>
          <w:rFonts w:hint="eastAsia" w:ascii="仿宋_GB2312"/>
          <w:bCs/>
          <w:szCs w:val="28"/>
          <w:lang w:eastAsia="zh-CN"/>
        </w:rPr>
        <w:t>元</w:t>
      </w:r>
      <w:r>
        <w:rPr>
          <w:rFonts w:hint="eastAsia" w:ascii="仿宋_GB2312"/>
          <w:bCs/>
          <w:szCs w:val="28"/>
        </w:rPr>
        <w:t>。考点指挥中心（考场巡查系统汇聚机房）资金926.2万</w:t>
      </w:r>
      <w:r>
        <w:rPr>
          <w:rFonts w:hint="eastAsia" w:ascii="仿宋_GB2312"/>
          <w:bCs/>
          <w:szCs w:val="28"/>
          <w:lang w:eastAsia="zh-CN"/>
        </w:rPr>
        <w:t>元</w:t>
      </w:r>
      <w:r>
        <w:rPr>
          <w:rFonts w:hint="eastAsia" w:ascii="仿宋_GB2312"/>
          <w:bCs/>
          <w:szCs w:val="28"/>
        </w:rPr>
        <w:t>。身份认证系统资金591.44万</w:t>
      </w:r>
      <w:r>
        <w:rPr>
          <w:rFonts w:hint="eastAsia" w:ascii="仿宋_GB2312"/>
          <w:bCs/>
          <w:szCs w:val="28"/>
          <w:lang w:eastAsia="zh-CN"/>
        </w:rPr>
        <w:t>元</w:t>
      </w:r>
      <w:r>
        <w:rPr>
          <w:rFonts w:hint="eastAsia" w:ascii="仿宋_GB2312"/>
          <w:bCs/>
          <w:szCs w:val="28"/>
        </w:rPr>
        <w:t>。实际执行1565.53万</w:t>
      </w:r>
      <w:r>
        <w:rPr>
          <w:rFonts w:hint="eastAsia" w:ascii="仿宋_GB2312"/>
          <w:bCs/>
          <w:szCs w:val="28"/>
          <w:lang w:eastAsia="zh-CN"/>
        </w:rPr>
        <w:t>元</w:t>
      </w:r>
      <w:r>
        <w:rPr>
          <w:rFonts w:hint="eastAsia" w:ascii="仿宋_GB2312"/>
          <w:bCs/>
          <w:szCs w:val="28"/>
        </w:rPr>
        <w:t>，预算执行率94.88%。三大系统的建设（包含必要的综合布线、人工调试、耗材等）根据不同设备的功能性能指标，总体建设目标保证系统能与教育部、自治区教育厅、市本级、区县、考点级功能应用互联互通。各系统资金分配可以完全保证系统功能实现，确保总体建设目标达成。</w:t>
      </w:r>
      <w:r>
        <w:rPr>
          <w:rFonts w:hint="eastAsia" w:ascii="仿宋_GB2312" w:hAnsi="仿宋"/>
          <w:szCs w:val="28"/>
        </w:rPr>
        <w:t>有力推动了整体教育考试工作高质量发展。进一步强化考试组织安全体系和加强诚信体系建设，确保国家教育考试安全公平和教育考试改革平稳顺利实施。</w:t>
      </w:r>
    </w:p>
    <w:p w14:paraId="75DC849D">
      <w:pPr>
        <w:pStyle w:val="4"/>
        <w:ind w:firstLine="643"/>
        <w:rPr>
          <w:color w:val="000000" w:themeColor="text1"/>
          <w14:textFill>
            <w14:solidFill>
              <w14:schemeClr w14:val="tx1"/>
            </w14:solidFill>
          </w14:textFill>
        </w:rPr>
      </w:pPr>
      <w:bookmarkStart w:id="16" w:name="_Toc197478754"/>
      <w:r>
        <w:rPr>
          <w:color w:val="000000" w:themeColor="text1"/>
          <w14:textFill>
            <w14:solidFill>
              <w14:schemeClr w14:val="tx1"/>
            </w14:solidFill>
          </w14:textFill>
        </w:rPr>
        <w:t>2</w:t>
      </w:r>
      <w:r>
        <w:rPr>
          <w:rFonts w:hint="eastAsia"/>
          <w:color w:val="000000" w:themeColor="text1"/>
          <w14:textFill>
            <w14:solidFill>
              <w14:schemeClr w14:val="tx1"/>
            </w14:solidFill>
          </w14:textFill>
        </w:rPr>
        <w:t>.评价目的</w:t>
      </w:r>
      <w:bookmarkEnd w:id="16"/>
    </w:p>
    <w:p w14:paraId="4E9B47C9">
      <w:pPr>
        <w:spacing w:line="360" w:lineRule="auto"/>
        <w:ind w:firstLine="560"/>
        <w:rPr>
          <w:rFonts w:ascii="仿宋_GB2312"/>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    （1）通过对项目设立的背景、意义、项目内容、项目现状及绩效目标、资金投入、资金管理、组织实施、产出指标、成本指标和效益指标等进行深入调研和分析，进一步了解</w:t>
      </w:r>
      <w:bookmarkStart w:id="17" w:name="OLE_LINK4"/>
      <w:r>
        <w:rPr>
          <w:rFonts w:ascii="仿宋_GB2312"/>
        </w:rPr>
        <w:t>2024</w:t>
      </w:r>
      <w:r>
        <w:rPr>
          <w:rFonts w:hint="eastAsia" w:ascii="仿宋_GB2312"/>
        </w:rPr>
        <w:t>年乌鲁木齐市教育招生考试中心标准化考点改造设备采购项目</w:t>
      </w:r>
      <w:bookmarkEnd w:id="17"/>
      <w:r>
        <w:rPr>
          <w:rFonts w:hint="eastAsia" w:ascii="仿宋_GB2312"/>
        </w:rPr>
        <w:t>的实施情况，并考察项目实施过程和效果。</w:t>
      </w:r>
    </w:p>
    <w:p w14:paraId="3B95E5F9">
      <w:pPr>
        <w:spacing w:line="360" w:lineRule="auto"/>
        <w:ind w:firstLine="0" w:firstLineChars="0"/>
        <w:rPr>
          <w:rFonts w:ascii="仿宋_GB2312"/>
          <w:b/>
          <w:bCs/>
        </w:rPr>
      </w:pPr>
      <w:r>
        <w:rPr>
          <w:rFonts w:hint="eastAsia" w:ascii="仿宋_GB2312"/>
        </w:rPr>
        <w:t>（2）通过评价，客观公正反映项目立项科学性、项目管理规范性、项目实施有效性和项目效果，总结项目实施的经验，发现项目实施过程中存在的问题，提高财政资金使用效益。</w:t>
      </w:r>
    </w:p>
    <w:p w14:paraId="1408BA66">
      <w:pPr>
        <w:pStyle w:val="4"/>
        <w:ind w:firstLine="643"/>
      </w:pPr>
      <w:bookmarkStart w:id="18" w:name="_Toc197478755"/>
      <w:r>
        <w:t>3</w:t>
      </w:r>
      <w:r>
        <w:rPr>
          <w:rFonts w:hint="eastAsia"/>
        </w:rPr>
        <w:t>.评价对象</w:t>
      </w:r>
      <w:bookmarkEnd w:id="18"/>
    </w:p>
    <w:p w14:paraId="636CABB9">
      <w:pPr>
        <w:spacing w:line="360" w:lineRule="auto"/>
        <w:ind w:firstLine="560"/>
        <w:rPr>
          <w:rFonts w:ascii="仿宋_GB2312"/>
        </w:rPr>
      </w:pPr>
      <w:r>
        <w:rPr>
          <w:rFonts w:hint="eastAsia" w:ascii="仿宋_GB2312"/>
        </w:rPr>
        <w:t>（1）绩效评价的对象：</w:t>
      </w:r>
      <w:bookmarkStart w:id="19" w:name="OLE_LINK5"/>
      <w:r>
        <w:rPr>
          <w:rFonts w:ascii="仿宋_GB2312"/>
        </w:rPr>
        <w:t>2024</w:t>
      </w:r>
      <w:r>
        <w:rPr>
          <w:rFonts w:hint="eastAsia" w:ascii="仿宋_GB2312"/>
        </w:rPr>
        <w:t>年乌鲁木齐市教育招生考试中心标准化考点改造设备采购项目</w:t>
      </w:r>
      <w:r>
        <w:rPr>
          <w:rFonts w:ascii="仿宋_GB2312"/>
        </w:rPr>
        <w:t xml:space="preserve"> </w:t>
      </w:r>
      <w:bookmarkEnd w:id="19"/>
    </w:p>
    <w:p w14:paraId="6C116E16">
      <w:pPr>
        <w:pStyle w:val="4"/>
        <w:ind w:firstLine="643"/>
      </w:pPr>
      <w:bookmarkStart w:id="20" w:name="_Toc197478756"/>
      <w:r>
        <w:rPr>
          <w:rFonts w:hint="eastAsia"/>
        </w:rPr>
        <w:t>4</w:t>
      </w:r>
      <w:r>
        <w:t>.</w:t>
      </w:r>
      <w:r>
        <w:rPr>
          <w:rFonts w:hint="eastAsia"/>
        </w:rPr>
        <w:t>绩效评价范围</w:t>
      </w:r>
      <w:bookmarkEnd w:id="20"/>
    </w:p>
    <w:p w14:paraId="6662C08F">
      <w:pPr>
        <w:spacing w:line="360" w:lineRule="auto"/>
        <w:ind w:firstLine="560"/>
        <w:rPr>
          <w:rFonts w:ascii="仿宋_GB2312"/>
        </w:rPr>
      </w:pPr>
      <w:r>
        <w:rPr>
          <w:rFonts w:ascii="仿宋_GB2312"/>
        </w:rPr>
        <w:t>1.</w:t>
      </w:r>
      <w:r>
        <w:rPr>
          <w:rFonts w:hint="eastAsia" w:ascii="仿宋_GB2312"/>
        </w:rPr>
        <w:t>时间范围：2024年1月1日至2024年1</w:t>
      </w:r>
      <w:r>
        <w:rPr>
          <w:rFonts w:ascii="仿宋_GB2312"/>
        </w:rPr>
        <w:t>2</w:t>
      </w:r>
      <w:r>
        <w:rPr>
          <w:rFonts w:hint="eastAsia" w:ascii="仿宋_GB2312"/>
        </w:rPr>
        <w:t>月3</w:t>
      </w:r>
      <w:r>
        <w:rPr>
          <w:rFonts w:ascii="仿宋_GB2312"/>
        </w:rPr>
        <w:t>1</w:t>
      </w:r>
      <w:r>
        <w:rPr>
          <w:rFonts w:hint="eastAsia" w:ascii="仿宋_GB2312"/>
        </w:rPr>
        <w:t>日。</w:t>
      </w:r>
    </w:p>
    <w:p w14:paraId="6F20A562">
      <w:pPr>
        <w:spacing w:line="360" w:lineRule="auto"/>
        <w:ind w:firstLine="560"/>
        <w:rPr>
          <w:rFonts w:ascii="仿宋_GB2312"/>
          <w:bCs/>
          <w:szCs w:val="28"/>
        </w:rPr>
      </w:pPr>
      <w:r>
        <w:rPr>
          <w:rFonts w:ascii="仿宋_GB2312"/>
        </w:rPr>
        <w:t>2.</w:t>
      </w:r>
      <w:r>
        <w:rPr>
          <w:rFonts w:hint="eastAsia" w:ascii="仿宋_GB2312"/>
        </w:rPr>
        <w:t>项目范围：</w:t>
      </w:r>
      <w:r>
        <w:rPr>
          <w:rFonts w:hint="eastAsia" w:ascii="仿宋_GB2312"/>
          <w:bCs/>
          <w:szCs w:val="28"/>
        </w:rPr>
        <w:t>该项目资金财政及时拨付，单位在此次评价期间内，有序完成设定目标的部分工作任务，</w:t>
      </w:r>
      <w:r>
        <w:rPr>
          <w:rFonts w:hint="eastAsia" w:ascii="仿宋_GB2312" w:hAnsi="仿宋"/>
          <w:szCs w:val="28"/>
        </w:rPr>
        <w:t>保障标准化考点改造设备购置项目工作顺利实施，保障今后各级各类教育考试平稳有序；保障考试期间数据安全可靠，过程整体可控；项目费用使用合理规范。能够进一步促进教</w:t>
      </w:r>
      <w:r>
        <w:rPr>
          <w:rFonts w:hint="eastAsia" w:ascii="仿宋_GB2312"/>
          <w:bCs/>
          <w:szCs w:val="28"/>
        </w:rPr>
        <w:t>育考试公平公正。有力推动了整体教育考试工作高质量发展。项目预算1650万，其中：视频会议系统资金132.36万</w:t>
      </w:r>
      <w:r>
        <w:rPr>
          <w:rFonts w:hint="eastAsia" w:ascii="仿宋_GB2312"/>
          <w:bCs/>
          <w:szCs w:val="28"/>
          <w:lang w:eastAsia="zh-CN"/>
        </w:rPr>
        <w:t>元</w:t>
      </w:r>
      <w:r>
        <w:rPr>
          <w:rFonts w:hint="eastAsia" w:ascii="仿宋_GB2312"/>
          <w:bCs/>
          <w:szCs w:val="28"/>
        </w:rPr>
        <w:t>。考点指挥中心（考场巡查系统汇聚机房）资金926.2万</w:t>
      </w:r>
      <w:r>
        <w:rPr>
          <w:rFonts w:hint="eastAsia" w:ascii="仿宋_GB2312"/>
          <w:bCs/>
          <w:szCs w:val="28"/>
          <w:lang w:eastAsia="zh-CN"/>
        </w:rPr>
        <w:t>元</w:t>
      </w:r>
      <w:r>
        <w:rPr>
          <w:rFonts w:hint="eastAsia" w:ascii="仿宋_GB2312"/>
          <w:bCs/>
          <w:szCs w:val="28"/>
        </w:rPr>
        <w:t>。身份认证系统资金591.44万</w:t>
      </w:r>
      <w:r>
        <w:rPr>
          <w:rFonts w:hint="eastAsia" w:ascii="仿宋_GB2312"/>
          <w:bCs/>
          <w:szCs w:val="28"/>
          <w:lang w:eastAsia="zh-CN"/>
        </w:rPr>
        <w:t>元</w:t>
      </w:r>
      <w:r>
        <w:rPr>
          <w:rFonts w:hint="eastAsia" w:ascii="仿宋_GB2312"/>
          <w:bCs/>
          <w:szCs w:val="28"/>
        </w:rPr>
        <w:t>。实际执行1565.53万</w:t>
      </w:r>
      <w:r>
        <w:rPr>
          <w:rFonts w:hint="eastAsia" w:ascii="仿宋_GB2312"/>
          <w:bCs/>
          <w:szCs w:val="28"/>
          <w:lang w:eastAsia="zh-CN"/>
        </w:rPr>
        <w:t>元</w:t>
      </w:r>
      <w:r>
        <w:rPr>
          <w:rFonts w:hint="eastAsia" w:ascii="仿宋_GB2312"/>
          <w:bCs/>
          <w:szCs w:val="28"/>
        </w:rPr>
        <w:t>，预算执行率94.88%。三大系统的建设（包含必要的综合布线、人工调试、耗材等）根据不同设备的功能性能指标，总体建设目标保证系统能与</w:t>
      </w:r>
      <w:r>
        <w:rPr>
          <w:rFonts w:hint="eastAsia" w:ascii="仿宋_GB2312"/>
          <w:bCs/>
          <w:szCs w:val="28"/>
          <w:lang w:eastAsia="zh-CN"/>
        </w:rPr>
        <w:t>教育部</w:t>
      </w:r>
      <w:r>
        <w:rPr>
          <w:rFonts w:hint="eastAsia" w:ascii="仿宋_GB2312"/>
          <w:bCs/>
          <w:szCs w:val="28"/>
        </w:rPr>
        <w:t>、自治区教育厅、市本级、区县、考点级功能应用互联互通。各系统资金分配可以完全保证系统功能实现，确保总体建设目标达成。</w:t>
      </w:r>
    </w:p>
    <w:p w14:paraId="4CFC477E">
      <w:pPr>
        <w:spacing w:line="360" w:lineRule="auto"/>
        <w:ind w:firstLine="560"/>
      </w:pPr>
      <w:r>
        <w:rPr>
          <w:rFonts w:hint="eastAsia" w:ascii="仿宋_GB2312"/>
          <w:bCs/>
          <w:szCs w:val="28"/>
          <w:highlight w:val="none"/>
          <w:lang w:val="en-US" w:eastAsia="zh-CN"/>
        </w:rPr>
        <w:t>项目存在问题及原因分析：项目执行时间没有按照预期进行，原因为项目</w:t>
      </w:r>
      <w:r>
        <w:rPr>
          <w:rFonts w:hint="eastAsia" w:ascii="仿宋_GB2312"/>
          <w:bCs/>
          <w:szCs w:val="28"/>
          <w:highlight w:val="none"/>
        </w:rPr>
        <w:t>预算编制过程中缺乏严格的规范性，编制标准缺乏论证和规划，从而导致</w:t>
      </w:r>
      <w:r>
        <w:rPr>
          <w:rFonts w:hint="eastAsia" w:ascii="仿宋_GB2312"/>
          <w:bCs/>
          <w:szCs w:val="28"/>
          <w:highlight w:val="none"/>
          <w:lang w:val="en-US" w:eastAsia="zh-CN"/>
        </w:rPr>
        <w:t>项目执行时间延后</w:t>
      </w:r>
      <w:r>
        <w:rPr>
          <w:rFonts w:hint="eastAsia" w:ascii="仿宋_GB2312"/>
          <w:bCs/>
          <w:szCs w:val="28"/>
          <w:highlight w:val="none"/>
        </w:rPr>
        <w:t>，影响了财政专项资金的高效使用。</w:t>
      </w:r>
    </w:p>
    <w:p w14:paraId="46849807">
      <w:pPr>
        <w:pStyle w:val="2"/>
        <w:ind w:firstLine="643"/>
        <w:rPr>
          <w:rFonts w:hint="eastAsia" w:ascii="仿宋" w:hAnsi="仿宋" w:eastAsia="仿宋"/>
          <w:lang w:bidi="en-US"/>
        </w:rPr>
      </w:pPr>
      <w:bookmarkStart w:id="21" w:name="_Hlk67586765"/>
      <w:bookmarkStart w:id="22" w:name="_Toc67911606"/>
      <w:bookmarkStart w:id="23" w:name="_Toc197478757"/>
      <w:r>
        <w:rPr>
          <w:rFonts w:hint="eastAsia" w:ascii="仿宋" w:hAnsi="仿宋" w:eastAsia="仿宋"/>
          <w:lang w:bidi="en-US"/>
        </w:rPr>
        <w:t>（二）绩效评价原则、指标体系、方法及标准</w:t>
      </w:r>
      <w:bookmarkEnd w:id="21"/>
      <w:bookmarkEnd w:id="22"/>
      <w:bookmarkEnd w:id="23"/>
    </w:p>
    <w:p w14:paraId="1B34020C">
      <w:pPr>
        <w:pStyle w:val="4"/>
        <w:ind w:firstLine="643"/>
      </w:pPr>
      <w:bookmarkStart w:id="24" w:name="_Toc197478758"/>
      <w:bookmarkStart w:id="25" w:name="OLE_LINK16"/>
      <w:r>
        <w:rPr>
          <w:rFonts w:hint="eastAsia"/>
        </w:rPr>
        <w:t>1</w:t>
      </w:r>
      <w:r>
        <w:t>.</w:t>
      </w:r>
      <w:r>
        <w:rPr>
          <w:rFonts w:hint="eastAsia"/>
        </w:rPr>
        <w:t>评价原则</w:t>
      </w:r>
      <w:bookmarkEnd w:id="24"/>
      <w:bookmarkEnd w:id="25"/>
    </w:p>
    <w:p w14:paraId="2943B68C">
      <w:pPr>
        <w:spacing w:line="360" w:lineRule="auto"/>
        <w:ind w:firstLine="560"/>
        <w:rPr>
          <w:rFonts w:ascii="仿宋_GB2312"/>
          <w:szCs w:val="28"/>
        </w:rPr>
      </w:pPr>
      <w:r>
        <w:rPr>
          <w:rFonts w:hint="eastAsia" w:ascii="仿宋_GB2312"/>
          <w:szCs w:val="28"/>
        </w:rPr>
        <w:t>（一）科学公正。绩效评价应当运用科学合理的方法，按照规范的程序，对项目绩效进行客观、公正的反映。</w:t>
      </w:r>
    </w:p>
    <w:p w14:paraId="7E4688DA">
      <w:pPr>
        <w:spacing w:line="360" w:lineRule="auto"/>
        <w:ind w:firstLine="560"/>
        <w:rPr>
          <w:rFonts w:ascii="仿宋_GB2312"/>
          <w:szCs w:val="28"/>
        </w:rPr>
      </w:pPr>
      <w:r>
        <w:rPr>
          <w:rFonts w:hint="eastAsia" w:ascii="仿宋_GB2312"/>
          <w:szCs w:val="28"/>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48CF716B">
      <w:pPr>
        <w:spacing w:line="360" w:lineRule="auto"/>
        <w:ind w:firstLine="560"/>
        <w:rPr>
          <w:rFonts w:ascii="仿宋_GB2312"/>
          <w:szCs w:val="28"/>
        </w:rPr>
      </w:pPr>
      <w:r>
        <w:rPr>
          <w:rFonts w:hint="eastAsia" w:ascii="仿宋_GB2312"/>
          <w:szCs w:val="28"/>
        </w:rPr>
        <w:t>（三）激励约束。绩效评价结果应与预算安排、政策调整、改进管理实质性挂钩，体现奖优罚劣和激励相容导向，有效要安排、低效要压减、无效要问责。</w:t>
      </w:r>
    </w:p>
    <w:p w14:paraId="17370242">
      <w:pPr>
        <w:spacing w:line="360" w:lineRule="auto"/>
        <w:ind w:firstLine="560"/>
        <w:rPr>
          <w:rFonts w:ascii="仿宋_GB2312"/>
          <w:szCs w:val="28"/>
        </w:rPr>
      </w:pPr>
      <w:r>
        <w:rPr>
          <w:rFonts w:hint="eastAsia" w:ascii="仿宋_GB2312"/>
          <w:szCs w:val="28"/>
        </w:rPr>
        <w:t>（四）公开透明。绩效评价结果应依法依规公开，并自觉接受社会监督。</w:t>
      </w:r>
    </w:p>
    <w:p w14:paraId="0F3D0AC9">
      <w:pPr>
        <w:pStyle w:val="4"/>
        <w:ind w:firstLine="643"/>
      </w:pPr>
      <w:bookmarkStart w:id="26" w:name="_Toc197478759"/>
      <w:r>
        <w:rPr>
          <w:rFonts w:hint="eastAsia"/>
        </w:rPr>
        <w:t>2</w:t>
      </w:r>
      <w:r>
        <w:t>.</w:t>
      </w:r>
      <w:r>
        <w:rPr>
          <w:rFonts w:hint="eastAsia"/>
        </w:rPr>
        <w:t>评价指标体系</w:t>
      </w:r>
      <w:bookmarkEnd w:id="26"/>
    </w:p>
    <w:p w14:paraId="0323F5BB">
      <w:pPr>
        <w:spacing w:line="360" w:lineRule="auto"/>
        <w:ind w:firstLine="560"/>
        <w:rPr>
          <w:rFonts w:ascii="仿宋_GB2312"/>
          <w:szCs w:val="28"/>
        </w:rPr>
      </w:pPr>
      <w:r>
        <w:rPr>
          <w:rFonts w:hint="eastAsia" w:ascii="仿宋_GB2312"/>
          <w:szCs w:val="28"/>
        </w:rPr>
        <w:t>绩效评价指标体系作为衡量绩效目标实现程度的考核工具，一般遵循以下原则：</w:t>
      </w:r>
    </w:p>
    <w:p w14:paraId="40D78898">
      <w:pPr>
        <w:spacing w:line="360" w:lineRule="auto"/>
        <w:ind w:firstLine="560"/>
        <w:rPr>
          <w:rFonts w:ascii="仿宋_GB2312"/>
          <w:szCs w:val="28"/>
        </w:rPr>
      </w:pPr>
      <w:r>
        <w:rPr>
          <w:rFonts w:hint="eastAsia" w:ascii="仿宋_GB2312"/>
          <w:szCs w:val="28"/>
        </w:rPr>
        <w:t>（1）相关性原则：绩效评价指标应当与绩效目标有直接的联系，能够恰当反映目标的实现程度。</w:t>
      </w:r>
    </w:p>
    <w:p w14:paraId="01188D4A">
      <w:pPr>
        <w:spacing w:line="360" w:lineRule="auto"/>
        <w:ind w:firstLine="560"/>
        <w:rPr>
          <w:rFonts w:ascii="仿宋_GB2312"/>
          <w:szCs w:val="28"/>
        </w:rPr>
      </w:pPr>
      <w:r>
        <w:rPr>
          <w:rFonts w:hint="eastAsia" w:ascii="仿宋_GB2312"/>
          <w:szCs w:val="28"/>
        </w:rPr>
        <w:t>（2）重要性原则：应当优先使用最具评价对象代表性、最能反映评价要求的核心指标。</w:t>
      </w:r>
    </w:p>
    <w:p w14:paraId="5C5D88DD">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17A4C390">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5A5C704C">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3C2376C3">
      <w:pPr>
        <w:spacing w:line="360" w:lineRule="auto"/>
        <w:ind w:firstLine="560"/>
        <w:rPr>
          <w:rFonts w:ascii="仿宋_GB2312"/>
        </w:rPr>
      </w:pPr>
      <w:r>
        <w:rPr>
          <w:rFonts w:hint="eastAsia" w:ascii="仿宋_GB2312"/>
        </w:rPr>
        <w:t>本项目的评价指标体系建立如下表所示。</w:t>
      </w:r>
    </w:p>
    <w:p w14:paraId="642EDD29">
      <w:pPr>
        <w:spacing w:line="360" w:lineRule="auto"/>
        <w:ind w:firstLine="560"/>
        <w:rPr>
          <w:rFonts w:ascii="仿宋_GB2312"/>
        </w:rPr>
      </w:pPr>
    </w:p>
    <w:p w14:paraId="6210F655">
      <w:pPr>
        <w:spacing w:line="360" w:lineRule="auto"/>
        <w:ind w:firstLine="560"/>
        <w:rPr>
          <w:rFonts w:ascii="仿宋_GB2312"/>
        </w:rPr>
      </w:pPr>
    </w:p>
    <w:p w14:paraId="27575E92">
      <w:pPr>
        <w:spacing w:line="360" w:lineRule="auto"/>
        <w:ind w:firstLine="560"/>
        <w:rPr>
          <w:rFonts w:ascii="仿宋_GB2312"/>
        </w:rPr>
        <w:sectPr>
          <w:headerReference r:id="rId11" w:type="default"/>
          <w:footerReference r:id="rId12" w:type="default"/>
          <w:pgSz w:w="11906" w:h="16838"/>
          <w:pgMar w:top="1440" w:right="1800" w:bottom="1440" w:left="1800" w:header="992" w:footer="992" w:gutter="0"/>
          <w:pgNumType w:start="1"/>
          <w:cols w:space="425" w:num="1"/>
          <w:docGrid w:type="lines" w:linePitch="381" w:charSpace="0"/>
        </w:sectPr>
      </w:pPr>
    </w:p>
    <w:p w14:paraId="5B00E39C">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3"/>
        <w:tblW w:w="1389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5"/>
        <w:gridCol w:w="1199"/>
        <w:gridCol w:w="1411"/>
        <w:gridCol w:w="2789"/>
        <w:gridCol w:w="7341"/>
      </w:tblGrid>
      <w:tr w14:paraId="4AD0E9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09D3471C">
            <w:pPr>
              <w:widowControl/>
              <w:ind w:firstLine="0" w:firstLineChars="0"/>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vAlign w:val="center"/>
          </w:tcPr>
          <w:p w14:paraId="77712269">
            <w:pPr>
              <w:widowControl/>
              <w:ind w:firstLine="0" w:firstLineChars="0"/>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vAlign w:val="center"/>
          </w:tcPr>
          <w:p w14:paraId="34C46715">
            <w:pPr>
              <w:widowControl/>
              <w:ind w:firstLine="0" w:firstLineChars="0"/>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vAlign w:val="center"/>
          </w:tcPr>
          <w:p w14:paraId="27DC1579">
            <w:pPr>
              <w:widowControl/>
              <w:ind w:firstLine="0" w:firstLineChars="0"/>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vAlign w:val="center"/>
          </w:tcPr>
          <w:p w14:paraId="586B36AD">
            <w:pPr>
              <w:widowControl/>
              <w:ind w:firstLine="0" w:firstLineChars="0"/>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52FBBF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77854532">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31465BA0">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14:paraId="324777B1">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立项依据</w:t>
            </w:r>
          </w:p>
          <w:p w14:paraId="6C98796A">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5E65E989">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37E3332E">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themeColor="text1"/>
                <w:kern w:val="0"/>
                <w:sz w:val="22"/>
                <w14:textFill>
                  <w14:solidFill>
                    <w14:schemeClr w14:val="tx1"/>
                  </w14:solidFill>
                </w14:textFill>
              </w:rPr>
              <w:t>评价要点：</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①项目立项是否符合国家法律法规、国民经济发展规划和相关政策；</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②项目立项是否符合行业发展规划和政策要求；</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③项目立项是否与部门职责范围相符，</w:t>
            </w:r>
            <w:r>
              <w:rPr>
                <w:rFonts w:hint="eastAsia" w:ascii="宋体" w:hAnsi="宋体" w:eastAsia="宋体" w:cs="宋体"/>
                <w:color w:val="000000" w:themeColor="text1"/>
                <w:kern w:val="0"/>
                <w:sz w:val="22"/>
                <w:lang w:val="en-US" w:eastAsia="zh-CN"/>
                <w14:textFill>
                  <w14:solidFill>
                    <w14:schemeClr w14:val="tx1"/>
                  </w14:solidFill>
                </w14:textFill>
              </w:rPr>
              <w:t>属于部门</w:t>
            </w:r>
            <w:r>
              <w:rPr>
                <w:rFonts w:hint="eastAsia" w:ascii="宋体" w:hAnsi="宋体" w:eastAsia="宋体" w:cs="宋体"/>
                <w:color w:val="000000" w:themeColor="text1"/>
                <w:kern w:val="0"/>
                <w:sz w:val="22"/>
                <w14:textFill>
                  <w14:solidFill>
                    <w14:schemeClr w14:val="tx1"/>
                  </w14:solidFill>
                </w14:textFill>
              </w:rPr>
              <w:t>履职所需；</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④项目是否属于公共财政支持范围，是否符合中央、地方事权支出责任划分原则；</w:t>
            </w:r>
            <w:r>
              <w:rPr>
                <w:rFonts w:hint="eastAsia" w:ascii="宋体" w:hAnsi="宋体" w:eastAsia="宋体" w:cs="宋体"/>
                <w:color w:val="000000" w:themeColor="text1"/>
                <w:kern w:val="0"/>
                <w:sz w:val="22"/>
                <w14:textFill>
                  <w14:solidFill>
                    <w14:schemeClr w14:val="tx1"/>
                  </w14:solidFill>
                </w14:textFill>
              </w:rPr>
              <w:br w:type="textWrapping"/>
            </w:r>
            <w:r>
              <w:rPr>
                <w:rFonts w:hint="eastAsia" w:ascii="宋体" w:hAnsi="宋体" w:eastAsia="宋体" w:cs="宋体"/>
                <w:color w:val="000000" w:themeColor="text1"/>
                <w:kern w:val="0"/>
                <w:sz w:val="22"/>
                <w14:textFill>
                  <w14:solidFill>
                    <w14:schemeClr w14:val="tx1"/>
                  </w14:solidFill>
                </w14:textFill>
              </w:rPr>
              <w:t>⑤项目是否与相关部门同类项目或部门内部相关项目重复。</w:t>
            </w:r>
          </w:p>
        </w:tc>
      </w:tr>
      <w:tr w14:paraId="4F4D25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5D1F2203">
            <w:pPr>
              <w:ind w:firstLine="0" w:firstLineChars="0"/>
              <w:jc w:val="center"/>
              <w:rPr>
                <w:rFonts w:hint="eastAsia"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7C7CB7A0">
            <w:pPr>
              <w:widowControl/>
              <w:ind w:firstLine="0" w:firstLineChars="0"/>
              <w:jc w:val="center"/>
              <w:rPr>
                <w:rFonts w:hint="eastAsia" w:ascii="宋体" w:hAnsi="宋体" w:eastAsia="宋体" w:cs="宋体"/>
                <w:color w:val="000000"/>
                <w:kern w:val="0"/>
                <w:sz w:val="22"/>
              </w:rPr>
            </w:pPr>
          </w:p>
        </w:tc>
        <w:tc>
          <w:tcPr>
            <w:tcW w:w="1411" w:type="dxa"/>
            <w:tcBorders>
              <w:tl2br w:val="nil"/>
              <w:tr2bl w:val="nil"/>
            </w:tcBorders>
            <w:shd w:val="clear" w:color="auto" w:fill="FFFFFF"/>
            <w:vAlign w:val="center"/>
          </w:tcPr>
          <w:p w14:paraId="6C0E449D">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立项程序</w:t>
            </w:r>
          </w:p>
          <w:p w14:paraId="4F941DB8">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76C622B5">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74ABBE09">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14:paraId="14BD5E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1AE90EAC">
            <w:pPr>
              <w:ind w:firstLine="0" w:firstLineChars="0"/>
              <w:jc w:val="center"/>
              <w:rPr>
                <w:rFonts w:hint="eastAsia" w:ascii="宋体" w:hAnsi="宋体" w:eastAsia="宋体" w:cs="宋体"/>
                <w:color w:val="000000"/>
                <w:kern w:val="0"/>
                <w:sz w:val="22"/>
              </w:rPr>
            </w:pPr>
          </w:p>
        </w:tc>
        <w:tc>
          <w:tcPr>
            <w:tcW w:w="1199" w:type="dxa"/>
            <w:tcBorders>
              <w:tl2br w:val="nil"/>
              <w:tr2bl w:val="nil"/>
            </w:tcBorders>
            <w:shd w:val="clear" w:color="auto" w:fill="FFFFFF"/>
            <w:vAlign w:val="center"/>
          </w:tcPr>
          <w:p w14:paraId="389798E6">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0B39CB98">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绩效目标</w:t>
            </w:r>
          </w:p>
          <w:p w14:paraId="4D0B5EA3">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59E74DC6">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3D780635">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26AB6A7F">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08356D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2C99A051">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3480ACA5">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27176738">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绩效指标</w:t>
            </w:r>
          </w:p>
          <w:p w14:paraId="003C79E8">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14114001">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6E358991">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14:paraId="77F3BD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55EDEB83">
            <w:pPr>
              <w:ind w:firstLine="0" w:firstLineChars="0"/>
              <w:jc w:val="center"/>
              <w:rPr>
                <w:rFonts w:hint="eastAsia"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46581CCA">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14:paraId="64B440D9">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预算编制</w:t>
            </w:r>
          </w:p>
          <w:p w14:paraId="2AB41EF8">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2B2C6749">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0E1C9354">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14:paraId="7A655E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74ADC327">
            <w:pPr>
              <w:widowControl/>
              <w:ind w:firstLine="0" w:firstLineChars="0"/>
              <w:jc w:val="center"/>
              <w:rPr>
                <w:rFonts w:hint="eastAsia"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220BDADF">
            <w:pPr>
              <w:widowControl/>
              <w:ind w:firstLine="0" w:firstLineChars="0"/>
              <w:jc w:val="center"/>
              <w:rPr>
                <w:rFonts w:hint="eastAsia" w:ascii="宋体" w:hAnsi="宋体" w:eastAsia="宋体" w:cs="宋体"/>
                <w:color w:val="000000"/>
                <w:kern w:val="0"/>
                <w:sz w:val="22"/>
              </w:rPr>
            </w:pPr>
          </w:p>
        </w:tc>
        <w:tc>
          <w:tcPr>
            <w:tcW w:w="1411" w:type="dxa"/>
            <w:tcBorders>
              <w:tl2br w:val="nil"/>
              <w:tr2bl w:val="nil"/>
            </w:tcBorders>
            <w:shd w:val="clear" w:color="auto" w:fill="FFFFFF"/>
            <w:vAlign w:val="center"/>
          </w:tcPr>
          <w:p w14:paraId="1CBAAABD">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资金分配</w:t>
            </w:r>
          </w:p>
          <w:p w14:paraId="11C01742">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38CEA4AB">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2539E821">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14:paraId="0A4D31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0503C935">
            <w:pPr>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0EE9CF46">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71400C19">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1F44D4D4">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57975C40">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32F1AD92">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080DAC6E">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5E77C9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4D9E3D3E">
            <w:pPr>
              <w:ind w:firstLine="0" w:firstLineChars="0"/>
              <w:jc w:val="center"/>
              <w:rPr>
                <w:rFonts w:hint="eastAsia"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6B4507A2">
            <w:pPr>
              <w:ind w:firstLine="0" w:firstLineChars="0"/>
              <w:jc w:val="center"/>
              <w:rPr>
                <w:rFonts w:hint="eastAsia" w:ascii="宋体" w:hAnsi="宋体" w:eastAsia="宋体" w:cs="宋体"/>
                <w:color w:val="000000"/>
                <w:kern w:val="0"/>
                <w:sz w:val="22"/>
              </w:rPr>
            </w:pPr>
          </w:p>
        </w:tc>
        <w:tc>
          <w:tcPr>
            <w:tcW w:w="1411" w:type="dxa"/>
            <w:tcBorders>
              <w:tl2br w:val="nil"/>
              <w:tr2bl w:val="nil"/>
            </w:tcBorders>
            <w:shd w:val="clear" w:color="auto" w:fill="FFFFFF"/>
            <w:vAlign w:val="center"/>
          </w:tcPr>
          <w:p w14:paraId="66E24786">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0566703C">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21010F14">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14:paraId="6FE4DD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2BA21516">
            <w:pPr>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02279091">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0C71DA50">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资金使用</w:t>
            </w:r>
          </w:p>
          <w:p w14:paraId="57B37BCD">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35912651">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20E22311">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14:paraId="2878E1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4240D970">
            <w:pPr>
              <w:ind w:firstLine="0" w:firstLineChars="0"/>
              <w:jc w:val="center"/>
              <w:rPr>
                <w:rFonts w:hint="eastAsia"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24CFAD3B">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14:paraId="27CC3D51">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管理制度</w:t>
            </w:r>
          </w:p>
          <w:p w14:paraId="2DB4F312">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3D6BD726">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7D6455E9">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14:paraId="1A9EFE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4B7A2A9C">
            <w:pPr>
              <w:widowControl/>
              <w:ind w:firstLine="0" w:firstLineChars="0"/>
              <w:jc w:val="center"/>
              <w:rPr>
                <w:rFonts w:hint="eastAsia"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37332EB9">
            <w:pPr>
              <w:widowControl/>
              <w:ind w:firstLine="0" w:firstLineChars="0"/>
              <w:jc w:val="center"/>
              <w:rPr>
                <w:rFonts w:hint="eastAsia" w:ascii="宋体" w:hAnsi="宋体" w:eastAsia="宋体" w:cs="宋体"/>
                <w:color w:val="000000"/>
                <w:kern w:val="0"/>
                <w:sz w:val="22"/>
              </w:rPr>
            </w:pPr>
          </w:p>
        </w:tc>
        <w:tc>
          <w:tcPr>
            <w:tcW w:w="1411" w:type="dxa"/>
            <w:tcBorders>
              <w:tl2br w:val="nil"/>
              <w:tr2bl w:val="nil"/>
            </w:tcBorders>
            <w:shd w:val="clear" w:color="auto" w:fill="FFFFFF"/>
            <w:vAlign w:val="center"/>
          </w:tcPr>
          <w:p w14:paraId="6DC8123D">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制度执行</w:t>
            </w:r>
          </w:p>
          <w:p w14:paraId="5BD1F417">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4986283D">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2834F208">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14:paraId="2E9B8C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52EE2135">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vMerge w:val="restart"/>
            <w:tcBorders>
              <w:tl2br w:val="nil"/>
              <w:tr2bl w:val="nil"/>
            </w:tcBorders>
            <w:shd w:val="clear" w:color="auto" w:fill="FFFFFF"/>
            <w:vAlign w:val="center"/>
          </w:tcPr>
          <w:p w14:paraId="61BA05E2">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产出数量</w:t>
            </w:r>
          </w:p>
        </w:tc>
        <w:tc>
          <w:tcPr>
            <w:tcW w:w="1411" w:type="dxa"/>
            <w:tcBorders>
              <w:tl2br w:val="nil"/>
              <w:tr2bl w:val="nil"/>
            </w:tcBorders>
            <w:shd w:val="clear" w:color="auto" w:fill="FFFFFF"/>
          </w:tcPr>
          <w:p w14:paraId="281460AA">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采购工作完成情况</w:t>
            </w:r>
          </w:p>
        </w:tc>
        <w:tc>
          <w:tcPr>
            <w:tcW w:w="2789" w:type="dxa"/>
            <w:vMerge w:val="restart"/>
            <w:tcBorders>
              <w:tl2br w:val="nil"/>
              <w:tr2bl w:val="nil"/>
            </w:tcBorders>
            <w:shd w:val="clear" w:color="000000" w:fill="FFFFFF"/>
            <w:vAlign w:val="center"/>
          </w:tcPr>
          <w:p w14:paraId="003E4CF7">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4BB8BA4D">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14:paraId="00A855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1C9E002D">
            <w:pPr>
              <w:widowControl/>
              <w:ind w:firstLine="0" w:firstLineChars="0"/>
              <w:jc w:val="center"/>
              <w:rPr>
                <w:rFonts w:hint="eastAsia"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7D12BC82">
            <w:pPr>
              <w:widowControl/>
              <w:ind w:firstLine="0" w:firstLineChars="0"/>
              <w:jc w:val="center"/>
              <w:rPr>
                <w:rFonts w:hint="eastAsia" w:ascii="宋体" w:hAnsi="宋体" w:eastAsia="宋体" w:cs="宋体"/>
                <w:color w:val="000000"/>
                <w:kern w:val="0"/>
                <w:sz w:val="22"/>
              </w:rPr>
            </w:pPr>
          </w:p>
        </w:tc>
        <w:tc>
          <w:tcPr>
            <w:tcW w:w="1411" w:type="dxa"/>
            <w:tcBorders>
              <w:tl2br w:val="nil"/>
              <w:tr2bl w:val="nil"/>
            </w:tcBorders>
            <w:shd w:val="clear" w:color="auto" w:fill="FFFFFF"/>
          </w:tcPr>
          <w:p w14:paraId="2397F783">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标准化考点改造数量</w:t>
            </w:r>
          </w:p>
        </w:tc>
        <w:tc>
          <w:tcPr>
            <w:tcW w:w="2789" w:type="dxa"/>
            <w:vMerge w:val="continue"/>
            <w:tcBorders>
              <w:tl2br w:val="nil"/>
              <w:tr2bl w:val="nil"/>
            </w:tcBorders>
            <w:shd w:val="clear" w:color="000000" w:fill="FFFFFF"/>
            <w:vAlign w:val="center"/>
          </w:tcPr>
          <w:p w14:paraId="1EB6EFA5">
            <w:pPr>
              <w:widowControl/>
              <w:ind w:firstLine="0" w:firstLineChars="0"/>
              <w:rPr>
                <w:rFonts w:hint="eastAsia"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7D6F332B">
            <w:pPr>
              <w:widowControl/>
              <w:ind w:firstLine="0" w:firstLineChars="0"/>
              <w:rPr>
                <w:rFonts w:hint="eastAsia" w:ascii="宋体" w:hAnsi="宋体" w:eastAsia="宋体" w:cs="宋体"/>
                <w:color w:val="000000"/>
                <w:kern w:val="0"/>
                <w:sz w:val="22"/>
              </w:rPr>
            </w:pPr>
          </w:p>
        </w:tc>
      </w:tr>
      <w:tr w14:paraId="1B3A0B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5F57EFD7">
            <w:pPr>
              <w:widowControl/>
              <w:ind w:firstLine="0" w:firstLineChars="0"/>
              <w:jc w:val="center"/>
              <w:rPr>
                <w:rFonts w:hint="eastAsia"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43850D0A">
            <w:pPr>
              <w:widowControl/>
              <w:ind w:firstLine="0" w:firstLineChars="0"/>
              <w:jc w:val="center"/>
              <w:rPr>
                <w:rFonts w:hint="eastAsia" w:ascii="宋体" w:hAnsi="宋体" w:eastAsia="宋体" w:cs="宋体"/>
                <w:color w:val="000000"/>
                <w:kern w:val="0"/>
                <w:sz w:val="22"/>
              </w:rPr>
            </w:pPr>
          </w:p>
        </w:tc>
        <w:tc>
          <w:tcPr>
            <w:tcW w:w="1411" w:type="dxa"/>
            <w:tcBorders>
              <w:tl2br w:val="nil"/>
              <w:tr2bl w:val="nil"/>
            </w:tcBorders>
            <w:shd w:val="clear" w:color="auto" w:fill="FFFFFF"/>
          </w:tcPr>
          <w:p w14:paraId="39EA4AAA">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视频会议系统建设数量</w:t>
            </w:r>
          </w:p>
        </w:tc>
        <w:tc>
          <w:tcPr>
            <w:tcW w:w="2789" w:type="dxa"/>
            <w:vMerge w:val="continue"/>
            <w:tcBorders>
              <w:tl2br w:val="nil"/>
              <w:tr2bl w:val="nil"/>
            </w:tcBorders>
            <w:shd w:val="clear" w:color="000000" w:fill="FFFFFF"/>
            <w:vAlign w:val="center"/>
          </w:tcPr>
          <w:p w14:paraId="54985252">
            <w:pPr>
              <w:widowControl/>
              <w:ind w:firstLine="0" w:firstLineChars="0"/>
              <w:rPr>
                <w:rFonts w:hint="eastAsia"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6F892E36">
            <w:pPr>
              <w:widowControl/>
              <w:ind w:firstLine="0" w:firstLineChars="0"/>
              <w:rPr>
                <w:rFonts w:hint="eastAsia" w:ascii="宋体" w:hAnsi="宋体" w:eastAsia="宋体" w:cs="宋体"/>
                <w:color w:val="000000"/>
                <w:kern w:val="0"/>
                <w:sz w:val="22"/>
              </w:rPr>
            </w:pPr>
          </w:p>
        </w:tc>
      </w:tr>
      <w:tr w14:paraId="7EDE19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5EAE4049">
            <w:pPr>
              <w:widowControl/>
              <w:ind w:firstLine="0" w:firstLineChars="0"/>
              <w:jc w:val="center"/>
              <w:rPr>
                <w:rFonts w:hint="eastAsia"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742F0B4B">
            <w:pPr>
              <w:widowControl/>
              <w:ind w:firstLine="0" w:firstLineChars="0"/>
              <w:jc w:val="center"/>
              <w:rPr>
                <w:rFonts w:hint="eastAsia" w:ascii="宋体" w:hAnsi="宋体" w:eastAsia="宋体" w:cs="宋体"/>
                <w:color w:val="000000"/>
                <w:kern w:val="0"/>
                <w:sz w:val="22"/>
              </w:rPr>
            </w:pPr>
          </w:p>
        </w:tc>
        <w:tc>
          <w:tcPr>
            <w:tcW w:w="1411" w:type="dxa"/>
            <w:tcBorders>
              <w:tl2br w:val="nil"/>
              <w:tr2bl w:val="nil"/>
            </w:tcBorders>
            <w:shd w:val="clear" w:color="auto" w:fill="FFFFFF"/>
          </w:tcPr>
          <w:p w14:paraId="355D6812">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身份认证系统建设数量</w:t>
            </w:r>
          </w:p>
        </w:tc>
        <w:tc>
          <w:tcPr>
            <w:tcW w:w="2789" w:type="dxa"/>
            <w:vMerge w:val="continue"/>
            <w:tcBorders>
              <w:tl2br w:val="nil"/>
              <w:tr2bl w:val="nil"/>
            </w:tcBorders>
            <w:shd w:val="clear" w:color="000000" w:fill="FFFFFF"/>
            <w:vAlign w:val="center"/>
          </w:tcPr>
          <w:p w14:paraId="17F61773">
            <w:pPr>
              <w:widowControl/>
              <w:ind w:firstLine="0" w:firstLineChars="0"/>
              <w:rPr>
                <w:rFonts w:hint="eastAsia"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1D56627B">
            <w:pPr>
              <w:widowControl/>
              <w:ind w:firstLine="0" w:firstLineChars="0"/>
              <w:rPr>
                <w:rFonts w:hint="eastAsia" w:ascii="宋体" w:hAnsi="宋体" w:eastAsia="宋体" w:cs="宋体"/>
                <w:color w:val="000000"/>
                <w:kern w:val="0"/>
                <w:sz w:val="22"/>
              </w:rPr>
            </w:pPr>
          </w:p>
        </w:tc>
      </w:tr>
      <w:tr w14:paraId="0F3EA7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6AE18C5A">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tcBorders>
              <w:tl2br w:val="nil"/>
              <w:tr2bl w:val="nil"/>
            </w:tcBorders>
            <w:shd w:val="clear" w:color="auto" w:fill="FFFFFF"/>
            <w:vAlign w:val="center"/>
          </w:tcPr>
          <w:p w14:paraId="74769D4C">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产出质量</w:t>
            </w:r>
          </w:p>
        </w:tc>
        <w:tc>
          <w:tcPr>
            <w:tcW w:w="1411" w:type="dxa"/>
            <w:tcBorders>
              <w:tl2br w:val="nil"/>
              <w:tr2bl w:val="nil"/>
            </w:tcBorders>
            <w:shd w:val="clear" w:color="auto" w:fill="FFFFFF"/>
            <w:vAlign w:val="center"/>
          </w:tcPr>
          <w:p w14:paraId="7F2F7E5C">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设备验收合格率</w:t>
            </w:r>
          </w:p>
        </w:tc>
        <w:tc>
          <w:tcPr>
            <w:tcW w:w="2789" w:type="dxa"/>
            <w:tcBorders>
              <w:tl2br w:val="nil"/>
              <w:tr2bl w:val="nil"/>
            </w:tcBorders>
            <w:shd w:val="clear" w:color="000000" w:fill="FFFFFF"/>
            <w:vAlign w:val="center"/>
          </w:tcPr>
          <w:p w14:paraId="50FA34D2">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353637E1">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14:paraId="4AD24525">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18AC9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023D2324">
            <w:pPr>
              <w:ind w:firstLine="0" w:firstLineChars="0"/>
              <w:jc w:val="center"/>
              <w:rPr>
                <w:rFonts w:hint="eastAsia"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4542A9CE">
            <w:pPr>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产出时效</w:t>
            </w:r>
          </w:p>
        </w:tc>
        <w:tc>
          <w:tcPr>
            <w:tcW w:w="1411" w:type="dxa"/>
            <w:tcBorders>
              <w:tl2br w:val="nil"/>
              <w:tr2bl w:val="nil"/>
            </w:tcBorders>
            <w:shd w:val="clear" w:color="auto" w:fill="FFFFFF"/>
            <w:vAlign w:val="center"/>
          </w:tcPr>
          <w:p w14:paraId="397233FE">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项目完成时间</w:t>
            </w:r>
          </w:p>
        </w:tc>
        <w:tc>
          <w:tcPr>
            <w:tcW w:w="2789" w:type="dxa"/>
            <w:vMerge w:val="restart"/>
            <w:tcBorders>
              <w:tl2br w:val="nil"/>
              <w:tr2bl w:val="nil"/>
            </w:tcBorders>
            <w:shd w:val="clear" w:color="000000" w:fill="FFFFFF"/>
            <w:vAlign w:val="center"/>
          </w:tcPr>
          <w:p w14:paraId="23433BB0">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14:paraId="56B138C2">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计划完成时间：按照项目实施计划或相关规定完成该项目所需的时间。</w:t>
            </w:r>
          </w:p>
        </w:tc>
      </w:tr>
      <w:tr w14:paraId="4FFB24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71A91D17">
            <w:pPr>
              <w:ind w:firstLine="0" w:firstLineChars="0"/>
              <w:jc w:val="center"/>
              <w:rPr>
                <w:rFonts w:hint="eastAsia" w:ascii="宋体" w:hAnsi="宋体" w:eastAsia="宋体" w:cs="宋体"/>
                <w:color w:val="000000"/>
                <w:kern w:val="0"/>
                <w:sz w:val="22"/>
                <w:highlight w:val="yellow"/>
              </w:rPr>
            </w:pPr>
          </w:p>
        </w:tc>
        <w:tc>
          <w:tcPr>
            <w:tcW w:w="1199" w:type="dxa"/>
            <w:vMerge w:val="continue"/>
            <w:tcBorders>
              <w:tl2br w:val="nil"/>
              <w:tr2bl w:val="nil"/>
            </w:tcBorders>
            <w:shd w:val="clear" w:color="auto" w:fill="FFFFFF"/>
            <w:vAlign w:val="center"/>
          </w:tcPr>
          <w:p w14:paraId="254C3281">
            <w:pPr>
              <w:ind w:firstLine="0" w:firstLineChars="0"/>
              <w:jc w:val="center"/>
              <w:rPr>
                <w:rFonts w:hint="eastAsia" w:ascii="宋体" w:hAnsi="宋体" w:eastAsia="宋体" w:cs="宋体"/>
                <w:color w:val="000000"/>
                <w:kern w:val="0"/>
                <w:sz w:val="22"/>
                <w:highlight w:val="yellow"/>
              </w:rPr>
            </w:pPr>
          </w:p>
        </w:tc>
        <w:tc>
          <w:tcPr>
            <w:tcW w:w="1411" w:type="dxa"/>
            <w:tcBorders>
              <w:tl2br w:val="nil"/>
              <w:tr2bl w:val="nil"/>
            </w:tcBorders>
            <w:shd w:val="clear" w:color="auto" w:fill="FFFFFF"/>
            <w:vAlign w:val="center"/>
          </w:tcPr>
          <w:p w14:paraId="67ECCC0D">
            <w:pPr>
              <w:widowControl/>
              <w:ind w:firstLine="0" w:firstLineChars="0"/>
              <w:jc w:val="center"/>
              <w:rPr>
                <w:rFonts w:hint="eastAsia" w:ascii="宋体" w:hAnsi="宋体" w:eastAsia="宋体" w:cs="宋体"/>
                <w:color w:val="000000"/>
                <w:kern w:val="0"/>
                <w:sz w:val="22"/>
                <w:highlight w:val="yellow"/>
              </w:rPr>
            </w:pPr>
          </w:p>
        </w:tc>
        <w:tc>
          <w:tcPr>
            <w:tcW w:w="2789" w:type="dxa"/>
            <w:vMerge w:val="continue"/>
            <w:tcBorders>
              <w:tl2br w:val="nil"/>
              <w:tr2bl w:val="nil"/>
            </w:tcBorders>
            <w:shd w:val="clear" w:color="000000" w:fill="FFFFFF"/>
            <w:vAlign w:val="center"/>
          </w:tcPr>
          <w:p w14:paraId="52C0170A">
            <w:pPr>
              <w:widowControl/>
              <w:ind w:firstLine="0" w:firstLineChars="0"/>
              <w:rPr>
                <w:rFonts w:hint="eastAsia"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78F63787">
            <w:pPr>
              <w:widowControl/>
              <w:ind w:firstLine="0" w:firstLineChars="0"/>
              <w:rPr>
                <w:rFonts w:hint="eastAsia" w:ascii="宋体" w:hAnsi="宋体" w:eastAsia="宋体" w:cs="宋体"/>
                <w:color w:val="000000"/>
                <w:kern w:val="0"/>
                <w:sz w:val="22"/>
              </w:rPr>
            </w:pPr>
          </w:p>
        </w:tc>
      </w:tr>
      <w:tr w14:paraId="7D0BBE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5" w:hRule="atLeast"/>
          <w:jc w:val="center"/>
        </w:trPr>
        <w:tc>
          <w:tcPr>
            <w:tcW w:w="1155" w:type="dxa"/>
            <w:vMerge w:val="continue"/>
            <w:tcBorders>
              <w:tl2br w:val="nil"/>
              <w:tr2bl w:val="nil"/>
            </w:tcBorders>
            <w:shd w:val="clear" w:color="auto" w:fill="FFFFFF"/>
            <w:vAlign w:val="center"/>
          </w:tcPr>
          <w:p w14:paraId="5CF6E448">
            <w:pPr>
              <w:widowControl/>
              <w:ind w:firstLine="0" w:firstLineChars="0"/>
              <w:jc w:val="center"/>
              <w:rPr>
                <w:rFonts w:hint="eastAsia" w:ascii="宋体" w:hAnsi="宋体" w:eastAsia="宋体" w:cs="宋体"/>
                <w:color w:val="000000"/>
                <w:kern w:val="0"/>
                <w:sz w:val="22"/>
              </w:rPr>
            </w:pPr>
          </w:p>
        </w:tc>
        <w:tc>
          <w:tcPr>
            <w:tcW w:w="1199" w:type="dxa"/>
            <w:vMerge w:val="restart"/>
            <w:tcBorders>
              <w:right w:val="single" w:color="auto" w:sz="4" w:space="0"/>
              <w:tl2br w:val="nil"/>
              <w:tr2bl w:val="nil"/>
            </w:tcBorders>
            <w:shd w:val="clear" w:color="auto" w:fill="FFFFFF"/>
            <w:vAlign w:val="center"/>
          </w:tcPr>
          <w:p w14:paraId="00BC8D63">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lang w:val="en-US" w:eastAsia="zh-CN"/>
              </w:rPr>
              <w:t>产出</w:t>
            </w:r>
            <w:r>
              <w:rPr>
                <w:rFonts w:hint="eastAsia" w:ascii="宋体" w:hAnsi="宋体" w:eastAsia="宋体" w:cs="宋体"/>
                <w:color w:val="000000"/>
                <w:kern w:val="0"/>
                <w:sz w:val="22"/>
              </w:rPr>
              <w:t>成本</w:t>
            </w:r>
          </w:p>
        </w:tc>
        <w:tc>
          <w:tcPr>
            <w:tcW w:w="1411" w:type="dxa"/>
            <w:tcBorders>
              <w:left w:val="single" w:color="auto" w:sz="4" w:space="0"/>
              <w:bottom w:val="single" w:color="auto" w:sz="4" w:space="0"/>
              <w:tl2br w:val="nil"/>
              <w:tr2bl w:val="nil"/>
            </w:tcBorders>
            <w:shd w:val="clear" w:color="auto" w:fill="FFFFFF"/>
            <w:vAlign w:val="center"/>
          </w:tcPr>
          <w:p w14:paraId="0E16E882">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视频会议系统成本</w:t>
            </w:r>
          </w:p>
        </w:tc>
        <w:tc>
          <w:tcPr>
            <w:tcW w:w="2789" w:type="dxa"/>
            <w:vMerge w:val="restart"/>
            <w:tcBorders>
              <w:tl2br w:val="nil"/>
              <w:tr2bl w:val="nil"/>
            </w:tcBorders>
            <w:shd w:val="clear" w:color="000000" w:fill="FFFFFF"/>
            <w:vAlign w:val="center"/>
          </w:tcPr>
          <w:p w14:paraId="6F704DC3">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7A0FB6CC">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14:paraId="298D45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155" w:type="dxa"/>
            <w:vMerge w:val="continue"/>
            <w:tcBorders>
              <w:tl2br w:val="nil"/>
              <w:tr2bl w:val="nil"/>
            </w:tcBorders>
            <w:shd w:val="clear" w:color="auto" w:fill="FFFFFF"/>
            <w:vAlign w:val="center"/>
          </w:tcPr>
          <w:p w14:paraId="61F4B218">
            <w:pPr>
              <w:widowControl/>
              <w:ind w:firstLine="0" w:firstLineChars="0"/>
              <w:jc w:val="center"/>
              <w:rPr>
                <w:rFonts w:hint="eastAsia" w:ascii="宋体" w:hAnsi="宋体" w:eastAsia="宋体" w:cs="宋体"/>
                <w:color w:val="000000"/>
                <w:kern w:val="0"/>
                <w:sz w:val="22"/>
              </w:rPr>
            </w:pPr>
          </w:p>
        </w:tc>
        <w:tc>
          <w:tcPr>
            <w:tcW w:w="1199" w:type="dxa"/>
            <w:vMerge w:val="continue"/>
            <w:tcBorders>
              <w:right w:val="single" w:color="auto" w:sz="4" w:space="0"/>
              <w:tl2br w:val="nil"/>
              <w:tr2bl w:val="nil"/>
            </w:tcBorders>
            <w:shd w:val="clear" w:color="auto" w:fill="FFFFFF"/>
            <w:vAlign w:val="center"/>
          </w:tcPr>
          <w:p w14:paraId="4053149A">
            <w:pPr>
              <w:widowControl/>
              <w:ind w:firstLine="0" w:firstLineChars="0"/>
              <w:jc w:val="center"/>
              <w:rPr>
                <w:rFonts w:hint="eastAsia" w:ascii="宋体" w:hAnsi="宋体" w:eastAsia="宋体" w:cs="宋体"/>
                <w:color w:val="000000"/>
                <w:kern w:val="0"/>
                <w:sz w:val="22"/>
              </w:rPr>
            </w:pPr>
          </w:p>
        </w:tc>
        <w:tc>
          <w:tcPr>
            <w:tcW w:w="1411" w:type="dxa"/>
            <w:tcBorders>
              <w:top w:val="single" w:color="auto" w:sz="4" w:space="0"/>
              <w:left w:val="single" w:color="auto" w:sz="4" w:space="0"/>
              <w:bottom w:val="single" w:color="auto" w:sz="4" w:space="0"/>
              <w:tl2br w:val="nil"/>
              <w:tr2bl w:val="nil"/>
            </w:tcBorders>
            <w:shd w:val="clear" w:color="auto" w:fill="FFFFFF"/>
            <w:vAlign w:val="center"/>
          </w:tcPr>
          <w:p w14:paraId="363E000A">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考点指挥中心成本</w:t>
            </w:r>
          </w:p>
        </w:tc>
        <w:tc>
          <w:tcPr>
            <w:tcW w:w="2789" w:type="dxa"/>
            <w:vMerge w:val="continue"/>
            <w:tcBorders>
              <w:tl2br w:val="nil"/>
              <w:tr2bl w:val="nil"/>
            </w:tcBorders>
            <w:shd w:val="clear" w:color="000000" w:fill="FFFFFF"/>
            <w:vAlign w:val="center"/>
          </w:tcPr>
          <w:p w14:paraId="4E982215">
            <w:pPr>
              <w:widowControl/>
              <w:ind w:firstLine="0" w:firstLineChars="0"/>
              <w:rPr>
                <w:rFonts w:hint="eastAsia"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2D9255DC">
            <w:pPr>
              <w:widowControl/>
              <w:ind w:firstLine="0" w:firstLineChars="0"/>
              <w:rPr>
                <w:rFonts w:hint="eastAsia" w:ascii="宋体" w:hAnsi="宋体" w:eastAsia="宋体" w:cs="宋体"/>
                <w:color w:val="000000"/>
                <w:kern w:val="0"/>
                <w:sz w:val="22"/>
              </w:rPr>
            </w:pPr>
          </w:p>
        </w:tc>
      </w:tr>
      <w:tr w14:paraId="2AD50C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31" w:hRule="atLeast"/>
          <w:jc w:val="center"/>
        </w:trPr>
        <w:tc>
          <w:tcPr>
            <w:tcW w:w="1155" w:type="dxa"/>
            <w:vMerge w:val="continue"/>
            <w:tcBorders>
              <w:tl2br w:val="nil"/>
              <w:tr2bl w:val="nil"/>
            </w:tcBorders>
            <w:shd w:val="clear" w:color="auto" w:fill="FFFFFF"/>
            <w:vAlign w:val="center"/>
          </w:tcPr>
          <w:p w14:paraId="02D12835">
            <w:pPr>
              <w:widowControl/>
              <w:ind w:firstLine="0" w:firstLineChars="0"/>
              <w:jc w:val="center"/>
              <w:rPr>
                <w:rFonts w:hint="eastAsia" w:ascii="宋体" w:hAnsi="宋体" w:eastAsia="宋体" w:cs="宋体"/>
                <w:color w:val="000000"/>
                <w:kern w:val="0"/>
                <w:sz w:val="22"/>
              </w:rPr>
            </w:pPr>
          </w:p>
        </w:tc>
        <w:tc>
          <w:tcPr>
            <w:tcW w:w="1199" w:type="dxa"/>
            <w:vMerge w:val="continue"/>
            <w:tcBorders>
              <w:right w:val="single" w:color="auto" w:sz="4" w:space="0"/>
              <w:tl2br w:val="nil"/>
              <w:tr2bl w:val="nil"/>
            </w:tcBorders>
            <w:shd w:val="clear" w:color="auto" w:fill="FFFFFF"/>
            <w:vAlign w:val="center"/>
          </w:tcPr>
          <w:p w14:paraId="3EDC1348">
            <w:pPr>
              <w:widowControl/>
              <w:ind w:firstLine="0" w:firstLineChars="0"/>
              <w:jc w:val="center"/>
              <w:rPr>
                <w:rFonts w:hint="eastAsia" w:ascii="宋体" w:hAnsi="宋体" w:eastAsia="宋体" w:cs="宋体"/>
                <w:color w:val="000000"/>
                <w:kern w:val="0"/>
                <w:sz w:val="22"/>
              </w:rPr>
            </w:pPr>
          </w:p>
        </w:tc>
        <w:tc>
          <w:tcPr>
            <w:tcW w:w="1411" w:type="dxa"/>
            <w:tcBorders>
              <w:top w:val="single" w:color="auto" w:sz="4" w:space="0"/>
              <w:left w:val="single" w:color="auto" w:sz="4" w:space="0"/>
              <w:tl2br w:val="nil"/>
              <w:tr2bl w:val="nil"/>
            </w:tcBorders>
            <w:shd w:val="clear" w:color="auto" w:fill="FFFFFF"/>
            <w:vAlign w:val="center"/>
          </w:tcPr>
          <w:p w14:paraId="4F3CAA3F">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身份认证系统成本</w:t>
            </w:r>
          </w:p>
        </w:tc>
        <w:tc>
          <w:tcPr>
            <w:tcW w:w="2789" w:type="dxa"/>
            <w:vMerge w:val="continue"/>
            <w:tcBorders>
              <w:tl2br w:val="nil"/>
              <w:tr2bl w:val="nil"/>
            </w:tcBorders>
            <w:shd w:val="clear" w:color="000000" w:fill="FFFFFF"/>
            <w:vAlign w:val="center"/>
          </w:tcPr>
          <w:p w14:paraId="3F3E0021">
            <w:pPr>
              <w:widowControl/>
              <w:ind w:firstLine="0" w:firstLineChars="0"/>
              <w:rPr>
                <w:rFonts w:hint="eastAsia"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2034C76A">
            <w:pPr>
              <w:widowControl/>
              <w:ind w:firstLine="0" w:firstLineChars="0"/>
              <w:rPr>
                <w:rFonts w:hint="eastAsia" w:ascii="宋体" w:hAnsi="宋体" w:eastAsia="宋体" w:cs="宋体"/>
                <w:color w:val="000000"/>
                <w:kern w:val="0"/>
                <w:sz w:val="22"/>
              </w:rPr>
            </w:pPr>
          </w:p>
        </w:tc>
      </w:tr>
      <w:tr w14:paraId="15CB64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26770BF3">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效益</w:t>
            </w:r>
          </w:p>
        </w:tc>
        <w:tc>
          <w:tcPr>
            <w:tcW w:w="1199" w:type="dxa"/>
            <w:tcBorders>
              <w:tl2br w:val="nil"/>
              <w:tr2bl w:val="nil"/>
            </w:tcBorders>
            <w:shd w:val="clear" w:color="auto" w:fill="FFFFFF"/>
            <w:vAlign w:val="center"/>
          </w:tcPr>
          <w:p w14:paraId="6B6BF26B">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社会效益指标</w:t>
            </w:r>
          </w:p>
        </w:tc>
        <w:tc>
          <w:tcPr>
            <w:tcW w:w="1411" w:type="dxa"/>
            <w:tcBorders>
              <w:tl2br w:val="nil"/>
              <w:tr2bl w:val="nil"/>
            </w:tcBorders>
            <w:shd w:val="clear" w:color="auto" w:fill="FFFFFF"/>
            <w:vAlign w:val="center"/>
          </w:tcPr>
          <w:p w14:paraId="4526A357">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lang w:eastAsia="zh-CN"/>
              </w:rPr>
              <w:t>加强考试环节综合治理，</w:t>
            </w:r>
            <w:r>
              <w:rPr>
                <w:rFonts w:hint="eastAsia" w:ascii="宋体" w:hAnsi="宋体" w:eastAsia="宋体" w:cs="宋体"/>
                <w:color w:val="000000"/>
                <w:kern w:val="0"/>
                <w:sz w:val="22"/>
              </w:rPr>
              <w:t>提升考试综合治理水平</w:t>
            </w:r>
          </w:p>
        </w:tc>
        <w:tc>
          <w:tcPr>
            <w:tcW w:w="2789" w:type="dxa"/>
            <w:tcBorders>
              <w:tl2br w:val="nil"/>
              <w:tr2bl w:val="nil"/>
            </w:tcBorders>
            <w:shd w:val="clear" w:color="auto" w:fill="FFFFFF"/>
            <w:vAlign w:val="center"/>
          </w:tcPr>
          <w:p w14:paraId="1A95334E">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14:paraId="6E0EFCB7">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14:paraId="267BC9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7286B6B1">
            <w:pPr>
              <w:widowControl/>
              <w:ind w:firstLine="0" w:firstLineChars="0"/>
              <w:jc w:val="center"/>
              <w:rPr>
                <w:rFonts w:hint="eastAsia" w:ascii="宋体" w:hAnsi="宋体" w:eastAsia="宋体" w:cs="宋体"/>
                <w:color w:val="000000"/>
                <w:kern w:val="0"/>
                <w:sz w:val="22"/>
              </w:rPr>
            </w:pPr>
            <w:r>
              <w:rPr>
                <w:rFonts w:ascii="宋体" w:hAnsi="宋体" w:eastAsia="宋体" w:cs="宋体"/>
                <w:color w:val="000000"/>
                <w:kern w:val="0"/>
                <w:sz w:val="22"/>
              </w:rPr>
              <w:t>满意度指标完成情况分析</w:t>
            </w:r>
          </w:p>
        </w:tc>
        <w:tc>
          <w:tcPr>
            <w:tcW w:w="1199" w:type="dxa"/>
            <w:tcBorders>
              <w:tl2br w:val="nil"/>
              <w:tr2bl w:val="nil"/>
            </w:tcBorders>
            <w:shd w:val="clear" w:color="auto" w:fill="FFFFFF"/>
            <w:vAlign w:val="center"/>
          </w:tcPr>
          <w:p w14:paraId="6EA1A07E">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满意度指标</w:t>
            </w:r>
          </w:p>
        </w:tc>
        <w:tc>
          <w:tcPr>
            <w:tcW w:w="1411" w:type="dxa"/>
            <w:tcBorders>
              <w:tl2br w:val="nil"/>
              <w:tr2bl w:val="nil"/>
            </w:tcBorders>
            <w:shd w:val="clear" w:color="auto" w:fill="FFFFFF"/>
            <w:vAlign w:val="center"/>
          </w:tcPr>
          <w:p w14:paraId="37043067">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lang w:eastAsia="zh-CN"/>
              </w:rPr>
              <w:t>学校</w:t>
            </w:r>
            <w:r>
              <w:rPr>
                <w:rFonts w:hint="eastAsia" w:ascii="宋体" w:hAnsi="宋体" w:eastAsia="宋体" w:cs="宋体"/>
                <w:color w:val="000000"/>
                <w:kern w:val="0"/>
                <w:sz w:val="22"/>
              </w:rPr>
              <w:t>满意度</w:t>
            </w:r>
          </w:p>
        </w:tc>
        <w:tc>
          <w:tcPr>
            <w:tcW w:w="2789" w:type="dxa"/>
            <w:tcBorders>
              <w:tl2br w:val="nil"/>
              <w:tr2bl w:val="nil"/>
            </w:tcBorders>
            <w:shd w:val="clear" w:color="000000" w:fill="FFFFFF"/>
            <w:vAlign w:val="center"/>
          </w:tcPr>
          <w:p w14:paraId="330E7098">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40B04BAB">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14:paraId="5C1EF82C">
      <w:pPr>
        <w:ind w:firstLine="0" w:firstLineChars="0"/>
        <w:jc w:val="center"/>
        <w:rPr>
          <w:rFonts w:ascii="仿宋_GB2312"/>
        </w:rPr>
      </w:pPr>
    </w:p>
    <w:p w14:paraId="1296EB05">
      <w:pPr>
        <w:ind w:firstLine="0" w:firstLineChars="0"/>
        <w:jc w:val="center"/>
        <w:rPr>
          <w:rFonts w:ascii="仿宋_GB2312"/>
        </w:rPr>
      </w:pPr>
    </w:p>
    <w:p w14:paraId="57E7792C">
      <w:pPr>
        <w:ind w:firstLine="0" w:firstLineChars="0"/>
        <w:rPr>
          <w:rFonts w:ascii="仿宋_GB2312"/>
        </w:rPr>
        <w:sectPr>
          <w:pgSz w:w="16838" w:h="11906" w:orient="landscape"/>
          <w:pgMar w:top="1800" w:right="1440" w:bottom="1800" w:left="1440" w:header="1276" w:footer="992" w:gutter="0"/>
          <w:cols w:space="425" w:num="1"/>
          <w:docGrid w:type="lines" w:linePitch="381" w:charSpace="0"/>
        </w:sectPr>
      </w:pPr>
    </w:p>
    <w:p w14:paraId="47B68257">
      <w:pPr>
        <w:pStyle w:val="4"/>
        <w:ind w:firstLine="643"/>
      </w:pPr>
      <w:bookmarkStart w:id="27" w:name="_Hlk67586038"/>
      <w:bookmarkStart w:id="28" w:name="_Toc197478760"/>
      <w:r>
        <w:t>3.</w:t>
      </w:r>
      <w:r>
        <w:rPr>
          <w:rFonts w:hint="eastAsia"/>
        </w:rPr>
        <w:t>评价方法</w:t>
      </w:r>
      <w:bookmarkEnd w:id="27"/>
      <w:bookmarkEnd w:id="28"/>
    </w:p>
    <w:p w14:paraId="75BB2A57">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23D380DC">
      <w:pPr>
        <w:spacing w:line="360" w:lineRule="auto"/>
        <w:ind w:firstLine="560"/>
        <w:rPr>
          <w:rFonts w:ascii="仿宋_GB2312"/>
        </w:rPr>
      </w:pPr>
      <w:r>
        <w:rPr>
          <w:rFonts w:hint="eastAsia" w:ascii="仿宋_GB2312"/>
        </w:rPr>
        <w:t>（1）成本效益分析法。是指将投入与产出、效益进行关联性分析的方法。</w:t>
      </w:r>
    </w:p>
    <w:p w14:paraId="3DE0379D">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14:paraId="2FDCB1A1">
      <w:pPr>
        <w:spacing w:line="360" w:lineRule="auto"/>
        <w:ind w:firstLine="560"/>
        <w:rPr>
          <w:rFonts w:ascii="仿宋_GB2312"/>
        </w:rPr>
      </w:pPr>
      <w:r>
        <w:rPr>
          <w:rFonts w:hint="eastAsia" w:ascii="仿宋_GB2312"/>
        </w:rPr>
        <w:t>（3）因素分析法。是指综合分析影响绩效目标实现、实施效果的内外部因素的方法。</w:t>
      </w:r>
    </w:p>
    <w:p w14:paraId="14EC6D69">
      <w:pPr>
        <w:spacing w:line="360" w:lineRule="auto"/>
        <w:ind w:firstLine="560"/>
        <w:rPr>
          <w:rFonts w:ascii="仿宋_GB2312"/>
        </w:rPr>
      </w:pPr>
      <w:r>
        <w:rPr>
          <w:rFonts w:hint="eastAsia" w:ascii="仿宋_GB2312"/>
        </w:rPr>
        <w:t>（4）最低成本法。是指在绩效目标确定的前提下，成本最小者为优的方法。</w:t>
      </w:r>
    </w:p>
    <w:p w14:paraId="369E6C73">
      <w:pPr>
        <w:spacing w:line="360" w:lineRule="auto"/>
        <w:ind w:firstLine="560"/>
        <w:rPr>
          <w:rFonts w:ascii="仿宋_GB2312"/>
        </w:rPr>
      </w:pPr>
      <w:r>
        <w:rPr>
          <w:rFonts w:hint="eastAsia" w:ascii="仿宋_GB2312"/>
        </w:rPr>
        <w:t>（5）公众评判法。是指通过专家评估、公众问卷及抽样调查等方式进行评判的方法。</w:t>
      </w:r>
    </w:p>
    <w:p w14:paraId="3F3BFB93">
      <w:pPr>
        <w:spacing w:line="360" w:lineRule="auto"/>
        <w:ind w:firstLine="560"/>
        <w:rPr>
          <w:rFonts w:ascii="仿宋_GB2312"/>
        </w:rPr>
      </w:pPr>
      <w:r>
        <w:rPr>
          <w:rFonts w:hint="eastAsia" w:ascii="仿宋_GB2312"/>
        </w:rPr>
        <w:t>（6）标杆管理法。是指以国内外同行业中较高的绩效水平为标杆进行评判的方法。</w:t>
      </w:r>
    </w:p>
    <w:p w14:paraId="0FFC847C">
      <w:pPr>
        <w:spacing w:line="360" w:lineRule="auto"/>
        <w:ind w:firstLine="560"/>
        <w:rPr>
          <w:rFonts w:ascii="仿宋_GB2312"/>
        </w:rPr>
      </w:pPr>
      <w:r>
        <w:rPr>
          <w:rFonts w:hint="eastAsia" w:ascii="仿宋_GB2312"/>
        </w:rPr>
        <w:t>（7）其他评价方法。</w:t>
      </w:r>
    </w:p>
    <w:p w14:paraId="24BB8F6A">
      <w:pPr>
        <w:spacing w:line="360" w:lineRule="auto"/>
        <w:ind w:firstLine="560"/>
        <w:rPr>
          <w:rFonts w:ascii="仿宋_GB2312"/>
        </w:rPr>
      </w:pPr>
      <w:r>
        <w:rPr>
          <w:rFonts w:hint="eastAsia" w:ascii="仿宋_GB2312"/>
        </w:rPr>
        <w:t>根据本项目（</w:t>
      </w:r>
      <w:r>
        <w:rPr>
          <w:rFonts w:ascii="仿宋_GB2312"/>
        </w:rPr>
        <w:t>2024</w:t>
      </w:r>
      <w:r>
        <w:rPr>
          <w:rFonts w:hint="eastAsia" w:ascii="仿宋_GB2312"/>
        </w:rPr>
        <w:t>年乌鲁木齐市教育招生考试中心标准化考点改造设备采购项目）的特点，本次评价主要采用比较法</w:t>
      </w:r>
      <w:r>
        <w:rPr>
          <w:rFonts w:ascii="仿宋_GB2312"/>
        </w:rPr>
        <w:t>和</w:t>
      </w:r>
      <w:r>
        <w:rPr>
          <w:rFonts w:hint="eastAsia" w:ascii="仿宋_GB2312"/>
        </w:rPr>
        <w:t>公众评判法，对项目总预算和明细预算的内容、标准、计划是否经济合理进行深入分析，以考察实际产出和效益是否达到预期。</w:t>
      </w:r>
    </w:p>
    <w:p w14:paraId="673A8EC2">
      <w:pPr>
        <w:pStyle w:val="4"/>
        <w:ind w:firstLine="643"/>
      </w:pPr>
      <w:bookmarkStart w:id="29" w:name="_Toc197478761"/>
      <w:r>
        <w:t>4.</w:t>
      </w:r>
      <w:r>
        <w:rPr>
          <w:rFonts w:hint="eastAsia"/>
        </w:rPr>
        <w:t>评价标准</w:t>
      </w:r>
      <w:bookmarkEnd w:id="29"/>
    </w:p>
    <w:p w14:paraId="7C091BED">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556ADB47">
      <w:pPr>
        <w:spacing w:line="360" w:lineRule="auto"/>
        <w:ind w:firstLine="560"/>
        <w:rPr>
          <w:rFonts w:ascii="仿宋_GB2312"/>
        </w:rPr>
      </w:pPr>
      <w:r>
        <w:rPr>
          <w:rFonts w:hint="eastAsia" w:ascii="仿宋_GB2312"/>
        </w:rPr>
        <w:t>（1）计划标准。指以预先制定的目标、计划、预算、定额等作为评价标准。</w:t>
      </w:r>
    </w:p>
    <w:p w14:paraId="03C8D924">
      <w:pPr>
        <w:spacing w:line="360" w:lineRule="auto"/>
        <w:ind w:firstLine="560"/>
        <w:rPr>
          <w:rFonts w:ascii="仿宋_GB2312"/>
        </w:rPr>
      </w:pPr>
      <w:r>
        <w:rPr>
          <w:rFonts w:hint="eastAsia" w:ascii="仿宋_GB2312"/>
        </w:rPr>
        <w:t>（2）行业标准。指参照国家公布的行业指标数据制定的评价标准。</w:t>
      </w:r>
    </w:p>
    <w:p w14:paraId="2F4D183E">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381EE166">
      <w:pPr>
        <w:spacing w:line="360" w:lineRule="auto"/>
        <w:ind w:firstLine="560"/>
        <w:rPr>
          <w:rFonts w:ascii="仿宋_GB2312"/>
        </w:rPr>
      </w:pPr>
      <w:r>
        <w:rPr>
          <w:rFonts w:hint="eastAsia" w:ascii="仿宋_GB2312"/>
        </w:rPr>
        <w:t>在上述评价标准的基础上，本次评价依据以下文件为重要指导和准绳：</w:t>
      </w:r>
    </w:p>
    <w:p w14:paraId="17FD8203">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18AF44E9">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584BA2BE">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705B8065">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757DF69A">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关于印发《国家教育考试综合管理平台建设指南》的通知</w:t>
      </w:r>
      <w:r>
        <w:rPr>
          <w:rFonts w:ascii="仿宋_GB2312"/>
        </w:rPr>
        <w:t xml:space="preserve"> </w:t>
      </w:r>
      <w:r>
        <w:rPr>
          <w:rFonts w:hint="eastAsia" w:ascii="仿宋_GB2312"/>
        </w:rPr>
        <w:t>教试中心函</w:t>
      </w:r>
      <w:r>
        <w:rPr>
          <w:rFonts w:hint="eastAsia" w:ascii="仿宋_GB2312"/>
          <w:color w:val="auto"/>
        </w:rPr>
        <w:t>〔20</w:t>
      </w:r>
      <w:r>
        <w:rPr>
          <w:rFonts w:hint="eastAsia" w:ascii="仿宋_GB2312"/>
          <w:color w:val="auto"/>
          <w:lang w:val="en-US" w:eastAsia="zh-CN"/>
        </w:rPr>
        <w:t>17</w:t>
      </w:r>
      <w:r>
        <w:rPr>
          <w:rFonts w:hint="eastAsia" w:ascii="仿宋_GB2312"/>
          <w:color w:val="auto"/>
        </w:rPr>
        <w:t>〕</w:t>
      </w:r>
      <w:r>
        <w:rPr>
          <w:rFonts w:hint="eastAsia" w:ascii="仿宋_GB2312"/>
        </w:rPr>
        <w:t xml:space="preserve">115号 </w:t>
      </w:r>
    </w:p>
    <w:p w14:paraId="65FE6BE0">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关于印发《国家教育考试网上巡查系统视频标准技术规范（2017版）》的通知 教试中心函</w:t>
      </w:r>
      <w:r>
        <w:rPr>
          <w:rFonts w:hint="eastAsia" w:ascii="仿宋_GB2312"/>
          <w:color w:val="auto"/>
        </w:rPr>
        <w:t>〔20</w:t>
      </w:r>
      <w:r>
        <w:rPr>
          <w:rFonts w:hint="eastAsia" w:ascii="仿宋_GB2312"/>
          <w:color w:val="auto"/>
          <w:lang w:val="en-US" w:eastAsia="zh-CN"/>
        </w:rPr>
        <w:t>17</w:t>
      </w:r>
      <w:r>
        <w:rPr>
          <w:rFonts w:hint="eastAsia" w:ascii="仿宋_GB2312"/>
          <w:color w:val="auto"/>
        </w:rPr>
        <w:t>〕</w:t>
      </w:r>
      <w:r>
        <w:rPr>
          <w:rFonts w:hint="eastAsia" w:ascii="仿宋_GB2312"/>
        </w:rPr>
        <w:t xml:space="preserve">148号 </w:t>
      </w:r>
    </w:p>
    <w:p w14:paraId="012B4C9C">
      <w:pPr>
        <w:spacing w:line="360" w:lineRule="auto"/>
        <w:ind w:firstLine="560"/>
        <w:rPr>
          <w:rFonts w:ascii="仿宋_GB2312"/>
        </w:rPr>
      </w:pPr>
      <w:r>
        <w:rPr>
          <w:rFonts w:hint="eastAsia" w:ascii="黑体" w:hAnsi="黑体" w:eastAsia="黑体" w:cs="Times New Roman"/>
          <w:szCs w:val="28"/>
        </w:rPr>
        <w:t>·</w:t>
      </w:r>
      <w:r>
        <w:rPr>
          <w:rFonts w:hint="eastAsia" w:ascii="仿宋_GB2312"/>
        </w:rPr>
        <w:t>《教育部办公厅关于全面开展国家教育考试综合管理平台建设工作的通知》教学厅函</w:t>
      </w:r>
      <w:r>
        <w:rPr>
          <w:rFonts w:hint="eastAsia" w:ascii="仿宋_GB2312"/>
          <w:color w:val="auto"/>
        </w:rPr>
        <w:t>〔202</w:t>
      </w:r>
      <w:r>
        <w:rPr>
          <w:rFonts w:hint="eastAsia" w:ascii="仿宋_GB2312"/>
          <w:color w:val="auto"/>
          <w:lang w:val="en-US" w:eastAsia="zh-CN"/>
        </w:rPr>
        <w:t>1</w:t>
      </w:r>
      <w:r>
        <w:rPr>
          <w:rFonts w:hint="eastAsia" w:ascii="仿宋_GB2312"/>
          <w:color w:val="auto"/>
        </w:rPr>
        <w:t>〕</w:t>
      </w:r>
      <w:r>
        <w:rPr>
          <w:rFonts w:hint="eastAsia" w:ascii="仿宋_GB2312"/>
        </w:rPr>
        <w:t xml:space="preserve">9号 </w:t>
      </w:r>
    </w:p>
    <w:p w14:paraId="75A3FCCD">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《关于开展高考防范手机等通讯设备作弊专项治理工作的通知》新教函</w:t>
      </w:r>
      <w:r>
        <w:rPr>
          <w:rFonts w:hint="eastAsia" w:ascii="仿宋_GB2312"/>
          <w:color w:val="auto"/>
        </w:rPr>
        <w:t>〔202</w:t>
      </w:r>
      <w:r>
        <w:rPr>
          <w:rFonts w:hint="eastAsia" w:ascii="仿宋_GB2312"/>
          <w:color w:val="auto"/>
          <w:lang w:val="en-US" w:eastAsia="zh-CN"/>
        </w:rPr>
        <w:t>3</w:t>
      </w:r>
      <w:r>
        <w:rPr>
          <w:rFonts w:hint="eastAsia" w:ascii="仿宋_GB2312"/>
          <w:color w:val="auto"/>
        </w:rPr>
        <w:t>〕</w:t>
      </w:r>
      <w:r>
        <w:rPr>
          <w:rFonts w:hint="eastAsia" w:ascii="仿宋_GB2312"/>
        </w:rPr>
        <w:t>172号</w:t>
      </w:r>
    </w:p>
    <w:p w14:paraId="02C0E442">
      <w:pPr>
        <w:pStyle w:val="2"/>
        <w:ind w:firstLine="643"/>
        <w:rPr>
          <w:rFonts w:hint="eastAsia" w:ascii="仿宋" w:hAnsi="仿宋" w:eastAsia="仿宋"/>
          <w:lang w:bidi="en-US"/>
        </w:rPr>
      </w:pPr>
      <w:bookmarkStart w:id="30" w:name="_Toc67911607"/>
      <w:bookmarkStart w:id="31" w:name="_Toc197478762"/>
      <w:r>
        <w:rPr>
          <w:rFonts w:hint="eastAsia" w:ascii="仿宋" w:hAnsi="仿宋" w:eastAsia="仿宋"/>
          <w:lang w:bidi="en-US"/>
        </w:rPr>
        <w:t>（三）绩效评价工作过程</w:t>
      </w:r>
      <w:bookmarkEnd w:id="30"/>
      <w:bookmarkEnd w:id="31"/>
    </w:p>
    <w:p w14:paraId="2AB4731D">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5DF369FE">
      <w:pPr>
        <w:pStyle w:val="3"/>
        <w:ind w:firstLine="0" w:firstLineChars="0"/>
        <w:jc w:val="left"/>
        <w:rPr>
          <w:rFonts w:hint="eastAsia" w:ascii="仿宋" w:hAnsi="仿宋" w:eastAsia="仿宋"/>
          <w:sz w:val="36"/>
          <w:szCs w:val="36"/>
          <w:lang w:bidi="en-US"/>
        </w:rPr>
      </w:pPr>
      <w:bookmarkStart w:id="32" w:name="_Toc197478763"/>
      <w:bookmarkStart w:id="33" w:name="OLE_LINK17"/>
      <w:bookmarkStart w:id="34" w:name="_Toc67911608"/>
      <w:r>
        <w:rPr>
          <w:rFonts w:hint="eastAsia" w:ascii="仿宋" w:hAnsi="仿宋" w:eastAsia="仿宋"/>
          <w:sz w:val="36"/>
          <w:szCs w:val="36"/>
          <w:lang w:bidi="en-US"/>
        </w:rPr>
        <w:t>三、综合评价情况及评价结论</w:t>
      </w:r>
      <w:bookmarkEnd w:id="32"/>
      <w:bookmarkEnd w:id="33"/>
      <w:bookmarkEnd w:id="34"/>
    </w:p>
    <w:p w14:paraId="42B4E377">
      <w:pPr>
        <w:pStyle w:val="2"/>
        <w:ind w:firstLine="643"/>
        <w:rPr>
          <w:rFonts w:hint="eastAsia" w:ascii="仿宋" w:hAnsi="仿宋" w:eastAsia="仿宋"/>
          <w:lang w:bidi="en-US"/>
        </w:rPr>
      </w:pPr>
      <w:bookmarkStart w:id="35" w:name="_Toc197478764"/>
      <w:bookmarkStart w:id="36" w:name="_Toc67911609"/>
      <w:r>
        <w:rPr>
          <w:rFonts w:hint="eastAsia" w:ascii="仿宋" w:hAnsi="仿宋" w:eastAsia="仿宋"/>
          <w:lang w:bidi="en-US"/>
        </w:rPr>
        <w:t>（一）评价结论</w:t>
      </w:r>
      <w:bookmarkEnd w:id="35"/>
      <w:bookmarkEnd w:id="36"/>
    </w:p>
    <w:p w14:paraId="19955F22">
      <w:pPr>
        <w:spacing w:line="360" w:lineRule="auto"/>
        <w:ind w:firstLine="560"/>
        <w:rPr>
          <w:rFonts w:ascii="仿宋_GB2312"/>
          <w:szCs w:val="28"/>
          <w:highlight w:val="none"/>
        </w:rPr>
      </w:pPr>
      <w:r>
        <w:rPr>
          <w:rFonts w:hint="eastAsia" w:ascii="仿宋_GB2312"/>
          <w:szCs w:val="28"/>
        </w:rPr>
        <w:t>结合项目特点，制定符合项目实际的绩效评价指标体系及评分标准，通过数据采集、问卷调查及访谈等形式，对</w:t>
      </w:r>
      <w:r>
        <w:rPr>
          <w:rFonts w:ascii="仿宋_GB2312"/>
        </w:rPr>
        <w:t>2024</w:t>
      </w:r>
      <w:r>
        <w:rPr>
          <w:rFonts w:hint="eastAsia" w:ascii="仿宋_GB2312"/>
        </w:rPr>
        <w:t>年乌鲁木齐市教育招生考试中心标准化考点改造设备采购项目</w:t>
      </w:r>
      <w:r>
        <w:rPr>
          <w:rFonts w:hint="eastAsia" w:ascii="仿宋_GB2312"/>
          <w:szCs w:val="28"/>
          <w:highlight w:val="none"/>
        </w:rPr>
        <w:t>进行客观评价，最终评分结果为：总分为91.</w:t>
      </w:r>
      <w:r>
        <w:rPr>
          <w:rFonts w:hint="eastAsia" w:ascii="仿宋_GB2312"/>
          <w:szCs w:val="28"/>
          <w:highlight w:val="none"/>
          <w:lang w:val="en-US" w:eastAsia="zh-CN"/>
        </w:rPr>
        <w:t>77</w:t>
      </w:r>
      <w:r>
        <w:rPr>
          <w:rFonts w:hint="eastAsia" w:ascii="仿宋_GB2312"/>
          <w:szCs w:val="28"/>
          <w:highlight w:val="none"/>
        </w:rPr>
        <w:t>分，绩效评级为“优”</w:t>
      </w:r>
      <w:r>
        <w:rPr>
          <w:rStyle w:val="18"/>
          <w:rFonts w:ascii="仿宋_GB2312"/>
          <w:szCs w:val="28"/>
          <w:highlight w:val="none"/>
        </w:rPr>
        <w:footnoteReference w:id="0"/>
      </w:r>
      <w:r>
        <w:rPr>
          <w:rFonts w:hint="eastAsia" w:ascii="仿宋_GB2312"/>
          <w:szCs w:val="28"/>
          <w:highlight w:val="none"/>
        </w:rPr>
        <w:t>。</w:t>
      </w:r>
    </w:p>
    <w:p w14:paraId="7639CFF0">
      <w:pPr>
        <w:spacing w:line="360" w:lineRule="auto"/>
        <w:ind w:firstLine="560"/>
        <w:rPr>
          <w:rFonts w:ascii="仿宋_GB2312"/>
          <w:szCs w:val="28"/>
        </w:rPr>
      </w:pPr>
      <w:r>
        <w:rPr>
          <w:rFonts w:hint="eastAsia" w:ascii="仿宋_GB2312"/>
          <w:szCs w:val="28"/>
        </w:rPr>
        <w:t>项目各部分权重和绩效分值如附表所示：</w:t>
      </w:r>
    </w:p>
    <w:p w14:paraId="465C8102">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3"/>
        <w:tblW w:w="90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223E0E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14:paraId="4434399C">
            <w:pPr>
              <w:widowControl/>
              <w:ind w:firstLine="0" w:firstLineChars="0"/>
              <w:jc w:val="center"/>
              <w:rPr>
                <w:rFonts w:hint="eastAsia"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vAlign w:val="center"/>
          </w:tcPr>
          <w:p w14:paraId="0D23CD35">
            <w:pPr>
              <w:widowControl/>
              <w:ind w:firstLine="0" w:firstLineChars="0"/>
              <w:jc w:val="center"/>
              <w:rPr>
                <w:rFonts w:hint="eastAsia"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vAlign w:val="center"/>
          </w:tcPr>
          <w:p w14:paraId="21A089B1">
            <w:pPr>
              <w:widowControl/>
              <w:ind w:firstLine="0" w:firstLineChars="0"/>
              <w:jc w:val="center"/>
              <w:rPr>
                <w:rFonts w:hint="eastAsia"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vAlign w:val="center"/>
          </w:tcPr>
          <w:p w14:paraId="4466C68E">
            <w:pPr>
              <w:widowControl/>
              <w:ind w:firstLine="0" w:firstLineChars="0"/>
              <w:jc w:val="center"/>
              <w:rPr>
                <w:rFonts w:hint="eastAsia"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vAlign w:val="center"/>
          </w:tcPr>
          <w:p w14:paraId="1ED8420D">
            <w:pPr>
              <w:widowControl/>
              <w:ind w:firstLine="0" w:firstLineChars="0"/>
              <w:jc w:val="center"/>
              <w:rPr>
                <w:rFonts w:hint="eastAsia"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vAlign w:val="center"/>
          </w:tcPr>
          <w:p w14:paraId="5F2EB9E7">
            <w:pPr>
              <w:widowControl/>
              <w:ind w:firstLine="0" w:firstLineChars="0"/>
              <w:jc w:val="center"/>
              <w:rPr>
                <w:rFonts w:hint="eastAsia" w:ascii="仿宋_GB2312" w:hAnsi="Gungsuh" w:cs="宋体"/>
                <w:b/>
                <w:bCs/>
                <w:kern w:val="0"/>
                <w:sz w:val="24"/>
                <w:szCs w:val="24"/>
              </w:rPr>
            </w:pPr>
            <w:r>
              <w:rPr>
                <w:rFonts w:hint="eastAsia" w:ascii="仿宋_GB2312" w:hAnsi="Gungsuh" w:cs="宋体"/>
                <w:b/>
                <w:bCs/>
                <w:kern w:val="0"/>
                <w:sz w:val="24"/>
                <w:szCs w:val="24"/>
              </w:rPr>
              <w:t>得分率</w:t>
            </w:r>
          </w:p>
        </w:tc>
      </w:tr>
      <w:tr w14:paraId="3249C0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4B899CB3">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44D9DA35">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12C41CF7">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69BAF012">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1E847E19">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bottom"/>
          </w:tcPr>
          <w:p w14:paraId="34C7C01D">
            <w:pPr>
              <w:widowControl/>
              <w:ind w:firstLine="0" w:firstLineChars="0"/>
              <w:jc w:val="center"/>
              <w:rPr>
                <w:rFonts w:hint="eastAsia" w:ascii="仿宋_GB2312" w:hAnsi="宋体" w:cs="宋体"/>
                <w:kern w:val="0"/>
                <w:sz w:val="24"/>
                <w:szCs w:val="24"/>
              </w:rPr>
            </w:pPr>
            <w:r>
              <w:rPr>
                <w:rFonts w:hint="eastAsia" w:ascii="等线" w:hAnsi="等线" w:eastAsia="等线"/>
                <w:color w:val="000000"/>
                <w:sz w:val="20"/>
                <w:szCs w:val="20"/>
              </w:rPr>
              <w:t>100.00%</w:t>
            </w:r>
          </w:p>
        </w:tc>
      </w:tr>
      <w:tr w14:paraId="30648C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1B9A24A">
            <w:pPr>
              <w:ind w:firstLine="480"/>
              <w:jc w:val="center"/>
              <w:rPr>
                <w:rFonts w:hint="eastAsia" w:ascii="仿宋_GB2312" w:hAnsi="宋体" w:cs="宋体"/>
                <w:kern w:val="0"/>
                <w:sz w:val="24"/>
                <w:szCs w:val="24"/>
              </w:rPr>
            </w:pPr>
          </w:p>
        </w:tc>
        <w:tc>
          <w:tcPr>
            <w:tcW w:w="1984" w:type="dxa"/>
            <w:vMerge w:val="continue"/>
            <w:tcBorders>
              <w:tl2br w:val="nil"/>
              <w:tr2bl w:val="nil"/>
            </w:tcBorders>
            <w:shd w:val="clear" w:color="auto" w:fill="FFFFFF"/>
            <w:vAlign w:val="center"/>
          </w:tcPr>
          <w:p w14:paraId="266AE2FD">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5CC85EA5">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4C4DE784">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0222AC3D">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bottom"/>
          </w:tcPr>
          <w:p w14:paraId="413B6C2E">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100.00%</w:t>
            </w:r>
          </w:p>
        </w:tc>
      </w:tr>
      <w:tr w14:paraId="65783B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8ECD60E">
            <w:pPr>
              <w:ind w:firstLine="480"/>
              <w:jc w:val="center"/>
              <w:rPr>
                <w:rFonts w:hint="eastAsia" w:ascii="仿宋_GB2312" w:hAnsi="宋体" w:cs="宋体"/>
                <w:kern w:val="0"/>
                <w:sz w:val="24"/>
                <w:szCs w:val="24"/>
              </w:rPr>
            </w:pPr>
          </w:p>
        </w:tc>
        <w:tc>
          <w:tcPr>
            <w:tcW w:w="1984" w:type="dxa"/>
            <w:vMerge w:val="restart"/>
            <w:tcBorders>
              <w:tl2br w:val="nil"/>
              <w:tr2bl w:val="nil"/>
            </w:tcBorders>
            <w:shd w:val="clear" w:color="auto" w:fill="FFFFFF"/>
            <w:vAlign w:val="center"/>
          </w:tcPr>
          <w:p w14:paraId="2E8DC6E3">
            <w:pPr>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21D54114">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75424216">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A15E683">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bottom"/>
          </w:tcPr>
          <w:p w14:paraId="0217F9C8">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100.00%</w:t>
            </w:r>
          </w:p>
        </w:tc>
      </w:tr>
      <w:tr w14:paraId="412FCD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4678A12">
            <w:pPr>
              <w:widowControl/>
              <w:ind w:firstLine="0" w:firstLineChars="0"/>
              <w:jc w:val="center"/>
              <w:rPr>
                <w:rFonts w:hint="eastAsia" w:ascii="仿宋_GB2312" w:hAnsi="宋体" w:cs="宋体"/>
                <w:kern w:val="0"/>
                <w:sz w:val="24"/>
                <w:szCs w:val="24"/>
              </w:rPr>
            </w:pPr>
          </w:p>
        </w:tc>
        <w:tc>
          <w:tcPr>
            <w:tcW w:w="1984" w:type="dxa"/>
            <w:vMerge w:val="continue"/>
            <w:tcBorders>
              <w:tl2br w:val="nil"/>
              <w:tr2bl w:val="nil"/>
            </w:tcBorders>
            <w:shd w:val="clear" w:color="auto" w:fill="FFFFFF"/>
            <w:vAlign w:val="center"/>
          </w:tcPr>
          <w:p w14:paraId="7084715F">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299FB7B6">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4D6DDA98">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3C844928">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bottom"/>
          </w:tcPr>
          <w:p w14:paraId="66D1A26A">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100.00%</w:t>
            </w:r>
          </w:p>
        </w:tc>
      </w:tr>
      <w:tr w14:paraId="12824C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F7DAB13">
            <w:pPr>
              <w:ind w:firstLine="0" w:firstLineChars="0"/>
              <w:jc w:val="center"/>
              <w:rPr>
                <w:rFonts w:hint="eastAsia" w:ascii="仿宋_GB2312" w:hAnsi="宋体" w:cs="宋体"/>
                <w:kern w:val="0"/>
                <w:sz w:val="24"/>
                <w:szCs w:val="24"/>
              </w:rPr>
            </w:pPr>
          </w:p>
        </w:tc>
        <w:tc>
          <w:tcPr>
            <w:tcW w:w="1984" w:type="dxa"/>
            <w:vMerge w:val="restart"/>
            <w:tcBorders>
              <w:tl2br w:val="nil"/>
              <w:tr2bl w:val="nil"/>
            </w:tcBorders>
            <w:shd w:val="clear" w:color="auto" w:fill="FFFFFF"/>
            <w:vAlign w:val="center"/>
          </w:tcPr>
          <w:p w14:paraId="741353E5">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324A82E0">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1FD57A73">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4F6F5022">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bottom"/>
          </w:tcPr>
          <w:p w14:paraId="4B6D2C20">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100.00%</w:t>
            </w:r>
          </w:p>
        </w:tc>
      </w:tr>
      <w:tr w14:paraId="3C9180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D1F2CF0">
            <w:pPr>
              <w:widowControl/>
              <w:ind w:firstLine="0" w:firstLineChars="0"/>
              <w:jc w:val="center"/>
              <w:rPr>
                <w:rFonts w:hint="eastAsia" w:ascii="仿宋_GB2312" w:hAnsi="宋体" w:cs="宋体"/>
                <w:kern w:val="0"/>
                <w:sz w:val="24"/>
                <w:szCs w:val="24"/>
              </w:rPr>
            </w:pPr>
          </w:p>
        </w:tc>
        <w:tc>
          <w:tcPr>
            <w:tcW w:w="1984" w:type="dxa"/>
            <w:vMerge w:val="continue"/>
            <w:tcBorders>
              <w:tl2br w:val="nil"/>
              <w:tr2bl w:val="nil"/>
            </w:tcBorders>
            <w:shd w:val="clear" w:color="auto" w:fill="FFFFFF"/>
            <w:vAlign w:val="center"/>
          </w:tcPr>
          <w:p w14:paraId="6DDE449E">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4EF6660C">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75DD213A">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471F2D49">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bottom"/>
          </w:tcPr>
          <w:p w14:paraId="488421ED">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100.00%</w:t>
            </w:r>
          </w:p>
        </w:tc>
      </w:tr>
      <w:tr w14:paraId="419C13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38B102EA">
            <w:pPr>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1DC26916">
            <w:pPr>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7BDAAA59">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4C2932F2">
            <w:pPr>
              <w:widowControl/>
              <w:ind w:firstLine="0" w:firstLineChars="0"/>
              <w:jc w:val="center"/>
              <w:rPr>
                <w:rFonts w:hint="eastAsia"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000000" w:fill="FFFFFF"/>
            <w:vAlign w:val="center"/>
          </w:tcPr>
          <w:p w14:paraId="26543594">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仿宋_GB2312" w:hAnsi="宋体" w:cs="宋体"/>
                <w:kern w:val="0"/>
                <w:sz w:val="24"/>
                <w:szCs w:val="24"/>
                <w:highlight w:val="none"/>
                <w:lang w:val="en-US" w:eastAsia="zh-CN"/>
              </w:rPr>
              <w:t>5</w:t>
            </w:r>
          </w:p>
        </w:tc>
        <w:tc>
          <w:tcPr>
            <w:tcW w:w="1039" w:type="dxa"/>
            <w:tcBorders>
              <w:tl2br w:val="nil"/>
              <w:tr2bl w:val="nil"/>
            </w:tcBorders>
            <w:shd w:val="clear" w:color="000000" w:fill="FFFFFF"/>
            <w:vAlign w:val="bottom"/>
          </w:tcPr>
          <w:p w14:paraId="23478092">
            <w:pPr>
              <w:widowControl/>
              <w:ind w:firstLine="0" w:firstLineChars="0"/>
              <w:jc w:val="center"/>
              <w:rPr>
                <w:rFonts w:hint="eastAsia" w:ascii="仿宋_GB2312" w:hAnsi="宋体" w:cs="宋体"/>
                <w:kern w:val="0"/>
                <w:sz w:val="20"/>
                <w:szCs w:val="20"/>
                <w:highlight w:val="none"/>
              </w:rPr>
            </w:pPr>
            <w:r>
              <w:rPr>
                <w:rFonts w:hint="eastAsia" w:ascii="等线" w:hAnsi="等线" w:eastAsia="等线"/>
                <w:color w:val="000000"/>
                <w:sz w:val="20"/>
                <w:szCs w:val="20"/>
                <w:highlight w:val="none"/>
                <w:lang w:val="en-US" w:eastAsia="zh-CN"/>
              </w:rPr>
              <w:t>100.00</w:t>
            </w:r>
            <w:r>
              <w:rPr>
                <w:rFonts w:hint="eastAsia" w:ascii="等线" w:hAnsi="等线" w:eastAsia="等线"/>
                <w:color w:val="000000"/>
                <w:sz w:val="20"/>
                <w:szCs w:val="20"/>
                <w:highlight w:val="none"/>
              </w:rPr>
              <w:t>%</w:t>
            </w:r>
          </w:p>
        </w:tc>
      </w:tr>
      <w:tr w14:paraId="0A25FA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B1BF391">
            <w:pPr>
              <w:ind w:firstLine="480"/>
              <w:jc w:val="center"/>
              <w:rPr>
                <w:rFonts w:hint="eastAsia" w:ascii="仿宋_GB2312" w:hAnsi="宋体" w:cs="宋体"/>
                <w:kern w:val="0"/>
                <w:sz w:val="24"/>
                <w:szCs w:val="24"/>
              </w:rPr>
            </w:pPr>
          </w:p>
        </w:tc>
        <w:tc>
          <w:tcPr>
            <w:tcW w:w="1984" w:type="dxa"/>
            <w:vMerge w:val="continue"/>
            <w:tcBorders>
              <w:tl2br w:val="nil"/>
              <w:tr2bl w:val="nil"/>
            </w:tcBorders>
            <w:shd w:val="clear" w:color="auto" w:fill="FFFFFF"/>
            <w:vAlign w:val="center"/>
          </w:tcPr>
          <w:p w14:paraId="24D7060B">
            <w:pPr>
              <w:ind w:firstLine="48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64A4CF43">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35CBF515">
            <w:pPr>
              <w:widowControl/>
              <w:ind w:firstLine="0" w:firstLineChars="0"/>
              <w:jc w:val="center"/>
              <w:rPr>
                <w:rFonts w:hint="eastAsia"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auto" w:fill="FFFFFF"/>
            <w:vAlign w:val="center"/>
          </w:tcPr>
          <w:p w14:paraId="0BA2C53E">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4.74</w:t>
            </w:r>
          </w:p>
        </w:tc>
        <w:tc>
          <w:tcPr>
            <w:tcW w:w="1039" w:type="dxa"/>
            <w:tcBorders>
              <w:tl2br w:val="nil"/>
              <w:tr2bl w:val="nil"/>
            </w:tcBorders>
            <w:shd w:val="clear" w:color="auto" w:fill="FFFFFF"/>
            <w:vAlign w:val="bottom"/>
          </w:tcPr>
          <w:p w14:paraId="3C13FF2A">
            <w:pPr>
              <w:widowControl/>
              <w:ind w:firstLine="0" w:firstLineChars="0"/>
              <w:jc w:val="center"/>
              <w:rPr>
                <w:rFonts w:hint="eastAsia" w:ascii="仿宋_GB2312" w:hAnsi="宋体" w:cs="宋体"/>
                <w:kern w:val="0"/>
                <w:sz w:val="20"/>
                <w:szCs w:val="20"/>
                <w:highlight w:val="none"/>
              </w:rPr>
            </w:pPr>
            <w:r>
              <w:rPr>
                <w:rFonts w:hint="eastAsia" w:ascii="等线" w:hAnsi="等线" w:eastAsia="等线"/>
                <w:color w:val="000000"/>
                <w:sz w:val="20"/>
                <w:szCs w:val="20"/>
                <w:highlight w:val="none"/>
                <w:lang w:val="en-US" w:eastAsia="zh-CN"/>
              </w:rPr>
              <w:t>94.88</w:t>
            </w:r>
            <w:r>
              <w:rPr>
                <w:rFonts w:hint="eastAsia" w:ascii="等线" w:hAnsi="等线" w:eastAsia="等线"/>
                <w:color w:val="000000"/>
                <w:sz w:val="20"/>
                <w:szCs w:val="20"/>
                <w:highlight w:val="none"/>
              </w:rPr>
              <w:t>%</w:t>
            </w:r>
          </w:p>
        </w:tc>
      </w:tr>
      <w:tr w14:paraId="6C0381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B38C350">
            <w:pPr>
              <w:ind w:firstLine="0" w:firstLineChars="0"/>
              <w:jc w:val="center"/>
              <w:rPr>
                <w:rFonts w:hint="eastAsia" w:ascii="仿宋_GB2312" w:hAnsi="宋体" w:cs="宋体"/>
                <w:kern w:val="0"/>
                <w:sz w:val="24"/>
                <w:szCs w:val="24"/>
              </w:rPr>
            </w:pPr>
          </w:p>
        </w:tc>
        <w:tc>
          <w:tcPr>
            <w:tcW w:w="1984" w:type="dxa"/>
            <w:vMerge w:val="continue"/>
            <w:tcBorders>
              <w:tl2br w:val="nil"/>
              <w:tr2bl w:val="nil"/>
            </w:tcBorders>
            <w:shd w:val="clear" w:color="auto" w:fill="FFFFFF"/>
            <w:vAlign w:val="center"/>
          </w:tcPr>
          <w:p w14:paraId="5A68D4CB">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1DC9D784">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4F7E7258">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74863D14">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bottom"/>
          </w:tcPr>
          <w:p w14:paraId="0B2F2540">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100.00%</w:t>
            </w:r>
          </w:p>
        </w:tc>
      </w:tr>
      <w:tr w14:paraId="41D695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5136119">
            <w:pPr>
              <w:ind w:firstLine="0" w:firstLineChars="0"/>
              <w:jc w:val="center"/>
              <w:rPr>
                <w:rFonts w:hint="eastAsia" w:ascii="仿宋_GB2312" w:hAnsi="宋体" w:cs="宋体"/>
                <w:kern w:val="0"/>
                <w:sz w:val="24"/>
                <w:szCs w:val="24"/>
              </w:rPr>
            </w:pPr>
          </w:p>
        </w:tc>
        <w:tc>
          <w:tcPr>
            <w:tcW w:w="1984" w:type="dxa"/>
            <w:vMerge w:val="restart"/>
            <w:tcBorders>
              <w:tl2br w:val="nil"/>
              <w:tr2bl w:val="nil"/>
            </w:tcBorders>
            <w:shd w:val="clear" w:color="auto" w:fill="FFFFFF"/>
            <w:vAlign w:val="center"/>
          </w:tcPr>
          <w:p w14:paraId="08606B4B">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1C0C8912">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44AEDAB6">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43814A5A">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bottom"/>
          </w:tcPr>
          <w:p w14:paraId="435B3941">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100.00%</w:t>
            </w:r>
          </w:p>
        </w:tc>
      </w:tr>
      <w:tr w14:paraId="2F4DD3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97E04CB">
            <w:pPr>
              <w:widowControl/>
              <w:ind w:firstLine="0" w:firstLineChars="0"/>
              <w:jc w:val="center"/>
              <w:rPr>
                <w:rFonts w:hint="eastAsia" w:ascii="仿宋_GB2312" w:hAnsi="宋体" w:cs="宋体"/>
                <w:kern w:val="0"/>
                <w:sz w:val="24"/>
                <w:szCs w:val="24"/>
              </w:rPr>
            </w:pPr>
          </w:p>
        </w:tc>
        <w:tc>
          <w:tcPr>
            <w:tcW w:w="1984" w:type="dxa"/>
            <w:vMerge w:val="continue"/>
            <w:tcBorders>
              <w:tl2br w:val="nil"/>
              <w:tr2bl w:val="nil"/>
            </w:tcBorders>
            <w:shd w:val="clear" w:color="auto" w:fill="FFFFFF"/>
            <w:vAlign w:val="center"/>
          </w:tcPr>
          <w:p w14:paraId="3FE1AE8A">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14:paraId="666DF507">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1E173247">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002E772E">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4</w:t>
            </w:r>
          </w:p>
        </w:tc>
        <w:tc>
          <w:tcPr>
            <w:tcW w:w="1039" w:type="dxa"/>
            <w:tcBorders>
              <w:bottom w:val="single" w:color="auto" w:sz="4" w:space="0"/>
              <w:tl2br w:val="nil"/>
              <w:tr2bl w:val="nil"/>
            </w:tcBorders>
            <w:shd w:val="clear" w:color="000000" w:fill="FFFFFF"/>
            <w:vAlign w:val="bottom"/>
          </w:tcPr>
          <w:p w14:paraId="1B511D07">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100.00%</w:t>
            </w:r>
          </w:p>
        </w:tc>
      </w:tr>
      <w:tr w14:paraId="5D91D3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477DB77D">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14:paraId="1D9EAF29">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产出数量</w:t>
            </w:r>
          </w:p>
        </w:tc>
        <w:tc>
          <w:tcPr>
            <w:tcW w:w="2693" w:type="dxa"/>
            <w:tcBorders>
              <w:tl2br w:val="nil"/>
              <w:tr2bl w:val="nil"/>
            </w:tcBorders>
            <w:shd w:val="clear" w:color="auto" w:fill="FFFFFF"/>
          </w:tcPr>
          <w:p w14:paraId="3E341C21">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采购工作完成率</w:t>
            </w:r>
          </w:p>
        </w:tc>
        <w:tc>
          <w:tcPr>
            <w:tcW w:w="898" w:type="dxa"/>
            <w:tcBorders>
              <w:tl2br w:val="nil"/>
              <w:tr2bl w:val="nil"/>
            </w:tcBorders>
            <w:shd w:val="clear" w:color="000000" w:fill="FFFFFF"/>
            <w:vAlign w:val="center"/>
          </w:tcPr>
          <w:p w14:paraId="404FA561">
            <w:pPr>
              <w:widowControl/>
              <w:ind w:firstLine="0" w:firstLineChars="0"/>
              <w:jc w:val="center"/>
              <w:rPr>
                <w:rFonts w:hint="eastAsia" w:ascii="仿宋_GB2312" w:hAnsi="宋体" w:cs="宋体"/>
                <w:kern w:val="0"/>
                <w:sz w:val="24"/>
                <w:szCs w:val="24"/>
              </w:rPr>
            </w:pPr>
            <w:r>
              <w:rPr>
                <w:rFonts w:ascii="仿宋_GB2312" w:hAnsi="宋体" w:cs="宋体"/>
                <w:kern w:val="0"/>
                <w:sz w:val="24"/>
                <w:szCs w:val="24"/>
              </w:rPr>
              <w:t>3</w:t>
            </w:r>
          </w:p>
        </w:tc>
        <w:tc>
          <w:tcPr>
            <w:tcW w:w="898" w:type="dxa"/>
            <w:tcBorders>
              <w:right w:val="single" w:color="auto" w:sz="4" w:space="0"/>
              <w:tl2br w:val="nil"/>
              <w:tr2bl w:val="nil"/>
            </w:tcBorders>
            <w:shd w:val="clear" w:color="000000" w:fill="FFFFFF"/>
            <w:vAlign w:val="center"/>
          </w:tcPr>
          <w:p w14:paraId="425CC764">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1039" w:type="dxa"/>
            <w:vMerge w:val="restart"/>
            <w:tcBorders>
              <w:top w:val="single" w:color="auto" w:sz="4" w:space="0"/>
              <w:left w:val="single" w:color="auto" w:sz="4" w:space="0"/>
              <w:bottom w:val="single" w:color="auto" w:sz="4" w:space="0"/>
              <w:right w:val="single" w:color="auto" w:sz="4" w:space="0"/>
              <w:tl2br w:val="nil"/>
              <w:tr2bl w:val="nil"/>
            </w:tcBorders>
            <w:shd w:val="clear" w:color="000000" w:fill="FFFFFF"/>
            <w:vAlign w:val="bottom"/>
          </w:tcPr>
          <w:p w14:paraId="49580261">
            <w:pPr>
              <w:widowControl/>
              <w:ind w:firstLine="0" w:firstLineChars="0"/>
              <w:jc w:val="center"/>
              <w:rPr>
                <w:rFonts w:hint="eastAsia" w:ascii="仿宋_GB2312" w:hAnsi="宋体" w:cs="宋体"/>
                <w:kern w:val="0"/>
                <w:sz w:val="20"/>
                <w:szCs w:val="20"/>
                <w:highlight w:val="yellow"/>
              </w:rPr>
            </w:pPr>
            <w:r>
              <w:rPr>
                <w:rFonts w:hint="eastAsia" w:ascii="等线" w:hAnsi="等线" w:eastAsia="等线"/>
                <w:color w:val="000000"/>
                <w:sz w:val="20"/>
                <w:szCs w:val="20"/>
              </w:rPr>
              <w:t>100.00%</w:t>
            </w:r>
          </w:p>
          <w:p w14:paraId="0D30C9B3">
            <w:pPr>
              <w:widowControl/>
              <w:ind w:firstLine="0" w:firstLineChars="0"/>
              <w:jc w:val="center"/>
              <w:rPr>
                <w:rFonts w:hint="eastAsia" w:ascii="仿宋_GB2312" w:hAnsi="宋体" w:cs="宋体"/>
                <w:kern w:val="0"/>
                <w:sz w:val="20"/>
                <w:szCs w:val="20"/>
                <w:highlight w:val="yellow"/>
              </w:rPr>
            </w:pPr>
            <w:r>
              <w:rPr>
                <w:rFonts w:hint="eastAsia" w:ascii="等线" w:hAnsi="等线" w:eastAsia="等线"/>
                <w:color w:val="000000"/>
                <w:sz w:val="20"/>
                <w:szCs w:val="20"/>
              </w:rPr>
              <w:t>100.00%</w:t>
            </w:r>
          </w:p>
          <w:p w14:paraId="2D50E554">
            <w:pPr>
              <w:widowControl/>
              <w:ind w:firstLine="0" w:firstLineChars="0"/>
              <w:jc w:val="center"/>
              <w:rPr>
                <w:rFonts w:hint="eastAsia" w:ascii="仿宋_GB2312" w:hAnsi="宋体" w:cs="宋体"/>
                <w:kern w:val="0"/>
                <w:sz w:val="20"/>
                <w:szCs w:val="20"/>
                <w:highlight w:val="yellow"/>
              </w:rPr>
            </w:pPr>
            <w:r>
              <w:rPr>
                <w:rFonts w:hint="eastAsia" w:ascii="等线" w:hAnsi="等线" w:eastAsia="等线"/>
                <w:color w:val="000000"/>
                <w:sz w:val="20"/>
                <w:szCs w:val="20"/>
              </w:rPr>
              <w:t>100.00%</w:t>
            </w:r>
          </w:p>
          <w:p w14:paraId="776C725E">
            <w:pPr>
              <w:widowControl/>
              <w:ind w:firstLine="0" w:firstLineChars="0"/>
              <w:jc w:val="center"/>
              <w:rPr>
                <w:rFonts w:hint="eastAsia" w:ascii="仿宋_GB2312" w:hAnsi="宋体" w:cs="宋体"/>
                <w:kern w:val="0"/>
                <w:sz w:val="24"/>
                <w:szCs w:val="24"/>
                <w:highlight w:val="yellow"/>
              </w:rPr>
            </w:pPr>
            <w:r>
              <w:rPr>
                <w:rFonts w:hint="eastAsia" w:ascii="等线" w:hAnsi="等线" w:eastAsia="等线"/>
                <w:color w:val="000000"/>
                <w:sz w:val="20"/>
                <w:szCs w:val="20"/>
              </w:rPr>
              <w:t>100.00%</w:t>
            </w:r>
          </w:p>
        </w:tc>
      </w:tr>
      <w:tr w14:paraId="58AAD9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 w:hRule="atLeast"/>
          <w:jc w:val="center"/>
        </w:trPr>
        <w:tc>
          <w:tcPr>
            <w:tcW w:w="1550" w:type="dxa"/>
            <w:vMerge w:val="continue"/>
            <w:tcBorders>
              <w:tl2br w:val="nil"/>
              <w:tr2bl w:val="nil"/>
            </w:tcBorders>
            <w:shd w:val="clear" w:color="auto" w:fill="FFFFFF"/>
            <w:vAlign w:val="center"/>
          </w:tcPr>
          <w:p w14:paraId="70188FF9">
            <w:pPr>
              <w:widowControl/>
              <w:ind w:firstLine="0" w:firstLineChars="0"/>
              <w:jc w:val="center"/>
              <w:rPr>
                <w:rFonts w:hint="eastAsia" w:ascii="仿宋_GB2312" w:hAnsi="宋体" w:cs="宋体"/>
                <w:kern w:val="0"/>
                <w:sz w:val="24"/>
                <w:szCs w:val="24"/>
              </w:rPr>
            </w:pPr>
          </w:p>
        </w:tc>
        <w:tc>
          <w:tcPr>
            <w:tcW w:w="1984" w:type="dxa"/>
            <w:vMerge w:val="continue"/>
            <w:tcBorders>
              <w:tl2br w:val="nil"/>
              <w:tr2bl w:val="nil"/>
            </w:tcBorders>
            <w:shd w:val="clear" w:color="auto" w:fill="FFFFFF"/>
            <w:vAlign w:val="center"/>
          </w:tcPr>
          <w:p w14:paraId="4ABE240B">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tcPr>
          <w:p w14:paraId="3FDE815C">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标准化考点改造数量</w:t>
            </w:r>
          </w:p>
        </w:tc>
        <w:tc>
          <w:tcPr>
            <w:tcW w:w="898" w:type="dxa"/>
            <w:tcBorders>
              <w:tl2br w:val="nil"/>
              <w:tr2bl w:val="nil"/>
            </w:tcBorders>
            <w:shd w:val="clear" w:color="000000" w:fill="FFFFFF"/>
            <w:vAlign w:val="center"/>
          </w:tcPr>
          <w:p w14:paraId="5A5FE38A">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tcBorders>
              <w:right w:val="single" w:color="auto" w:sz="4" w:space="0"/>
              <w:tl2br w:val="nil"/>
              <w:tr2bl w:val="nil"/>
            </w:tcBorders>
            <w:shd w:val="clear" w:color="000000" w:fill="FFFFFF"/>
            <w:vAlign w:val="center"/>
          </w:tcPr>
          <w:p w14:paraId="111ED994">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1039" w:type="dxa"/>
            <w:vMerge w:val="continue"/>
            <w:tcBorders>
              <w:top w:val="single" w:color="auto" w:sz="4" w:space="0"/>
              <w:left w:val="single" w:color="auto" w:sz="4" w:space="0"/>
              <w:bottom w:val="single" w:color="auto" w:sz="4" w:space="0"/>
              <w:right w:val="single" w:color="auto" w:sz="4" w:space="0"/>
              <w:tl2br w:val="nil"/>
              <w:tr2bl w:val="nil"/>
            </w:tcBorders>
            <w:shd w:val="clear" w:color="000000" w:fill="FFFFFF"/>
            <w:vAlign w:val="bottom"/>
          </w:tcPr>
          <w:p w14:paraId="5106B551">
            <w:pPr>
              <w:widowControl/>
              <w:ind w:firstLine="0" w:firstLineChars="0"/>
              <w:jc w:val="center"/>
              <w:rPr>
                <w:rFonts w:hint="eastAsia" w:ascii="仿宋_GB2312" w:hAnsi="宋体" w:cs="宋体"/>
                <w:kern w:val="0"/>
                <w:sz w:val="24"/>
                <w:szCs w:val="24"/>
                <w:highlight w:val="yellow"/>
              </w:rPr>
            </w:pPr>
          </w:p>
        </w:tc>
      </w:tr>
      <w:tr w14:paraId="3D586C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187613D1">
            <w:pPr>
              <w:widowControl/>
              <w:ind w:firstLine="0" w:firstLineChars="0"/>
              <w:jc w:val="center"/>
              <w:rPr>
                <w:rFonts w:hint="eastAsia" w:ascii="仿宋_GB2312" w:hAnsi="宋体" w:cs="宋体"/>
                <w:kern w:val="0"/>
                <w:sz w:val="24"/>
                <w:szCs w:val="24"/>
              </w:rPr>
            </w:pPr>
          </w:p>
        </w:tc>
        <w:tc>
          <w:tcPr>
            <w:tcW w:w="1984" w:type="dxa"/>
            <w:vMerge w:val="continue"/>
            <w:tcBorders>
              <w:tl2br w:val="nil"/>
              <w:tr2bl w:val="nil"/>
            </w:tcBorders>
            <w:shd w:val="clear" w:color="auto" w:fill="FFFFFF"/>
            <w:vAlign w:val="center"/>
          </w:tcPr>
          <w:p w14:paraId="386BB443">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tcPr>
          <w:p w14:paraId="1B9178B8">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视频会议系统建设数量</w:t>
            </w:r>
          </w:p>
        </w:tc>
        <w:tc>
          <w:tcPr>
            <w:tcW w:w="898" w:type="dxa"/>
            <w:tcBorders>
              <w:tl2br w:val="nil"/>
              <w:tr2bl w:val="nil"/>
            </w:tcBorders>
            <w:shd w:val="clear" w:color="000000" w:fill="FFFFFF"/>
            <w:vAlign w:val="center"/>
          </w:tcPr>
          <w:p w14:paraId="18E132F1">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tcBorders>
              <w:right w:val="single" w:color="auto" w:sz="4" w:space="0"/>
              <w:tl2br w:val="nil"/>
              <w:tr2bl w:val="nil"/>
            </w:tcBorders>
            <w:shd w:val="clear" w:color="000000" w:fill="FFFFFF"/>
            <w:vAlign w:val="center"/>
          </w:tcPr>
          <w:p w14:paraId="2984B601">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1039" w:type="dxa"/>
            <w:vMerge w:val="continue"/>
            <w:tcBorders>
              <w:top w:val="single" w:color="auto" w:sz="4" w:space="0"/>
              <w:left w:val="single" w:color="auto" w:sz="4" w:space="0"/>
              <w:bottom w:val="single" w:color="auto" w:sz="4" w:space="0"/>
              <w:right w:val="single" w:color="auto" w:sz="4" w:space="0"/>
              <w:tl2br w:val="nil"/>
              <w:tr2bl w:val="nil"/>
            </w:tcBorders>
            <w:shd w:val="clear" w:color="000000" w:fill="FFFFFF"/>
            <w:vAlign w:val="bottom"/>
          </w:tcPr>
          <w:p w14:paraId="1597E54C">
            <w:pPr>
              <w:widowControl/>
              <w:ind w:firstLine="0" w:firstLineChars="0"/>
              <w:jc w:val="center"/>
              <w:rPr>
                <w:rFonts w:hint="eastAsia" w:ascii="仿宋_GB2312" w:hAnsi="宋体" w:cs="宋体"/>
                <w:kern w:val="0"/>
                <w:sz w:val="24"/>
                <w:szCs w:val="24"/>
              </w:rPr>
            </w:pPr>
          </w:p>
        </w:tc>
      </w:tr>
      <w:tr w14:paraId="27273C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0F3CEB00">
            <w:pPr>
              <w:widowControl/>
              <w:ind w:firstLine="0" w:firstLineChars="0"/>
              <w:jc w:val="center"/>
              <w:rPr>
                <w:rFonts w:hint="eastAsia" w:ascii="仿宋_GB2312" w:hAnsi="宋体" w:cs="宋体"/>
                <w:kern w:val="0"/>
                <w:sz w:val="24"/>
                <w:szCs w:val="24"/>
              </w:rPr>
            </w:pPr>
          </w:p>
        </w:tc>
        <w:tc>
          <w:tcPr>
            <w:tcW w:w="1984" w:type="dxa"/>
            <w:vMerge w:val="continue"/>
            <w:tcBorders>
              <w:tl2br w:val="nil"/>
              <w:tr2bl w:val="nil"/>
            </w:tcBorders>
            <w:shd w:val="clear" w:color="auto" w:fill="FFFFFF"/>
            <w:vAlign w:val="center"/>
          </w:tcPr>
          <w:p w14:paraId="64AFD93A">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tcPr>
          <w:p w14:paraId="3660944D">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身份认证系统建设数量</w:t>
            </w:r>
          </w:p>
        </w:tc>
        <w:tc>
          <w:tcPr>
            <w:tcW w:w="898" w:type="dxa"/>
            <w:tcBorders>
              <w:tl2br w:val="nil"/>
              <w:tr2bl w:val="nil"/>
            </w:tcBorders>
            <w:shd w:val="clear" w:color="000000" w:fill="FFFFFF"/>
            <w:vAlign w:val="center"/>
          </w:tcPr>
          <w:p w14:paraId="4A6629D2">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898" w:type="dxa"/>
            <w:tcBorders>
              <w:right w:val="single" w:color="auto" w:sz="4" w:space="0"/>
              <w:tl2br w:val="nil"/>
              <w:tr2bl w:val="nil"/>
            </w:tcBorders>
            <w:shd w:val="clear" w:color="000000" w:fill="FFFFFF"/>
            <w:vAlign w:val="center"/>
          </w:tcPr>
          <w:p w14:paraId="589D09E0">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3</w:t>
            </w:r>
          </w:p>
        </w:tc>
        <w:tc>
          <w:tcPr>
            <w:tcW w:w="1039" w:type="dxa"/>
            <w:vMerge w:val="continue"/>
            <w:tcBorders>
              <w:top w:val="single" w:color="auto" w:sz="4" w:space="0"/>
              <w:left w:val="single" w:color="auto" w:sz="4" w:space="0"/>
              <w:bottom w:val="single" w:color="auto" w:sz="4" w:space="0"/>
              <w:right w:val="single" w:color="auto" w:sz="4" w:space="0"/>
              <w:tl2br w:val="nil"/>
              <w:tr2bl w:val="nil"/>
            </w:tcBorders>
            <w:shd w:val="clear" w:color="000000" w:fill="FFFFFF"/>
            <w:vAlign w:val="bottom"/>
          </w:tcPr>
          <w:p w14:paraId="16EB8CB0">
            <w:pPr>
              <w:widowControl/>
              <w:ind w:firstLine="0" w:firstLineChars="0"/>
              <w:jc w:val="center"/>
              <w:rPr>
                <w:rFonts w:hint="eastAsia" w:ascii="仿宋_GB2312" w:hAnsi="宋体" w:cs="宋体"/>
                <w:kern w:val="0"/>
                <w:sz w:val="24"/>
                <w:szCs w:val="24"/>
              </w:rPr>
            </w:pPr>
          </w:p>
        </w:tc>
      </w:tr>
      <w:tr w14:paraId="5BC72E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3F3F62C">
            <w:pPr>
              <w:widowControl/>
              <w:ind w:firstLine="0" w:firstLineChars="0"/>
              <w:jc w:val="center"/>
              <w:rPr>
                <w:rFonts w:hint="eastAsia" w:ascii="仿宋_GB2312" w:hAnsi="宋体" w:cs="宋体"/>
                <w:kern w:val="0"/>
                <w:sz w:val="24"/>
                <w:szCs w:val="24"/>
              </w:rPr>
            </w:pPr>
          </w:p>
        </w:tc>
        <w:tc>
          <w:tcPr>
            <w:tcW w:w="1984" w:type="dxa"/>
            <w:tcBorders>
              <w:tl2br w:val="nil"/>
              <w:tr2bl w:val="nil"/>
            </w:tcBorders>
            <w:shd w:val="clear" w:color="auto" w:fill="FFFFFF"/>
            <w:vAlign w:val="center"/>
          </w:tcPr>
          <w:p w14:paraId="10EEC19B">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14:paraId="1538F37F">
            <w:pPr>
              <w:widowControl/>
              <w:ind w:firstLine="0" w:firstLineChars="0"/>
              <w:jc w:val="left"/>
              <w:rPr>
                <w:rFonts w:hint="eastAsia" w:ascii="仿宋_GB2312" w:hAnsi="宋体" w:cs="宋体"/>
                <w:kern w:val="0"/>
                <w:sz w:val="24"/>
                <w:szCs w:val="24"/>
              </w:rPr>
            </w:pPr>
            <w:r>
              <w:rPr>
                <w:rFonts w:hint="eastAsia" w:ascii="宋体" w:hAnsi="宋体" w:eastAsia="宋体" w:cs="宋体"/>
                <w:color w:val="000000"/>
                <w:kern w:val="0"/>
                <w:sz w:val="22"/>
              </w:rPr>
              <w:t>工程验收合格率</w:t>
            </w:r>
          </w:p>
        </w:tc>
        <w:tc>
          <w:tcPr>
            <w:tcW w:w="898" w:type="dxa"/>
            <w:tcBorders>
              <w:tl2br w:val="nil"/>
              <w:tr2bl w:val="nil"/>
            </w:tcBorders>
            <w:shd w:val="clear" w:color="000000" w:fill="FFFFFF"/>
            <w:vAlign w:val="center"/>
          </w:tcPr>
          <w:p w14:paraId="3253DB7F">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8</w:t>
            </w:r>
          </w:p>
        </w:tc>
        <w:tc>
          <w:tcPr>
            <w:tcW w:w="898" w:type="dxa"/>
            <w:tcBorders>
              <w:tl2br w:val="nil"/>
              <w:tr2bl w:val="nil"/>
            </w:tcBorders>
            <w:shd w:val="clear" w:color="000000" w:fill="FFFFFF"/>
            <w:vAlign w:val="center"/>
          </w:tcPr>
          <w:p w14:paraId="1318DEE3">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8</w:t>
            </w:r>
          </w:p>
        </w:tc>
        <w:tc>
          <w:tcPr>
            <w:tcW w:w="1039" w:type="dxa"/>
            <w:tcBorders>
              <w:top w:val="single" w:color="auto" w:sz="4" w:space="0"/>
              <w:tl2br w:val="nil"/>
              <w:tr2bl w:val="nil"/>
            </w:tcBorders>
            <w:shd w:val="clear" w:color="000000" w:fill="FFFFFF"/>
            <w:vAlign w:val="bottom"/>
          </w:tcPr>
          <w:p w14:paraId="65E71CAB">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100.00%</w:t>
            </w:r>
          </w:p>
        </w:tc>
      </w:tr>
      <w:tr w14:paraId="3EBE95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4" w:hRule="atLeast"/>
          <w:jc w:val="center"/>
        </w:trPr>
        <w:tc>
          <w:tcPr>
            <w:tcW w:w="1550" w:type="dxa"/>
            <w:vMerge w:val="continue"/>
            <w:tcBorders>
              <w:tl2br w:val="nil"/>
              <w:tr2bl w:val="nil"/>
            </w:tcBorders>
            <w:shd w:val="clear" w:color="auto" w:fill="FFFFFF"/>
            <w:vAlign w:val="center"/>
          </w:tcPr>
          <w:p w14:paraId="2208AEC6">
            <w:pPr>
              <w:ind w:firstLine="0" w:firstLineChars="0"/>
              <w:jc w:val="center"/>
              <w:rPr>
                <w:rFonts w:hint="eastAsia" w:ascii="仿宋_GB2312" w:hAnsi="宋体" w:cs="宋体"/>
                <w:kern w:val="0"/>
                <w:sz w:val="24"/>
                <w:szCs w:val="24"/>
              </w:rPr>
            </w:pPr>
          </w:p>
        </w:tc>
        <w:tc>
          <w:tcPr>
            <w:tcW w:w="1984" w:type="dxa"/>
            <w:tcBorders>
              <w:tl2br w:val="nil"/>
              <w:tr2bl w:val="nil"/>
            </w:tcBorders>
            <w:shd w:val="clear" w:color="auto" w:fill="FFFFFF"/>
            <w:vAlign w:val="center"/>
          </w:tcPr>
          <w:p w14:paraId="0D8BD612">
            <w:pPr>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产出时效</w:t>
            </w:r>
          </w:p>
        </w:tc>
        <w:tc>
          <w:tcPr>
            <w:tcW w:w="2693" w:type="dxa"/>
            <w:tcBorders>
              <w:tl2br w:val="nil"/>
              <w:tr2bl w:val="nil"/>
            </w:tcBorders>
            <w:shd w:val="clear" w:color="auto" w:fill="FFFFFF"/>
            <w:vAlign w:val="center"/>
          </w:tcPr>
          <w:p w14:paraId="2835A9C3">
            <w:pPr>
              <w:ind w:left="0" w:leftChars="0" w:firstLine="0" w:firstLineChars="0"/>
              <w:jc w:val="left"/>
              <w:rPr>
                <w:rFonts w:hint="eastAsia" w:ascii="仿宋_GB2312" w:hAnsi="宋体" w:cs="宋体"/>
                <w:kern w:val="0"/>
                <w:sz w:val="24"/>
                <w:szCs w:val="24"/>
              </w:rPr>
            </w:pPr>
            <w:r>
              <w:rPr>
                <w:rFonts w:hint="eastAsia" w:ascii="宋体" w:hAnsi="宋体" w:eastAsia="宋体" w:cs="宋体"/>
                <w:color w:val="000000"/>
                <w:kern w:val="0"/>
                <w:sz w:val="22"/>
              </w:rPr>
              <w:t>项目完成时间</w:t>
            </w:r>
          </w:p>
        </w:tc>
        <w:tc>
          <w:tcPr>
            <w:tcW w:w="898" w:type="dxa"/>
            <w:tcBorders>
              <w:tl2br w:val="nil"/>
              <w:tr2bl w:val="nil"/>
            </w:tcBorders>
            <w:shd w:val="clear" w:color="000000" w:fill="FFFFFF"/>
            <w:vAlign w:val="center"/>
          </w:tcPr>
          <w:p w14:paraId="4D70DB4D">
            <w:pPr>
              <w:ind w:left="0" w:leftChars="0" w:firstLine="0" w:firstLineChars="0"/>
              <w:jc w:val="center"/>
              <w:rPr>
                <w:rFonts w:hint="eastAsia"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066E904B">
            <w:pPr>
              <w:ind w:left="0" w:leftChars="0"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0</w:t>
            </w:r>
          </w:p>
        </w:tc>
        <w:tc>
          <w:tcPr>
            <w:tcW w:w="1039" w:type="dxa"/>
            <w:tcBorders>
              <w:tl2br w:val="nil"/>
              <w:tr2bl w:val="nil"/>
            </w:tcBorders>
            <w:shd w:val="clear" w:color="000000" w:fill="FFFFFF"/>
            <w:vAlign w:val="bottom"/>
          </w:tcPr>
          <w:p w14:paraId="4EC55C2D">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0.00%</w:t>
            </w:r>
          </w:p>
        </w:tc>
      </w:tr>
      <w:tr w14:paraId="75FB99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0473A17">
            <w:pPr>
              <w:widowControl/>
              <w:ind w:firstLine="0" w:firstLineChars="0"/>
              <w:jc w:val="center"/>
              <w:rPr>
                <w:rFonts w:hint="eastAsia" w:ascii="仿宋_GB2312" w:hAnsi="宋体" w:cs="宋体"/>
                <w:kern w:val="0"/>
                <w:sz w:val="24"/>
                <w:szCs w:val="24"/>
              </w:rPr>
            </w:pPr>
          </w:p>
        </w:tc>
        <w:tc>
          <w:tcPr>
            <w:tcW w:w="1984" w:type="dxa"/>
            <w:vMerge w:val="restart"/>
            <w:tcBorders>
              <w:tl2br w:val="nil"/>
              <w:tr2bl w:val="nil"/>
            </w:tcBorders>
            <w:shd w:val="clear" w:color="auto" w:fill="FFFFFF"/>
            <w:vAlign w:val="center"/>
          </w:tcPr>
          <w:p w14:paraId="5917AE79">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经济成本指标</w:t>
            </w:r>
          </w:p>
        </w:tc>
        <w:tc>
          <w:tcPr>
            <w:tcW w:w="2693" w:type="dxa"/>
            <w:tcBorders>
              <w:tl2br w:val="nil"/>
              <w:tr2bl w:val="nil"/>
            </w:tcBorders>
            <w:shd w:val="clear" w:color="auto" w:fill="FFFFFF"/>
            <w:vAlign w:val="center"/>
          </w:tcPr>
          <w:p w14:paraId="65C0D593">
            <w:pPr>
              <w:widowControl/>
              <w:ind w:firstLine="0" w:firstLineChars="0"/>
              <w:jc w:val="left"/>
              <w:rPr>
                <w:rFonts w:hint="eastAsia" w:ascii="仿宋_GB2312" w:hAnsi="宋体" w:cs="宋体"/>
                <w:kern w:val="0"/>
                <w:sz w:val="24"/>
                <w:szCs w:val="24"/>
              </w:rPr>
            </w:pPr>
            <w:r>
              <w:rPr>
                <w:rFonts w:hint="eastAsia" w:ascii="仿宋_GB2312" w:hAnsi="宋体" w:cs="宋体"/>
                <w:kern w:val="0"/>
                <w:sz w:val="24"/>
                <w:szCs w:val="24"/>
              </w:rPr>
              <w:t>视频会议系统成本</w:t>
            </w:r>
          </w:p>
        </w:tc>
        <w:tc>
          <w:tcPr>
            <w:tcW w:w="898" w:type="dxa"/>
            <w:tcBorders>
              <w:tl2br w:val="nil"/>
              <w:tr2bl w:val="nil"/>
            </w:tcBorders>
            <w:shd w:val="clear" w:color="000000" w:fill="FFFFFF"/>
            <w:vAlign w:val="center"/>
          </w:tcPr>
          <w:p w14:paraId="7CC5123C">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7CADBF7E">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4.99</w:t>
            </w:r>
          </w:p>
        </w:tc>
        <w:tc>
          <w:tcPr>
            <w:tcW w:w="1039" w:type="dxa"/>
            <w:tcBorders>
              <w:tl2br w:val="nil"/>
              <w:tr2bl w:val="nil"/>
            </w:tcBorders>
            <w:shd w:val="clear" w:color="000000" w:fill="FFFFFF"/>
            <w:vAlign w:val="bottom"/>
          </w:tcPr>
          <w:p w14:paraId="278AF804">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99.80%</w:t>
            </w:r>
          </w:p>
        </w:tc>
      </w:tr>
      <w:tr w14:paraId="695A7A5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6123A49">
            <w:pPr>
              <w:widowControl/>
              <w:ind w:firstLine="0" w:firstLineChars="0"/>
              <w:jc w:val="center"/>
              <w:rPr>
                <w:rFonts w:hint="eastAsia" w:ascii="仿宋_GB2312" w:hAnsi="宋体" w:cs="宋体"/>
                <w:kern w:val="0"/>
                <w:sz w:val="24"/>
                <w:szCs w:val="24"/>
              </w:rPr>
            </w:pPr>
          </w:p>
        </w:tc>
        <w:tc>
          <w:tcPr>
            <w:tcW w:w="1984" w:type="dxa"/>
            <w:vMerge w:val="continue"/>
            <w:tcBorders>
              <w:tl2br w:val="nil"/>
              <w:tr2bl w:val="nil"/>
            </w:tcBorders>
            <w:shd w:val="clear" w:color="auto" w:fill="FFFFFF"/>
            <w:vAlign w:val="center"/>
          </w:tcPr>
          <w:p w14:paraId="55D4D32E">
            <w:pPr>
              <w:widowControl/>
              <w:ind w:firstLine="0" w:firstLineChars="0"/>
              <w:jc w:val="center"/>
              <w:rPr>
                <w:rFonts w:hint="eastAsia" w:ascii="仿宋_GB2312" w:hAnsi="宋体" w:cs="宋体"/>
                <w:kern w:val="0"/>
                <w:sz w:val="21"/>
                <w:szCs w:val="21"/>
              </w:rPr>
            </w:pPr>
          </w:p>
        </w:tc>
        <w:tc>
          <w:tcPr>
            <w:tcW w:w="2693" w:type="dxa"/>
            <w:tcBorders>
              <w:tl2br w:val="nil"/>
              <w:tr2bl w:val="nil"/>
            </w:tcBorders>
            <w:shd w:val="clear" w:color="auto" w:fill="FFFFFF"/>
            <w:vAlign w:val="center"/>
          </w:tcPr>
          <w:p w14:paraId="2B64FC4F">
            <w:pPr>
              <w:widowControl/>
              <w:ind w:firstLine="0" w:firstLineChars="0"/>
              <w:jc w:val="left"/>
              <w:rPr>
                <w:rFonts w:hint="eastAsia" w:ascii="宋体" w:hAnsi="宋体" w:eastAsia="宋体" w:cs="宋体"/>
                <w:color w:val="000000"/>
                <w:kern w:val="0"/>
                <w:sz w:val="24"/>
                <w:szCs w:val="24"/>
              </w:rPr>
            </w:pPr>
            <w:r>
              <w:rPr>
                <w:rFonts w:hint="eastAsia" w:ascii="仿宋_GB2312" w:hAnsi="宋体" w:cs="宋体"/>
                <w:kern w:val="0"/>
                <w:sz w:val="24"/>
                <w:szCs w:val="24"/>
              </w:rPr>
              <w:t>考点指挥中心成本</w:t>
            </w:r>
          </w:p>
        </w:tc>
        <w:tc>
          <w:tcPr>
            <w:tcW w:w="898" w:type="dxa"/>
            <w:tcBorders>
              <w:tl2br w:val="nil"/>
              <w:tr2bl w:val="nil"/>
            </w:tcBorders>
            <w:shd w:val="clear" w:color="000000" w:fill="FFFFFF"/>
            <w:vAlign w:val="center"/>
          </w:tcPr>
          <w:p w14:paraId="15584F4B">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4A23B867">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bottom"/>
          </w:tcPr>
          <w:p w14:paraId="0B59D9C9">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100.00%</w:t>
            </w:r>
          </w:p>
        </w:tc>
      </w:tr>
      <w:tr w14:paraId="611DF6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9F3CDFC">
            <w:pPr>
              <w:widowControl/>
              <w:ind w:firstLine="0" w:firstLineChars="0"/>
              <w:jc w:val="center"/>
              <w:rPr>
                <w:rFonts w:hint="eastAsia" w:ascii="仿宋_GB2312" w:hAnsi="宋体" w:cs="宋体"/>
                <w:kern w:val="0"/>
                <w:sz w:val="24"/>
                <w:szCs w:val="24"/>
              </w:rPr>
            </w:pPr>
          </w:p>
        </w:tc>
        <w:tc>
          <w:tcPr>
            <w:tcW w:w="1984" w:type="dxa"/>
            <w:vMerge w:val="continue"/>
            <w:tcBorders>
              <w:tl2br w:val="nil"/>
              <w:tr2bl w:val="nil"/>
            </w:tcBorders>
            <w:shd w:val="clear" w:color="auto" w:fill="FFFFFF"/>
            <w:vAlign w:val="center"/>
          </w:tcPr>
          <w:p w14:paraId="68CC7095">
            <w:pPr>
              <w:widowControl/>
              <w:ind w:firstLine="0" w:firstLineChars="0"/>
              <w:jc w:val="center"/>
              <w:rPr>
                <w:rFonts w:hint="eastAsia" w:ascii="仿宋_GB2312" w:hAnsi="宋体" w:cs="宋体"/>
                <w:kern w:val="0"/>
                <w:sz w:val="21"/>
                <w:szCs w:val="21"/>
              </w:rPr>
            </w:pPr>
          </w:p>
        </w:tc>
        <w:tc>
          <w:tcPr>
            <w:tcW w:w="2693" w:type="dxa"/>
            <w:tcBorders>
              <w:tl2br w:val="nil"/>
              <w:tr2bl w:val="nil"/>
            </w:tcBorders>
            <w:shd w:val="clear" w:color="auto" w:fill="FFFFFF"/>
            <w:vAlign w:val="center"/>
          </w:tcPr>
          <w:p w14:paraId="435861A4">
            <w:pPr>
              <w:widowControl/>
              <w:ind w:firstLine="0" w:firstLineChars="0"/>
              <w:jc w:val="left"/>
              <w:rPr>
                <w:rFonts w:hint="eastAsia" w:ascii="宋体" w:hAnsi="宋体" w:eastAsia="宋体" w:cs="宋体"/>
                <w:color w:val="000000"/>
                <w:kern w:val="0"/>
                <w:sz w:val="24"/>
                <w:szCs w:val="24"/>
              </w:rPr>
            </w:pPr>
            <w:r>
              <w:rPr>
                <w:rFonts w:hint="eastAsia" w:ascii="仿宋_GB2312" w:hAnsi="宋体" w:cs="宋体"/>
                <w:kern w:val="0"/>
                <w:sz w:val="24"/>
                <w:szCs w:val="24"/>
              </w:rPr>
              <w:t>身份认证系统成本</w:t>
            </w:r>
          </w:p>
        </w:tc>
        <w:tc>
          <w:tcPr>
            <w:tcW w:w="898" w:type="dxa"/>
            <w:tcBorders>
              <w:tl2br w:val="nil"/>
              <w:tr2bl w:val="nil"/>
            </w:tcBorders>
            <w:shd w:val="clear" w:color="000000" w:fill="FFFFFF"/>
            <w:vAlign w:val="center"/>
          </w:tcPr>
          <w:p w14:paraId="3626AF00">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4C36C7D7">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4.29</w:t>
            </w:r>
          </w:p>
        </w:tc>
        <w:tc>
          <w:tcPr>
            <w:tcW w:w="1039" w:type="dxa"/>
            <w:tcBorders>
              <w:tl2br w:val="nil"/>
              <w:tr2bl w:val="nil"/>
            </w:tcBorders>
            <w:shd w:val="clear" w:color="000000" w:fill="FFFFFF"/>
            <w:vAlign w:val="bottom"/>
          </w:tcPr>
          <w:p w14:paraId="4FBE7A6F">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85.80%</w:t>
            </w:r>
          </w:p>
        </w:tc>
      </w:tr>
      <w:tr w14:paraId="74400B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4CCCAED3">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14:paraId="6FE0EFC1">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项目效益</w:t>
            </w:r>
          </w:p>
        </w:tc>
        <w:tc>
          <w:tcPr>
            <w:tcW w:w="2693" w:type="dxa"/>
            <w:tcBorders>
              <w:tl2br w:val="nil"/>
              <w:tr2bl w:val="nil"/>
            </w:tcBorders>
            <w:shd w:val="clear" w:color="auto" w:fill="FFFFFF"/>
            <w:vAlign w:val="center"/>
          </w:tcPr>
          <w:p w14:paraId="03B0B99D">
            <w:pPr>
              <w:widowControl/>
              <w:ind w:firstLine="0" w:firstLineChars="0"/>
              <w:jc w:val="left"/>
              <w:rPr>
                <w:rFonts w:hint="eastAsia" w:ascii="仿宋_GB2312" w:hAnsi="宋体" w:cs="宋体"/>
                <w:kern w:val="0"/>
                <w:sz w:val="24"/>
                <w:szCs w:val="24"/>
              </w:rPr>
            </w:pPr>
            <w:r>
              <w:rPr>
                <w:rFonts w:hint="eastAsia" w:ascii="宋体" w:hAnsi="宋体" w:eastAsia="宋体" w:cs="宋体"/>
                <w:color w:val="000000"/>
                <w:kern w:val="0"/>
                <w:sz w:val="22"/>
              </w:rPr>
              <w:t>社会效益指标</w:t>
            </w:r>
          </w:p>
        </w:tc>
        <w:tc>
          <w:tcPr>
            <w:tcW w:w="898" w:type="dxa"/>
            <w:tcBorders>
              <w:tl2br w:val="nil"/>
              <w:tr2bl w:val="nil"/>
            </w:tcBorders>
            <w:shd w:val="clear" w:color="auto" w:fill="FFFFFF"/>
            <w:vAlign w:val="center"/>
          </w:tcPr>
          <w:p w14:paraId="119A0A58">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15</w:t>
            </w:r>
          </w:p>
        </w:tc>
        <w:tc>
          <w:tcPr>
            <w:tcW w:w="898" w:type="dxa"/>
            <w:tcBorders>
              <w:tl2br w:val="nil"/>
              <w:tr2bl w:val="nil"/>
            </w:tcBorders>
            <w:shd w:val="clear" w:color="auto" w:fill="FFFFFF"/>
            <w:vAlign w:val="center"/>
          </w:tcPr>
          <w:p w14:paraId="6B6075B7">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12.75</w:t>
            </w:r>
          </w:p>
        </w:tc>
        <w:tc>
          <w:tcPr>
            <w:tcW w:w="1039" w:type="dxa"/>
            <w:tcBorders>
              <w:tl2br w:val="nil"/>
              <w:tr2bl w:val="nil"/>
            </w:tcBorders>
            <w:shd w:val="clear" w:color="auto" w:fill="FFFFFF"/>
            <w:vAlign w:val="bottom"/>
          </w:tcPr>
          <w:p w14:paraId="2B87B954">
            <w:pPr>
              <w:widowControl/>
              <w:ind w:firstLine="0" w:firstLineChars="0"/>
              <w:jc w:val="center"/>
              <w:rPr>
                <w:rFonts w:hint="eastAsia" w:ascii="仿宋_GB2312" w:hAnsi="宋体" w:cs="宋体"/>
                <w:kern w:val="0"/>
                <w:sz w:val="20"/>
                <w:szCs w:val="20"/>
              </w:rPr>
            </w:pPr>
            <w:r>
              <w:rPr>
                <w:rFonts w:hint="eastAsia" w:ascii="等线" w:hAnsi="等线" w:eastAsia="等线"/>
                <w:color w:val="000000"/>
                <w:sz w:val="20"/>
                <w:szCs w:val="20"/>
              </w:rPr>
              <w:t>85.00%</w:t>
            </w:r>
          </w:p>
        </w:tc>
      </w:tr>
      <w:tr w14:paraId="69D1E2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52F73CF8">
            <w:pPr>
              <w:widowControl/>
              <w:ind w:firstLine="0" w:firstLineChars="0"/>
              <w:jc w:val="center"/>
              <w:rPr>
                <w:rFonts w:hint="eastAsia" w:ascii="仿宋_GB2312" w:hAnsi="宋体" w:cs="宋体"/>
                <w:kern w:val="0"/>
                <w:sz w:val="24"/>
                <w:szCs w:val="24"/>
                <w:highlight w:val="none"/>
              </w:rPr>
            </w:pPr>
            <w:r>
              <w:rPr>
                <w:rFonts w:ascii="宋体" w:hAnsi="宋体" w:eastAsia="宋体" w:cs="宋体"/>
                <w:color w:val="000000"/>
                <w:kern w:val="0"/>
                <w:sz w:val="22"/>
                <w:highlight w:val="none"/>
              </w:rPr>
              <w:t>满意度指标完成情况分析</w:t>
            </w:r>
          </w:p>
        </w:tc>
        <w:tc>
          <w:tcPr>
            <w:tcW w:w="1984" w:type="dxa"/>
            <w:tcBorders>
              <w:tl2br w:val="nil"/>
              <w:tr2bl w:val="nil"/>
            </w:tcBorders>
            <w:shd w:val="clear" w:color="auto" w:fill="FFFFFF"/>
            <w:vAlign w:val="center"/>
          </w:tcPr>
          <w:p w14:paraId="261E5452">
            <w:pPr>
              <w:widowControl/>
              <w:ind w:firstLine="0" w:firstLineChars="0"/>
              <w:jc w:val="center"/>
              <w:rPr>
                <w:rFonts w:hint="eastAsia" w:ascii="仿宋_GB2312" w:hAnsi="宋体" w:cs="宋体"/>
                <w:kern w:val="0"/>
                <w:sz w:val="24"/>
                <w:szCs w:val="24"/>
                <w:highlight w:val="none"/>
              </w:rPr>
            </w:pPr>
            <w:r>
              <w:rPr>
                <w:rFonts w:hint="eastAsia" w:ascii="宋体" w:hAnsi="宋体" w:eastAsia="宋体" w:cs="宋体"/>
                <w:color w:val="000000"/>
                <w:kern w:val="0"/>
                <w:sz w:val="22"/>
                <w:highlight w:val="none"/>
              </w:rPr>
              <w:t>满意度指标</w:t>
            </w:r>
          </w:p>
        </w:tc>
        <w:tc>
          <w:tcPr>
            <w:tcW w:w="2693" w:type="dxa"/>
            <w:tcBorders>
              <w:tl2br w:val="nil"/>
              <w:tr2bl w:val="nil"/>
            </w:tcBorders>
            <w:shd w:val="clear" w:color="auto" w:fill="FFFFFF"/>
            <w:vAlign w:val="center"/>
          </w:tcPr>
          <w:p w14:paraId="3C7C729E">
            <w:pPr>
              <w:widowControl/>
              <w:ind w:firstLine="0" w:firstLineChars="0"/>
              <w:jc w:val="left"/>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lang w:val="en-US" w:eastAsia="zh-CN"/>
              </w:rPr>
              <w:t>学校</w:t>
            </w:r>
            <w:r>
              <w:rPr>
                <w:rFonts w:hint="eastAsia" w:ascii="宋体" w:hAnsi="宋体" w:eastAsia="宋体" w:cs="宋体"/>
                <w:color w:val="000000"/>
                <w:kern w:val="0"/>
                <w:sz w:val="22"/>
                <w:highlight w:val="none"/>
              </w:rPr>
              <w:t>满意度</w:t>
            </w:r>
          </w:p>
        </w:tc>
        <w:tc>
          <w:tcPr>
            <w:tcW w:w="898" w:type="dxa"/>
            <w:tcBorders>
              <w:tl2br w:val="nil"/>
              <w:tr2bl w:val="nil"/>
            </w:tcBorders>
            <w:shd w:val="clear" w:color="000000" w:fill="FFFFFF"/>
            <w:vAlign w:val="center"/>
          </w:tcPr>
          <w:p w14:paraId="6C13392B">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仿宋_GB2312" w:hAnsi="宋体" w:cs="宋体"/>
                <w:kern w:val="0"/>
                <w:sz w:val="24"/>
                <w:szCs w:val="24"/>
                <w:highlight w:val="none"/>
                <w:lang w:val="en-US" w:eastAsia="zh-CN"/>
              </w:rPr>
              <w:t>5</w:t>
            </w:r>
          </w:p>
        </w:tc>
        <w:tc>
          <w:tcPr>
            <w:tcW w:w="898" w:type="dxa"/>
            <w:tcBorders>
              <w:tl2br w:val="nil"/>
              <w:tr2bl w:val="nil"/>
            </w:tcBorders>
            <w:shd w:val="clear" w:color="000000" w:fill="FFFFFF"/>
            <w:vAlign w:val="center"/>
          </w:tcPr>
          <w:p w14:paraId="1B05734A">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5</w:t>
            </w:r>
          </w:p>
        </w:tc>
        <w:tc>
          <w:tcPr>
            <w:tcW w:w="1039" w:type="dxa"/>
            <w:tcBorders>
              <w:tl2br w:val="nil"/>
              <w:tr2bl w:val="nil"/>
            </w:tcBorders>
            <w:shd w:val="clear" w:color="000000" w:fill="FFFFFF"/>
            <w:vAlign w:val="center"/>
          </w:tcPr>
          <w:p w14:paraId="77119C89">
            <w:pPr>
              <w:widowControl/>
              <w:ind w:firstLine="0" w:firstLineChars="0"/>
              <w:jc w:val="center"/>
              <w:rPr>
                <w:rFonts w:hint="eastAsia" w:ascii="仿宋_GB2312" w:hAnsi="宋体" w:cs="宋体"/>
                <w:kern w:val="0"/>
                <w:sz w:val="20"/>
                <w:szCs w:val="20"/>
                <w:highlight w:val="none"/>
              </w:rPr>
            </w:pPr>
            <w:r>
              <w:rPr>
                <w:rFonts w:hint="eastAsia" w:ascii="等线" w:hAnsi="等线" w:eastAsia="等线"/>
                <w:color w:val="000000"/>
                <w:sz w:val="20"/>
                <w:szCs w:val="20"/>
                <w:highlight w:val="none"/>
                <w:lang w:val="en-US" w:eastAsia="zh-CN"/>
              </w:rPr>
              <w:t>100</w:t>
            </w:r>
            <w:r>
              <w:rPr>
                <w:rFonts w:hint="eastAsia" w:ascii="等线" w:hAnsi="等线" w:eastAsia="等线"/>
                <w:color w:val="000000"/>
                <w:sz w:val="20"/>
                <w:szCs w:val="20"/>
                <w:highlight w:val="none"/>
              </w:rPr>
              <w:t>%</w:t>
            </w:r>
          </w:p>
        </w:tc>
      </w:tr>
    </w:tbl>
    <w:p w14:paraId="481FE9E5">
      <w:pPr>
        <w:pStyle w:val="2"/>
        <w:pageBreakBefore w:val="0"/>
        <w:widowControl w:val="0"/>
        <w:kinsoku/>
        <w:wordWrap/>
        <w:overflowPunct/>
        <w:topLinePunct w:val="0"/>
        <w:autoSpaceDN/>
        <w:bidi w:val="0"/>
        <w:adjustRightInd/>
        <w:snapToGrid/>
        <w:spacing w:line="560" w:lineRule="exact"/>
        <w:ind w:firstLine="643"/>
        <w:textAlignment w:val="auto"/>
        <w:rPr>
          <w:rFonts w:hint="eastAsia" w:ascii="仿宋" w:hAnsi="仿宋" w:eastAsia="仿宋"/>
          <w:lang w:bidi="en-US"/>
        </w:rPr>
      </w:pPr>
      <w:bookmarkStart w:id="37" w:name="_Toc67911610"/>
      <w:bookmarkStart w:id="38" w:name="_Toc197478765"/>
      <w:r>
        <w:rPr>
          <w:rFonts w:hint="eastAsia" w:ascii="仿宋" w:hAnsi="仿宋" w:eastAsia="仿宋"/>
          <w:lang w:bidi="en-US"/>
        </w:rPr>
        <w:t>（二）主要绩效</w:t>
      </w:r>
      <w:bookmarkEnd w:id="37"/>
      <w:bookmarkEnd w:id="38"/>
    </w:p>
    <w:p w14:paraId="7C563817">
      <w:pPr>
        <w:pageBreakBefore w:val="0"/>
        <w:widowControl w:val="0"/>
        <w:numPr>
          <w:ilvl w:val="0"/>
          <w:numId w:val="2"/>
        </w:numPr>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该项目资金市财政及时拨付，提升教育考试安全综合保障能力和水平，确保各级各类考试组织安全平稳，各级政府领导对国家教育考</w:t>
      </w:r>
      <w:r>
        <w:rPr>
          <w:rFonts w:ascii="仿宋_GB2312"/>
          <w:szCs w:val="28"/>
        </w:rPr>
        <w:t>试环境建设、综合治理体系建设、信息技术保障提出了新的更高的要求。标准化考点建设是加强考试环境综合治理，提升考试综合治理水平，确保国家教育考试安全公平和教育考试改革平稳顺利实施的重要举措</w:t>
      </w:r>
      <w:r>
        <w:rPr>
          <w:rFonts w:hint="eastAsia" w:ascii="仿宋_GB2312"/>
          <w:szCs w:val="28"/>
        </w:rPr>
        <w:t>。教育部、自治区考试院要求承接国家级、自治区级各级各类考试需在标准化考点进行，全面加强考点考场管理，配足配齐标准化考点建设设施设备，在防止考生替考、防范手机</w:t>
      </w:r>
      <w:r>
        <w:rPr>
          <w:rFonts w:hint="eastAsia" w:ascii="仿宋_GB2312"/>
          <w:szCs w:val="28"/>
          <w:lang w:eastAsia="zh-CN"/>
        </w:rPr>
        <w:t>等</w:t>
      </w:r>
      <w:r>
        <w:rPr>
          <w:rFonts w:hint="eastAsia" w:ascii="仿宋_GB2312"/>
          <w:szCs w:val="28"/>
        </w:rPr>
        <w:t>通讯工具作弊治理、考生身份核验、考前应急演练、</w:t>
      </w:r>
      <w:r>
        <w:rPr>
          <w:rFonts w:ascii="仿宋_GB2312"/>
          <w:szCs w:val="28"/>
        </w:rPr>
        <w:t>考中突发情况处置、考后考生维权查证</w:t>
      </w:r>
      <w:r>
        <w:rPr>
          <w:rFonts w:hint="eastAsia" w:ascii="仿宋_GB2312"/>
          <w:szCs w:val="28"/>
        </w:rPr>
        <w:t>等方面具有长远意义。教育部、自治区考试院要求承接国家级、</w:t>
      </w:r>
      <w:bookmarkStart w:id="39" w:name="OLE_LINK7"/>
      <w:r>
        <w:rPr>
          <w:rFonts w:hint="eastAsia" w:ascii="仿宋_GB2312"/>
          <w:szCs w:val="28"/>
        </w:rPr>
        <w:t>自治区级各级各类考试需在标准化考点进行，全面加强考点考场管理，配足配齐标准化考点建设设施设备，在防止考生替考、防范手机</w:t>
      </w:r>
      <w:r>
        <w:rPr>
          <w:rFonts w:hint="eastAsia" w:ascii="仿宋_GB2312"/>
          <w:szCs w:val="28"/>
          <w:lang w:eastAsia="zh-CN"/>
        </w:rPr>
        <w:t>等</w:t>
      </w:r>
      <w:r>
        <w:rPr>
          <w:rFonts w:hint="eastAsia" w:ascii="仿宋_GB2312"/>
          <w:szCs w:val="28"/>
        </w:rPr>
        <w:t>通讯工具作弊治理、考生身份核验、考前应急演练、</w:t>
      </w:r>
      <w:r>
        <w:rPr>
          <w:rFonts w:ascii="仿宋_GB2312"/>
          <w:szCs w:val="28"/>
        </w:rPr>
        <w:t>考中突发情况处置、考后考生维权查证</w:t>
      </w:r>
      <w:r>
        <w:rPr>
          <w:rFonts w:hint="eastAsia" w:ascii="仿宋_GB2312"/>
          <w:szCs w:val="28"/>
        </w:rPr>
        <w:t>等方面具有长远意义。</w:t>
      </w:r>
      <w:bookmarkEnd w:id="39"/>
      <w:bookmarkStart w:id="40" w:name="_Toc67911611"/>
    </w:p>
    <w:p w14:paraId="01E5FF88">
      <w:pPr>
        <w:pageBreakBefore w:val="0"/>
        <w:widowControl w:val="0"/>
        <w:kinsoku/>
        <w:wordWrap/>
        <w:overflowPunct/>
        <w:topLinePunct w:val="0"/>
        <w:autoSpaceDN/>
        <w:bidi w:val="0"/>
        <w:adjustRightInd/>
        <w:snapToGrid/>
        <w:spacing w:line="560" w:lineRule="exact"/>
        <w:ind w:firstLine="560" w:firstLineChars="200"/>
        <w:textAlignment w:val="auto"/>
        <w:rPr>
          <w:rFonts w:ascii="仿宋_GB2312"/>
        </w:rPr>
      </w:pPr>
      <w:r>
        <w:rPr>
          <w:rFonts w:hint="eastAsia" w:ascii="仿宋_GB2312"/>
        </w:rPr>
        <w:t>项目总预算1650</w:t>
      </w:r>
      <w:r>
        <w:rPr>
          <w:rFonts w:hint="eastAsia" w:ascii="仿宋_GB2312"/>
          <w:lang w:eastAsia="zh-CN"/>
        </w:rPr>
        <w:t>万元</w:t>
      </w:r>
      <w:r>
        <w:rPr>
          <w:rFonts w:hint="eastAsia" w:ascii="仿宋_GB2312"/>
        </w:rPr>
        <w:t>、更新改造建设20个标准化考点实时智能巡查系统、考生身份验证系统、视频会议应急指挥系统相关硬件设备、软件的采购（包含原信息化设备的拆除、新购入设备的安装、信息系统集成、调试、应用培训、</w:t>
      </w:r>
      <w:r>
        <w:rPr>
          <w:rFonts w:hint="eastAsia" w:ascii="仿宋_GB2312"/>
          <w:lang w:val="en-US" w:eastAsia="zh-CN"/>
        </w:rPr>
        <w:t>维修</w:t>
      </w:r>
      <w:r>
        <w:rPr>
          <w:rFonts w:hint="eastAsia" w:ascii="仿宋_GB2312"/>
        </w:rPr>
        <w:t>质保等）。项目采购工作完成及时，项目内容在30个日历日完成，保障各级各类教育考试的顺利平稳有序。</w:t>
      </w:r>
      <w:bookmarkEnd w:id="40"/>
    </w:p>
    <w:p w14:paraId="0ECE36B5">
      <w:pPr>
        <w:pStyle w:val="3"/>
        <w:pageBreakBefore w:val="0"/>
        <w:widowControl w:val="0"/>
        <w:kinsoku/>
        <w:wordWrap/>
        <w:overflowPunct/>
        <w:topLinePunct w:val="0"/>
        <w:autoSpaceDN/>
        <w:bidi w:val="0"/>
        <w:adjustRightInd/>
        <w:snapToGrid/>
        <w:spacing w:line="560" w:lineRule="exact"/>
        <w:ind w:firstLine="0" w:firstLineChars="0"/>
        <w:jc w:val="left"/>
        <w:textAlignment w:val="auto"/>
        <w:rPr>
          <w:rFonts w:hint="eastAsia" w:ascii="仿宋" w:hAnsi="仿宋" w:eastAsia="仿宋"/>
          <w:sz w:val="36"/>
          <w:szCs w:val="36"/>
          <w:lang w:bidi="en-US"/>
        </w:rPr>
      </w:pPr>
      <w:bookmarkStart w:id="41" w:name="_Toc197478766"/>
      <w:bookmarkStart w:id="42" w:name="_Toc67911612"/>
      <w:r>
        <w:rPr>
          <w:rFonts w:hint="eastAsia" w:ascii="仿宋" w:hAnsi="仿宋" w:eastAsia="仿宋"/>
          <w:sz w:val="36"/>
          <w:szCs w:val="36"/>
          <w:lang w:bidi="en-US"/>
        </w:rPr>
        <w:t>四、绩效评价指标分析</w:t>
      </w:r>
      <w:bookmarkEnd w:id="41"/>
    </w:p>
    <w:p w14:paraId="2E78A1BF">
      <w:pPr>
        <w:pStyle w:val="2"/>
        <w:pageBreakBefore w:val="0"/>
        <w:widowControl w:val="0"/>
        <w:kinsoku/>
        <w:wordWrap/>
        <w:overflowPunct/>
        <w:topLinePunct w:val="0"/>
        <w:autoSpaceDN/>
        <w:bidi w:val="0"/>
        <w:adjustRightInd/>
        <w:snapToGrid/>
        <w:spacing w:line="560" w:lineRule="exact"/>
        <w:ind w:firstLine="0" w:firstLineChars="0"/>
        <w:textAlignment w:val="auto"/>
        <w:rPr>
          <w:rFonts w:hint="eastAsia" w:ascii="仿宋" w:hAnsi="仿宋" w:eastAsia="仿宋"/>
          <w:lang w:bidi="en-US"/>
        </w:rPr>
      </w:pPr>
      <w:bookmarkStart w:id="43" w:name="_Toc197478767"/>
      <w:r>
        <w:rPr>
          <w:rFonts w:hint="eastAsia" w:ascii="仿宋" w:hAnsi="仿宋" w:eastAsia="仿宋"/>
          <w:lang w:bidi="en-US"/>
        </w:rPr>
        <w:t>（一）项目决策情况</w:t>
      </w:r>
      <w:bookmarkEnd w:id="42"/>
      <w:bookmarkEnd w:id="43"/>
    </w:p>
    <w:p w14:paraId="40F10656">
      <w:pPr>
        <w:pageBreakBefore w:val="0"/>
        <w:widowControl w:val="0"/>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项目</w:t>
      </w:r>
      <w:r>
        <w:rPr>
          <w:rFonts w:hint="eastAsia" w:ascii="仿宋_GB2312"/>
          <w:szCs w:val="28"/>
          <w:lang w:val="en-US" w:eastAsia="zh-CN"/>
        </w:rPr>
        <w:t>决策</w:t>
      </w:r>
      <w:bookmarkStart w:id="77" w:name="_GoBack"/>
      <w:bookmarkEnd w:id="77"/>
      <w:r>
        <w:rPr>
          <w:rFonts w:hint="eastAsia" w:ascii="仿宋_GB2312"/>
          <w:szCs w:val="28"/>
        </w:rPr>
        <w:t>指标由3个二级指标和6个三级指标构成，权重为</w:t>
      </w:r>
      <w:r>
        <w:rPr>
          <w:rFonts w:ascii="仿宋_GB2312"/>
          <w:szCs w:val="28"/>
        </w:rPr>
        <w:t>20</w:t>
      </w:r>
      <w:r>
        <w:rPr>
          <w:rFonts w:hint="eastAsia" w:ascii="仿宋_GB2312"/>
          <w:szCs w:val="28"/>
        </w:rPr>
        <w:t>分，实际得分</w:t>
      </w:r>
      <w:r>
        <w:rPr>
          <w:rFonts w:ascii="仿宋_GB2312"/>
          <w:szCs w:val="28"/>
        </w:rPr>
        <w:t>20</w:t>
      </w:r>
      <w:r>
        <w:rPr>
          <w:rFonts w:hint="eastAsia" w:ascii="仿宋_GB2312"/>
          <w:szCs w:val="28"/>
        </w:rPr>
        <w:t>分。</w:t>
      </w:r>
    </w:p>
    <w:p w14:paraId="68C26C10">
      <w:pPr>
        <w:pStyle w:val="4"/>
        <w:pageBreakBefore w:val="0"/>
        <w:widowControl w:val="0"/>
        <w:kinsoku/>
        <w:wordWrap/>
        <w:overflowPunct/>
        <w:topLinePunct w:val="0"/>
        <w:autoSpaceDN/>
        <w:bidi w:val="0"/>
        <w:adjustRightInd/>
        <w:snapToGrid/>
        <w:spacing w:line="560" w:lineRule="exact"/>
        <w:ind w:firstLine="643"/>
        <w:textAlignment w:val="auto"/>
      </w:pPr>
      <w:bookmarkStart w:id="44" w:name="_Toc197478768"/>
      <w:r>
        <w:t>1.</w:t>
      </w:r>
      <w:r>
        <w:rPr>
          <w:rFonts w:hint="eastAsia"/>
        </w:rPr>
        <w:t>项目立项</w:t>
      </w:r>
      <w:bookmarkEnd w:id="44"/>
    </w:p>
    <w:p w14:paraId="7D955110">
      <w:pPr>
        <w:pageBreakBefore w:val="0"/>
        <w:widowControl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立项依据充分性</w:t>
      </w:r>
      <w:r>
        <w:rPr>
          <w:rFonts w:hint="eastAsia" w:ascii="仿宋_GB2312"/>
          <w:szCs w:val="28"/>
        </w:rPr>
        <w:t>：项目立项符合国家法律法规、政策要求</w:t>
      </w:r>
      <w:r>
        <w:rPr>
          <w:rFonts w:ascii="仿宋_GB2312"/>
          <w:szCs w:val="28"/>
        </w:rPr>
        <w:t>《教育部办公厅关于全面开展国家教育考试综合管理服务平台建设工作的通知》（教学厅函</w:t>
      </w:r>
      <w:r>
        <w:rPr>
          <w:rFonts w:hint="eastAsia" w:ascii="仿宋_GB2312"/>
          <w:color w:val="auto"/>
        </w:rPr>
        <w:t>〔202</w:t>
      </w:r>
      <w:r>
        <w:rPr>
          <w:rFonts w:hint="eastAsia" w:ascii="仿宋_GB2312"/>
          <w:color w:val="auto"/>
          <w:lang w:val="en-US" w:eastAsia="zh-CN"/>
        </w:rPr>
        <w:t>1</w:t>
      </w:r>
      <w:r>
        <w:rPr>
          <w:rFonts w:hint="eastAsia" w:ascii="仿宋_GB2312"/>
          <w:color w:val="auto"/>
        </w:rPr>
        <w:t>〕</w:t>
      </w:r>
      <w:r>
        <w:rPr>
          <w:rFonts w:ascii="仿宋_GB2312"/>
          <w:szCs w:val="28"/>
        </w:rPr>
        <w:t>9号）通知明确要求：“各省（区、市）要将平台建设纳入“十四五”规划，坚持“统一规划、协力共建；多考统筹、</w:t>
      </w:r>
      <w:r>
        <w:rPr>
          <w:rFonts w:hint="eastAsia" w:ascii="仿宋_GB2312"/>
          <w:szCs w:val="28"/>
        </w:rPr>
        <w:t>资源</w:t>
      </w:r>
      <w:r>
        <w:rPr>
          <w:rFonts w:ascii="仿宋_GB2312"/>
          <w:szCs w:val="28"/>
        </w:rPr>
        <w:t>共享；突出重点、注重实效”的建设原则，遵循“两级建设、五级应用”的建设模式，围绕“业务、数据、指挥”三条主线，积极推进平台建设</w:t>
      </w:r>
      <w:r>
        <w:rPr>
          <w:rFonts w:hint="eastAsia" w:ascii="仿宋_GB2312"/>
          <w:szCs w:val="28"/>
        </w:rPr>
        <w:t>；</w:t>
      </w:r>
      <w:r>
        <w:rPr>
          <w:rFonts w:ascii="仿宋_GB2312"/>
          <w:szCs w:val="28"/>
        </w:rPr>
        <w:t>建设和完善具有身份认证、试卷跟踪、作弊防控、标准化考点管理等功能的教育考试综合管理平台；</w:t>
      </w:r>
      <w:r>
        <w:rPr>
          <w:rFonts w:hint="eastAsia" w:ascii="仿宋_GB2312"/>
          <w:szCs w:val="28"/>
        </w:rPr>
        <w:t>本次项目建设的巡查系统部分依据《国家教育考试网上巡查系统视频标准技术规范（2017版）》规范将原有巡查系统进行升级改造，并建设身份验证系统和应急指挥系统，符合国家法律法规、国民经济发展规划和相关政策，</w:t>
      </w:r>
      <w:r>
        <w:rPr>
          <w:rFonts w:hint="eastAsia" w:ascii="仿宋_GB2312"/>
          <w:szCs w:val="28"/>
          <w:lang w:eastAsia="zh-CN"/>
        </w:rPr>
        <w:t>教育部</w:t>
      </w:r>
      <w:r>
        <w:rPr>
          <w:rFonts w:hint="eastAsia" w:ascii="仿宋_GB2312"/>
          <w:szCs w:val="28"/>
        </w:rPr>
        <w:t>出台相应的标准技术规范，并在历年的高考、研究生入学考试等社会关注度高的考试前，提出新的规划方案及要求。同时，标准化考点建设改造项目与市教育招生考试中心职责范围相符，属于部门履职所需。此外，本项目属于公共财政支持范围，符合中央、地方事权支出责任划分原则。因此，立项依据充分，得4分。</w:t>
      </w:r>
    </w:p>
    <w:p w14:paraId="44A5AA22">
      <w:pPr>
        <w:pageBreakBefore w:val="0"/>
        <w:widowControl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rPr>
        <w:t>项目按照规定的程序申请设立，符合</w:t>
      </w:r>
      <w:r>
        <w:rPr>
          <w:rFonts w:hint="eastAsia" w:ascii="仿宋_GB2312"/>
        </w:rPr>
        <w:t>《关于2024年市本级部门预算的批复》（</w:t>
      </w:r>
      <w:r>
        <w:rPr>
          <w:rFonts w:hint="eastAsia" w:ascii="仿宋_GB2312"/>
          <w:color w:val="auto"/>
        </w:rPr>
        <w:t>乌财科教〔2024〕2号）文</w:t>
      </w:r>
      <w:r>
        <w:rPr>
          <w:rFonts w:hint="eastAsia" w:ascii="仿宋_GB2312"/>
        </w:rPr>
        <w:t>件要求</w:t>
      </w:r>
      <w:r>
        <w:rPr>
          <w:rFonts w:hint="eastAsia" w:ascii="仿宋_GB2312"/>
          <w:szCs w:val="28"/>
        </w:rPr>
        <w:t>、故立项程序规范</w:t>
      </w:r>
      <w:r>
        <w:rPr>
          <w:rFonts w:hint="eastAsia" w:ascii="仿宋_GB2312"/>
        </w:rPr>
        <w:t>，事前已经通过必要的可行性研究、专家论证、风险评估、绩效评估、集体决策。因此，立项程序规范，得4分</w:t>
      </w:r>
    </w:p>
    <w:p w14:paraId="40D13BC3">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分，得分8分。</w:t>
      </w:r>
    </w:p>
    <w:p w14:paraId="5D9E1E05">
      <w:pPr>
        <w:pStyle w:val="4"/>
        <w:pageBreakBefore w:val="0"/>
        <w:widowControl w:val="0"/>
        <w:kinsoku/>
        <w:wordWrap/>
        <w:overflowPunct/>
        <w:topLinePunct w:val="0"/>
        <w:autoSpaceDN/>
        <w:bidi w:val="0"/>
        <w:adjustRightInd/>
        <w:snapToGrid/>
        <w:spacing w:line="560" w:lineRule="exact"/>
        <w:ind w:firstLine="643"/>
        <w:textAlignment w:val="auto"/>
      </w:pPr>
      <w:bookmarkStart w:id="45" w:name="_Toc197478769"/>
      <w:r>
        <w:rPr>
          <w:rFonts w:hint="eastAsia"/>
        </w:rPr>
        <w:t>2</w:t>
      </w:r>
      <w:r>
        <w:t>.</w:t>
      </w:r>
      <w:r>
        <w:rPr>
          <w:rFonts w:hint="eastAsia"/>
        </w:rPr>
        <w:t>绩效目标</w:t>
      </w:r>
      <w:bookmarkEnd w:id="45"/>
    </w:p>
    <w:p w14:paraId="52411FB6">
      <w:pPr>
        <w:pageBreakBefore w:val="0"/>
        <w:widowControl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517D1600">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包括向20个改造的标准化考点学校发放问卷调查的方式，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5DD29E9B">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749DF7F6">
      <w:pPr>
        <w:pStyle w:val="4"/>
        <w:pageBreakBefore w:val="0"/>
        <w:widowControl w:val="0"/>
        <w:kinsoku/>
        <w:wordWrap/>
        <w:overflowPunct/>
        <w:topLinePunct w:val="0"/>
        <w:autoSpaceDN/>
        <w:bidi w:val="0"/>
        <w:adjustRightInd/>
        <w:snapToGrid/>
        <w:spacing w:line="560" w:lineRule="exact"/>
        <w:ind w:firstLine="643"/>
        <w:textAlignment w:val="auto"/>
      </w:pPr>
      <w:bookmarkStart w:id="46" w:name="_Toc197478770"/>
      <w:r>
        <w:rPr>
          <w:rFonts w:hint="eastAsia"/>
        </w:rPr>
        <w:t>3.资金投入</w:t>
      </w:r>
      <w:bookmarkEnd w:id="46"/>
    </w:p>
    <w:p w14:paraId="3FF70D42">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仿宋_GB2312" w:hAnsi="仿宋" w:cs="宋体"/>
          <w:bCs/>
          <w:kern w:val="0"/>
          <w:szCs w:val="28"/>
        </w:rPr>
      </w:pPr>
      <w:r>
        <w:rPr>
          <w:rFonts w:hint="eastAsia" w:ascii="仿宋_GB2312" w:hAnsi="仿宋" w:cs="宋体"/>
          <w:b/>
          <w:kern w:val="0"/>
          <w:szCs w:val="28"/>
        </w:rPr>
        <w:t>预算编制科学性：</w:t>
      </w:r>
      <w:r>
        <w:rPr>
          <w:rFonts w:ascii="仿宋_GB2312"/>
        </w:rPr>
        <w:t>2024</w:t>
      </w:r>
      <w:r>
        <w:rPr>
          <w:rFonts w:hint="eastAsia" w:ascii="仿宋_GB2312"/>
        </w:rPr>
        <w:t>年乌鲁木齐市教育招生考试中心标准化考点改造设备采购项目经过前期与自治区教育考试院信息处函询，得到项目相关建设依据、政策标准、建设规范等指导性意见，参考近期乌市101中学、农大附中等自行改造建设的设备采购方案，以及同期伊犁州教育局批量改造建设标准化考点的编制方案，结合我市标准化考点实际情况，科学有效的测算项目所需购置费用</w:t>
      </w:r>
      <w:r>
        <w:rPr>
          <w:rFonts w:hint="eastAsia" w:ascii="仿宋_GB2312" w:hAnsi="仿宋" w:cs="宋体"/>
          <w:b/>
          <w:kern w:val="0"/>
          <w:szCs w:val="28"/>
        </w:rPr>
        <w:t>。</w:t>
      </w: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w:t>
      </w:r>
    </w:p>
    <w:p w14:paraId="6C1B8986">
      <w:pPr>
        <w:pageBreakBefore w:val="0"/>
        <w:widowControl w:val="0"/>
        <w:kinsoku/>
        <w:wordWrap/>
        <w:overflowPunct/>
        <w:topLinePunct w:val="0"/>
        <w:autoSpaceDE w:val="0"/>
        <w:autoSpaceDN/>
        <w:bidi w:val="0"/>
        <w:adjustRightInd/>
        <w:snapToGrid/>
        <w:spacing w:line="560" w:lineRule="exact"/>
        <w:ind w:firstLine="0" w:firstLineChars="0"/>
        <w:textAlignment w:val="auto"/>
        <w:rPr>
          <w:rFonts w:hint="eastAsia" w:ascii="仿宋_GB2312" w:hAnsi="仿宋" w:cs="宋体"/>
          <w:bCs/>
          <w:kern w:val="0"/>
          <w:szCs w:val="28"/>
        </w:rPr>
      </w:pPr>
    </w:p>
    <w:p w14:paraId="54EF1195">
      <w:pPr>
        <w:pageBreakBefore w:val="0"/>
        <w:widowControl w:val="0"/>
        <w:kinsoku/>
        <w:wordWrap/>
        <w:overflowPunct/>
        <w:topLinePunct w:val="0"/>
        <w:autoSpaceDN/>
        <w:bidi w:val="0"/>
        <w:adjustRightInd/>
        <w:snapToGrid/>
        <w:spacing w:line="560" w:lineRule="exact"/>
        <w:ind w:firstLine="562"/>
        <w:textAlignment w:val="auto"/>
        <w:rPr>
          <w:rFonts w:ascii="仿宋_GB2312"/>
        </w:rPr>
      </w:pPr>
      <w:r>
        <w:rPr>
          <w:rFonts w:hint="eastAsia"/>
          <w:b/>
          <w:bCs/>
        </w:rPr>
        <w:t>资金分配合理性</w:t>
      </w:r>
      <w:r>
        <w:rPr>
          <w:rFonts w:hint="eastAsia"/>
        </w:rPr>
        <w:t>：</w:t>
      </w:r>
      <w:r>
        <w:t xml:space="preserve"> </w:t>
      </w:r>
      <w:r>
        <w:rPr>
          <w:rFonts w:hint="eastAsia" w:ascii="仿宋_GB2312"/>
        </w:rPr>
        <w:t>根据前期预算编制情况，本采购项目重点建设：视频会议系统、考点指挥中心</w:t>
      </w:r>
      <w:bookmarkStart w:id="47" w:name="OLE_LINK8"/>
      <w:r>
        <w:rPr>
          <w:rFonts w:hint="eastAsia" w:ascii="仿宋_GB2312"/>
        </w:rPr>
        <w:t>（考场巡查系统汇聚机房）</w:t>
      </w:r>
      <w:bookmarkEnd w:id="47"/>
      <w:r>
        <w:rPr>
          <w:rFonts w:hint="eastAsia" w:ascii="仿宋_GB2312"/>
        </w:rPr>
        <w:t>、身份认证系统三方面建设。</w:t>
      </w:r>
    </w:p>
    <w:p w14:paraId="4279E247">
      <w:pPr>
        <w:pageBreakBefore w:val="0"/>
        <w:widowControl w:val="0"/>
        <w:kinsoku/>
        <w:wordWrap/>
        <w:overflowPunct/>
        <w:topLinePunct w:val="0"/>
        <w:autoSpaceDN/>
        <w:bidi w:val="0"/>
        <w:adjustRightInd/>
        <w:snapToGrid/>
        <w:spacing w:line="560" w:lineRule="exact"/>
        <w:ind w:firstLine="560"/>
        <w:textAlignment w:val="auto"/>
        <w:rPr>
          <w:rFonts w:ascii="仿宋_GB2312"/>
        </w:rPr>
      </w:pPr>
      <w:bookmarkStart w:id="48" w:name="OLE_LINK1"/>
      <w:r>
        <w:rPr>
          <w:rFonts w:hint="eastAsia" w:ascii="仿宋_GB2312"/>
        </w:rPr>
        <w:t>其中</w:t>
      </w:r>
      <w:r>
        <w:rPr>
          <w:rFonts w:hint="eastAsia" w:ascii="仿宋_GB2312"/>
          <w:lang w:eastAsia="zh-CN"/>
        </w:rPr>
        <w:t>：</w:t>
      </w:r>
      <w:r>
        <w:rPr>
          <w:rFonts w:hint="eastAsia" w:ascii="仿宋_GB2312"/>
        </w:rPr>
        <w:t>视频会议系统资金132.36万</w:t>
      </w:r>
      <w:r>
        <w:rPr>
          <w:rFonts w:hint="eastAsia" w:ascii="仿宋_GB2312"/>
          <w:lang w:val="en-US" w:eastAsia="zh-CN"/>
        </w:rPr>
        <w:t>元、</w:t>
      </w:r>
      <w:r>
        <w:rPr>
          <w:rFonts w:hint="eastAsia" w:ascii="仿宋_GB2312"/>
        </w:rPr>
        <w:t>考点指挥中心（考场巡查系统汇聚机房）资金926.2万</w:t>
      </w:r>
      <w:r>
        <w:rPr>
          <w:rFonts w:hint="eastAsia" w:ascii="仿宋_GB2312"/>
          <w:lang w:val="en-US" w:eastAsia="zh-CN"/>
        </w:rPr>
        <w:t>元、</w:t>
      </w:r>
      <w:r>
        <w:rPr>
          <w:rFonts w:hint="eastAsia" w:ascii="仿宋_GB2312"/>
        </w:rPr>
        <w:t>身份认证系统资金591.44万</w:t>
      </w:r>
      <w:r>
        <w:rPr>
          <w:rFonts w:hint="eastAsia" w:ascii="仿宋_GB2312"/>
          <w:lang w:val="en-US" w:eastAsia="zh-CN"/>
        </w:rPr>
        <w:t>元</w:t>
      </w:r>
      <w:r>
        <w:rPr>
          <w:rFonts w:ascii="仿宋_GB2312"/>
        </w:rPr>
        <w:t xml:space="preserve"> </w:t>
      </w:r>
      <w:r>
        <w:rPr>
          <w:rFonts w:hint="eastAsia" w:ascii="仿宋_GB2312"/>
        </w:rPr>
        <w:t>。</w:t>
      </w:r>
    </w:p>
    <w:p w14:paraId="17F1723B">
      <w:pPr>
        <w:pageBreakBefore w:val="0"/>
        <w:widowControl w:val="0"/>
        <w:kinsoku/>
        <w:wordWrap/>
        <w:overflowPunct/>
        <w:topLinePunct w:val="0"/>
        <w:autoSpaceDN/>
        <w:bidi w:val="0"/>
        <w:adjustRightInd/>
        <w:snapToGrid/>
        <w:spacing w:line="560" w:lineRule="exact"/>
        <w:ind w:firstLine="560"/>
        <w:textAlignment w:val="auto"/>
        <w:rPr>
          <w:rFonts w:ascii="仿宋_GB2312"/>
        </w:rPr>
      </w:pPr>
      <w:r>
        <w:rPr>
          <w:rFonts w:hint="eastAsia" w:ascii="仿宋_GB2312"/>
        </w:rPr>
        <w:t>三大系统的建设（包含必要的综合布线、人工调试、耗材等）根据不同设备的功能性能指标，总体建设目标保证系统能与</w:t>
      </w:r>
      <w:r>
        <w:rPr>
          <w:rFonts w:hint="eastAsia" w:ascii="仿宋_GB2312"/>
          <w:lang w:eastAsia="zh-CN"/>
        </w:rPr>
        <w:t>教育部</w:t>
      </w:r>
      <w:r>
        <w:rPr>
          <w:rFonts w:hint="eastAsia" w:ascii="仿宋_GB2312"/>
        </w:rPr>
        <w:t>、自治区教育厅、市本级、区县、考点级功能应用互联互通。各系统资金分配可以完全保证系统功能实现，确保总体建设目标达成。</w:t>
      </w:r>
      <w:bookmarkEnd w:id="48"/>
      <w:r>
        <w:rPr>
          <w:rFonts w:hint="eastAsia" w:ascii="仿宋_GB2312"/>
        </w:rPr>
        <w:t>故资金分配合理性指标得分</w:t>
      </w:r>
      <w:r>
        <w:rPr>
          <w:rFonts w:ascii="仿宋_GB2312"/>
        </w:rPr>
        <w:t>3</w:t>
      </w:r>
      <w:r>
        <w:rPr>
          <w:rFonts w:hint="eastAsia" w:ascii="仿宋_GB2312"/>
        </w:rPr>
        <w:t>分。</w:t>
      </w:r>
    </w:p>
    <w:p w14:paraId="2FBBCC9A">
      <w:pPr>
        <w:pageBreakBefore w:val="0"/>
        <w:widowControl w:val="0"/>
        <w:kinsoku/>
        <w:wordWrap/>
        <w:overflowPunct/>
        <w:topLinePunct w:val="0"/>
        <w:autoSpaceDE w:val="0"/>
        <w:autoSpaceDN/>
        <w:bidi w:val="0"/>
        <w:adjustRightInd/>
        <w:snapToGrid/>
        <w:spacing w:line="560" w:lineRule="exact"/>
        <w:ind w:firstLine="560"/>
        <w:textAlignment w:val="auto"/>
        <w:rPr>
          <w:rFonts w:ascii="仿宋_GB2312"/>
        </w:rPr>
      </w:pPr>
      <w:r>
        <w:rPr>
          <w:rFonts w:hint="eastAsia" w:ascii="仿宋_GB2312"/>
        </w:rPr>
        <w:t>综上，该指标满分</w:t>
      </w:r>
      <w:r>
        <w:rPr>
          <w:rFonts w:ascii="仿宋_GB2312"/>
        </w:rPr>
        <w:t>6</w:t>
      </w:r>
      <w:r>
        <w:rPr>
          <w:rFonts w:hint="eastAsia" w:ascii="仿宋_GB2312"/>
        </w:rPr>
        <w:t>分，得分6分。</w:t>
      </w:r>
    </w:p>
    <w:p w14:paraId="0C3EF0C2">
      <w:pPr>
        <w:pStyle w:val="2"/>
        <w:pageBreakBefore w:val="0"/>
        <w:widowControl w:val="0"/>
        <w:kinsoku/>
        <w:wordWrap/>
        <w:overflowPunct/>
        <w:topLinePunct w:val="0"/>
        <w:autoSpaceDN/>
        <w:bidi w:val="0"/>
        <w:adjustRightInd/>
        <w:snapToGrid/>
        <w:spacing w:line="560" w:lineRule="exact"/>
        <w:ind w:firstLine="643"/>
        <w:textAlignment w:val="auto"/>
        <w:rPr>
          <w:rFonts w:hint="eastAsia" w:ascii="仿宋" w:hAnsi="仿宋" w:eastAsia="仿宋"/>
          <w:lang w:bidi="en-US"/>
        </w:rPr>
      </w:pPr>
      <w:bookmarkStart w:id="49" w:name="_Toc197478771"/>
      <w:bookmarkStart w:id="50" w:name="_Toc67911613"/>
      <w:r>
        <w:rPr>
          <w:rFonts w:hint="eastAsia" w:ascii="仿宋" w:hAnsi="仿宋" w:eastAsia="仿宋"/>
          <w:lang w:bidi="en-US"/>
        </w:rPr>
        <w:t>（二）项目过程情况</w:t>
      </w:r>
      <w:bookmarkEnd w:id="49"/>
      <w:bookmarkEnd w:id="50"/>
    </w:p>
    <w:p w14:paraId="412565BD">
      <w:pPr>
        <w:pageBreakBefore w:val="0"/>
        <w:widowControl w:val="0"/>
        <w:kinsoku/>
        <w:wordWrap/>
        <w:overflowPunct/>
        <w:topLinePunct w:val="0"/>
        <w:autoSpaceDN/>
        <w:bidi w:val="0"/>
        <w:adjustRightInd/>
        <w:snapToGrid/>
        <w:spacing w:line="560" w:lineRule="exact"/>
        <w:ind w:firstLine="560"/>
        <w:textAlignment w:val="auto"/>
        <w:rPr>
          <w:rFonts w:ascii="仿宋_GB2312"/>
          <w:szCs w:val="28"/>
          <w:highlight w:val="none"/>
        </w:rPr>
      </w:pPr>
      <w:r>
        <w:rPr>
          <w:rFonts w:hint="eastAsia" w:ascii="仿宋_GB2312"/>
          <w:szCs w:val="28"/>
          <w:highlight w:val="none"/>
        </w:rPr>
        <w:t>项目过程指标由2个二级指标和</w:t>
      </w:r>
      <w:r>
        <w:rPr>
          <w:rFonts w:ascii="仿宋_GB2312"/>
          <w:szCs w:val="28"/>
          <w:highlight w:val="none"/>
        </w:rPr>
        <w:t>5</w:t>
      </w:r>
      <w:r>
        <w:rPr>
          <w:rFonts w:hint="eastAsia" w:ascii="仿宋_GB2312"/>
          <w:szCs w:val="28"/>
          <w:highlight w:val="none"/>
        </w:rPr>
        <w:t>个三级指标构成，权重为</w:t>
      </w:r>
      <w:r>
        <w:rPr>
          <w:rFonts w:ascii="仿宋_GB2312"/>
          <w:szCs w:val="28"/>
          <w:highlight w:val="none"/>
        </w:rPr>
        <w:t>20</w:t>
      </w:r>
      <w:r>
        <w:rPr>
          <w:rFonts w:hint="eastAsia" w:ascii="仿宋_GB2312"/>
          <w:szCs w:val="28"/>
          <w:highlight w:val="none"/>
        </w:rPr>
        <w:t>分，实际得分19.7</w:t>
      </w:r>
      <w:r>
        <w:rPr>
          <w:rFonts w:hint="eastAsia" w:ascii="仿宋_GB2312"/>
          <w:szCs w:val="28"/>
          <w:highlight w:val="none"/>
          <w:lang w:val="en-US" w:eastAsia="zh-CN"/>
        </w:rPr>
        <w:t>4</w:t>
      </w:r>
      <w:r>
        <w:rPr>
          <w:rFonts w:hint="eastAsia" w:ascii="仿宋_GB2312"/>
          <w:szCs w:val="28"/>
          <w:highlight w:val="none"/>
        </w:rPr>
        <w:t>分。</w:t>
      </w:r>
    </w:p>
    <w:p w14:paraId="66C35504">
      <w:pPr>
        <w:pStyle w:val="4"/>
        <w:pageBreakBefore w:val="0"/>
        <w:widowControl w:val="0"/>
        <w:kinsoku/>
        <w:wordWrap/>
        <w:overflowPunct/>
        <w:topLinePunct w:val="0"/>
        <w:autoSpaceDN/>
        <w:bidi w:val="0"/>
        <w:adjustRightInd/>
        <w:snapToGrid/>
        <w:spacing w:line="560" w:lineRule="exact"/>
        <w:ind w:firstLine="643"/>
        <w:textAlignment w:val="auto"/>
        <w:rPr>
          <w:highlight w:val="none"/>
        </w:rPr>
      </w:pPr>
      <w:bookmarkStart w:id="51" w:name="_Toc197478772"/>
      <w:r>
        <w:rPr>
          <w:highlight w:val="none"/>
        </w:rPr>
        <w:t>1.</w:t>
      </w:r>
      <w:r>
        <w:rPr>
          <w:rFonts w:hint="eastAsia"/>
          <w:highlight w:val="none"/>
        </w:rPr>
        <w:t>资金管理</w:t>
      </w:r>
      <w:bookmarkEnd w:id="51"/>
    </w:p>
    <w:p w14:paraId="1D6D8975">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方正仿宋_GB2312" w:cs="Times New Roman"/>
          <w:b w:val="0"/>
          <w:bCs w:val="0"/>
          <w:color w:val="000000" w:themeColor="text1"/>
          <w:kern w:val="0"/>
          <w:szCs w:val="28"/>
          <w:highlight w:val="none"/>
          <w14:textFill>
            <w14:solidFill>
              <w14:schemeClr w14:val="tx1"/>
            </w14:solidFill>
          </w14:textFill>
        </w:rPr>
      </w:pPr>
      <w:r>
        <w:rPr>
          <w:rFonts w:hint="default" w:ascii="Times New Roman" w:hAnsi="Times New Roman" w:eastAsia="方正仿宋_GB2312" w:cs="Times New Roman"/>
          <w:b w:val="0"/>
          <w:bCs w:val="0"/>
          <w:color w:val="000000" w:themeColor="text1"/>
          <w:kern w:val="0"/>
          <w:szCs w:val="28"/>
          <w:highlight w:val="none"/>
          <w14:textFill>
            <w14:solidFill>
              <w14:schemeClr w14:val="tx1"/>
            </w14:solidFill>
          </w14:textFill>
        </w:rPr>
        <w:t>资金到位率： 该项目资金由财政拨付，项目资金批复日期为2024年12月12日。年初预算合计1650万元，到位</w:t>
      </w:r>
      <w:r>
        <w:rPr>
          <w:rFonts w:hint="default" w:ascii="Times New Roman" w:hAnsi="Times New Roman" w:eastAsia="方正仿宋_GB2312" w:cs="Times New Roman"/>
          <w:b w:val="0"/>
          <w:bCs w:val="0"/>
          <w:color w:val="000000" w:themeColor="text1"/>
          <w:kern w:val="0"/>
          <w:szCs w:val="28"/>
          <w:highlight w:val="none"/>
          <w:lang w:val="en-US" w:eastAsia="zh-CN"/>
          <w14:textFill>
            <w14:solidFill>
              <w14:schemeClr w14:val="tx1"/>
            </w14:solidFill>
          </w14:textFill>
        </w:rPr>
        <w:t>1650</w:t>
      </w:r>
      <w:r>
        <w:rPr>
          <w:rFonts w:hint="default" w:ascii="Times New Roman" w:hAnsi="Times New Roman" w:eastAsia="方正仿宋_GB2312" w:cs="Times New Roman"/>
          <w:b w:val="0"/>
          <w:bCs w:val="0"/>
          <w:color w:val="000000" w:themeColor="text1"/>
          <w:kern w:val="0"/>
          <w:szCs w:val="28"/>
          <w:highlight w:val="none"/>
          <w14:textFill>
            <w14:solidFill>
              <w14:schemeClr w14:val="tx1"/>
            </w14:solidFill>
          </w14:textFill>
        </w:rPr>
        <w:t>万元。到位率</w:t>
      </w:r>
      <w:r>
        <w:rPr>
          <w:rFonts w:hint="default" w:ascii="Times New Roman" w:hAnsi="Times New Roman" w:eastAsia="方正仿宋_GB2312" w:cs="Times New Roman"/>
          <w:b w:val="0"/>
          <w:bCs w:val="0"/>
          <w:color w:val="000000" w:themeColor="text1"/>
          <w:kern w:val="0"/>
          <w:szCs w:val="28"/>
          <w:highlight w:val="none"/>
          <w:lang w:val="en-US" w:eastAsia="zh-CN"/>
          <w14:textFill>
            <w14:solidFill>
              <w14:schemeClr w14:val="tx1"/>
            </w14:solidFill>
          </w14:textFill>
        </w:rPr>
        <w:t>100</w:t>
      </w:r>
      <w:r>
        <w:rPr>
          <w:rFonts w:hint="default" w:ascii="Times New Roman" w:hAnsi="Times New Roman" w:eastAsia="方正仿宋_GB2312" w:cs="Times New Roman"/>
          <w:b w:val="0"/>
          <w:bCs w:val="0"/>
          <w:color w:val="000000" w:themeColor="text1"/>
          <w:kern w:val="0"/>
          <w:szCs w:val="28"/>
          <w:highlight w:val="none"/>
          <w14:textFill>
            <w14:solidFill>
              <w14:schemeClr w14:val="tx1"/>
            </w14:solidFill>
          </w14:textFill>
        </w:rPr>
        <w:t>%，故资金到位率指标得分</w:t>
      </w:r>
      <w:r>
        <w:rPr>
          <w:rFonts w:hint="default" w:ascii="Times New Roman" w:hAnsi="Times New Roman" w:eastAsia="方正仿宋_GB2312" w:cs="Times New Roman"/>
          <w:b w:val="0"/>
          <w:bCs w:val="0"/>
          <w:color w:val="000000" w:themeColor="text1"/>
          <w:kern w:val="0"/>
          <w:szCs w:val="28"/>
          <w:highlight w:val="none"/>
          <w:lang w:val="en-US" w:eastAsia="zh-CN"/>
          <w14:textFill>
            <w14:solidFill>
              <w14:schemeClr w14:val="tx1"/>
            </w14:solidFill>
          </w14:textFill>
        </w:rPr>
        <w:t>5</w:t>
      </w:r>
      <w:r>
        <w:rPr>
          <w:rFonts w:hint="default" w:ascii="Times New Roman" w:hAnsi="Times New Roman" w:eastAsia="方正仿宋_GB2312" w:cs="Times New Roman"/>
          <w:b w:val="0"/>
          <w:bCs w:val="0"/>
          <w:color w:val="000000" w:themeColor="text1"/>
          <w:kern w:val="0"/>
          <w:szCs w:val="28"/>
          <w:highlight w:val="none"/>
          <w14:textFill>
            <w14:solidFill>
              <w14:schemeClr w14:val="tx1"/>
            </w14:solidFill>
          </w14:textFill>
        </w:rPr>
        <w:t>分。</w:t>
      </w:r>
    </w:p>
    <w:p w14:paraId="1F5B47CB">
      <w:pPr>
        <w:pageBreakBefore w:val="0"/>
        <w:widowControl w:val="0"/>
        <w:kinsoku/>
        <w:wordWrap/>
        <w:overflowPunct/>
        <w:topLinePunct w:val="0"/>
        <w:autoSpaceDN/>
        <w:bidi w:val="0"/>
        <w:adjustRightInd/>
        <w:snapToGrid/>
        <w:spacing w:line="560" w:lineRule="exact"/>
        <w:ind w:firstLine="562"/>
        <w:textAlignment w:val="auto"/>
        <w:rPr>
          <w:rFonts w:ascii="仿宋_GB2312"/>
          <w:color w:val="000000" w:themeColor="text1"/>
          <w:szCs w:val="28"/>
          <w:highlight w:val="none"/>
          <w14:textFill>
            <w14:solidFill>
              <w14:schemeClr w14:val="tx1"/>
            </w14:solidFill>
          </w14:textFill>
        </w:rPr>
      </w:pPr>
      <w:r>
        <w:rPr>
          <w:rFonts w:hint="default" w:ascii="Times New Roman" w:hAnsi="Times New Roman" w:eastAsia="方正仿宋_GB2312" w:cs="Times New Roman"/>
          <w:b w:val="0"/>
          <w:bCs w:val="0"/>
          <w:color w:val="000000" w:themeColor="text1"/>
          <w:szCs w:val="28"/>
          <w:highlight w:val="none"/>
          <w14:textFill>
            <w14:solidFill>
              <w14:schemeClr w14:val="tx1"/>
            </w14:solidFill>
          </w14:textFill>
        </w:rPr>
        <w:t>预算执行率：项目预算资金按照计划执行，该项目</w:t>
      </w:r>
      <w:r>
        <w:rPr>
          <w:rFonts w:hint="eastAsia" w:ascii="Times New Roman" w:hAnsi="Times New Roman" w:eastAsia="方正仿宋_GB2312" w:cs="Times New Roman"/>
          <w:b w:val="0"/>
          <w:bCs w:val="0"/>
          <w:color w:val="000000" w:themeColor="text1"/>
          <w:szCs w:val="28"/>
          <w:highlight w:val="none"/>
          <w:lang w:val="en-US" w:eastAsia="zh-CN"/>
          <w14:textFill>
            <w14:solidFill>
              <w14:schemeClr w14:val="tx1"/>
            </w14:solidFill>
          </w14:textFill>
        </w:rPr>
        <w:t>全年预算</w:t>
      </w:r>
      <w:r>
        <w:rPr>
          <w:rFonts w:hint="default" w:ascii="Times New Roman" w:hAnsi="Times New Roman" w:eastAsia="方正仿宋_GB2312" w:cs="Times New Roman"/>
          <w:b w:val="0"/>
          <w:bCs w:val="0"/>
          <w:color w:val="000000" w:themeColor="text1"/>
          <w:szCs w:val="28"/>
          <w:highlight w:val="none"/>
          <w14:textFill>
            <w14:solidFill>
              <w14:schemeClr w14:val="tx1"/>
            </w14:solidFill>
          </w14:textFill>
        </w:rPr>
        <w:t>金额</w:t>
      </w:r>
      <w:bookmarkStart w:id="52" w:name="OLE_LINK3"/>
      <w:r>
        <w:rPr>
          <w:rFonts w:hint="eastAsia" w:ascii="Times New Roman" w:hAnsi="Times New Roman" w:eastAsia="方正仿宋_GB2312" w:cs="Times New Roman"/>
          <w:b w:val="0"/>
          <w:bCs w:val="0"/>
          <w:color w:val="000000" w:themeColor="text1"/>
          <w:kern w:val="0"/>
          <w:szCs w:val="28"/>
          <w:highlight w:val="none"/>
          <w:lang w:val="en-US" w:eastAsia="zh-CN"/>
          <w14:textFill>
            <w14:solidFill>
              <w14:schemeClr w14:val="tx1"/>
            </w14:solidFill>
          </w14:textFill>
        </w:rPr>
        <w:t>1650</w:t>
      </w:r>
      <w:r>
        <w:rPr>
          <w:rFonts w:hint="default" w:ascii="Times New Roman" w:hAnsi="Times New Roman" w:eastAsia="方正仿宋_GB2312" w:cs="Times New Roman"/>
          <w:b w:val="0"/>
          <w:bCs w:val="0"/>
          <w:color w:val="000000" w:themeColor="text1"/>
          <w:kern w:val="0"/>
          <w:szCs w:val="28"/>
          <w:highlight w:val="none"/>
          <w14:textFill>
            <w14:solidFill>
              <w14:schemeClr w14:val="tx1"/>
            </w14:solidFill>
          </w14:textFill>
        </w:rPr>
        <w:t>万元</w:t>
      </w:r>
      <w:bookmarkEnd w:id="52"/>
      <w:r>
        <w:rPr>
          <w:rFonts w:hint="default" w:ascii="Times New Roman" w:hAnsi="Times New Roman" w:eastAsia="方正仿宋_GB2312" w:cs="Times New Roman"/>
          <w:b w:val="0"/>
          <w:bCs w:val="0"/>
          <w:color w:val="000000" w:themeColor="text1"/>
          <w:kern w:val="0"/>
          <w:szCs w:val="28"/>
          <w:highlight w:val="none"/>
          <w14:textFill>
            <w14:solidFill>
              <w14:schemeClr w14:val="tx1"/>
            </w14:solidFill>
          </w14:textFill>
        </w:rPr>
        <w:t>，</w:t>
      </w:r>
      <w:r>
        <w:rPr>
          <w:rFonts w:hint="eastAsia" w:ascii="Times New Roman" w:hAnsi="Times New Roman" w:eastAsia="方正仿宋_GB2312" w:cs="Times New Roman"/>
          <w:b w:val="0"/>
          <w:bCs w:val="0"/>
          <w:color w:val="000000" w:themeColor="text1"/>
          <w:kern w:val="0"/>
          <w:szCs w:val="28"/>
          <w:highlight w:val="none"/>
          <w:lang w:val="en-US" w:eastAsia="zh-CN"/>
          <w14:textFill>
            <w14:solidFill>
              <w14:schemeClr w14:val="tx1"/>
            </w14:solidFill>
          </w14:textFill>
        </w:rPr>
        <w:t>全年执行</w:t>
      </w:r>
      <w:r>
        <w:rPr>
          <w:rFonts w:hint="default" w:ascii="Times New Roman" w:hAnsi="Times New Roman" w:eastAsia="方正仿宋_GB2312" w:cs="Times New Roman"/>
          <w:b w:val="0"/>
          <w:bCs w:val="0"/>
          <w:color w:val="000000" w:themeColor="text1"/>
          <w:kern w:val="0"/>
          <w:szCs w:val="28"/>
          <w:highlight w:val="none"/>
          <w14:textFill>
            <w14:solidFill>
              <w14:schemeClr w14:val="tx1"/>
            </w14:solidFill>
          </w14:textFill>
        </w:rPr>
        <w:t>资金1565.53万元，</w:t>
      </w:r>
      <w:r>
        <w:rPr>
          <w:rFonts w:hint="default" w:ascii="Times New Roman" w:hAnsi="Times New Roman" w:cs="Times New Roman"/>
          <w:b w:val="0"/>
          <w:bCs w:val="0"/>
          <w:color w:val="000000" w:themeColor="text1"/>
          <w:szCs w:val="28"/>
          <w:highlight w:val="none"/>
          <w14:textFill>
            <w14:solidFill>
              <w14:schemeClr w14:val="tx1"/>
            </w14:solidFill>
          </w14:textFill>
        </w:rPr>
        <w:t>预算执行率</w:t>
      </w:r>
      <w:r>
        <w:rPr>
          <w:rFonts w:hint="eastAsia" w:ascii="Times New Roman" w:hAnsi="Times New Roman" w:cs="Times New Roman"/>
          <w:b w:val="0"/>
          <w:bCs w:val="0"/>
          <w:color w:val="000000" w:themeColor="text1"/>
          <w:szCs w:val="28"/>
          <w:highlight w:val="none"/>
          <w:lang w:val="en-US" w:eastAsia="zh-CN"/>
          <w14:textFill>
            <w14:solidFill>
              <w14:schemeClr w14:val="tx1"/>
            </w14:solidFill>
          </w14:textFill>
        </w:rPr>
        <w:t>94.88</w:t>
      </w:r>
      <w:r>
        <w:rPr>
          <w:rFonts w:hint="default" w:ascii="Times New Roman" w:hAnsi="Times New Roman" w:cs="Times New Roman"/>
          <w:b w:val="0"/>
          <w:bCs w:val="0"/>
          <w:color w:val="000000" w:themeColor="text1"/>
          <w:szCs w:val="28"/>
          <w:highlight w:val="none"/>
          <w14:textFill>
            <w14:solidFill>
              <w14:schemeClr w14:val="tx1"/>
            </w14:solidFill>
          </w14:textFill>
        </w:rPr>
        <w:t>%</w:t>
      </w:r>
      <w:r>
        <w:rPr>
          <w:rFonts w:hint="eastAsia" w:ascii="Times New Roman" w:hAnsi="Times New Roman" w:cs="Times New Roman"/>
          <w:b w:val="0"/>
          <w:bCs w:val="0"/>
          <w:color w:val="000000" w:themeColor="text1"/>
          <w:szCs w:val="28"/>
          <w:highlight w:val="none"/>
          <w:lang w:eastAsia="zh-CN"/>
          <w14:textFill>
            <w14:solidFill>
              <w14:schemeClr w14:val="tx1"/>
            </w14:solidFill>
          </w14:textFill>
        </w:rPr>
        <w:t>，</w:t>
      </w:r>
      <w:r>
        <w:rPr>
          <w:rFonts w:hint="eastAsia" w:ascii="仿宋_GB2312"/>
          <w:color w:val="000000" w:themeColor="text1"/>
          <w:szCs w:val="28"/>
          <w:highlight w:val="none"/>
          <w14:textFill>
            <w14:solidFill>
              <w14:schemeClr w14:val="tx1"/>
            </w14:solidFill>
          </w14:textFill>
        </w:rPr>
        <w:t>故预算执行率得分为</w:t>
      </w:r>
      <w:r>
        <w:rPr>
          <w:rFonts w:hint="eastAsia" w:ascii="仿宋_GB2312"/>
          <w:color w:val="000000" w:themeColor="text1"/>
          <w:szCs w:val="28"/>
          <w:highlight w:val="none"/>
          <w:lang w:val="en-US" w:eastAsia="zh-CN"/>
          <w14:textFill>
            <w14:solidFill>
              <w14:schemeClr w14:val="tx1"/>
            </w14:solidFill>
          </w14:textFill>
        </w:rPr>
        <w:t>4.74</w:t>
      </w:r>
      <w:r>
        <w:rPr>
          <w:rFonts w:hint="eastAsia" w:ascii="仿宋_GB2312"/>
          <w:color w:val="000000" w:themeColor="text1"/>
          <w:szCs w:val="28"/>
          <w:highlight w:val="none"/>
          <w14:textFill>
            <w14:solidFill>
              <w14:schemeClr w14:val="tx1"/>
            </w14:solidFill>
          </w14:textFill>
        </w:rPr>
        <w:t>分。</w:t>
      </w:r>
    </w:p>
    <w:p w14:paraId="51DA8D2A">
      <w:pPr>
        <w:pageBreakBefore w:val="0"/>
        <w:widowControl w:val="0"/>
        <w:kinsoku/>
        <w:wordWrap/>
        <w:overflowPunct/>
        <w:topLinePunct w:val="0"/>
        <w:autoSpaceDN/>
        <w:bidi w:val="0"/>
        <w:adjustRightInd/>
        <w:snapToGrid/>
        <w:spacing w:line="560" w:lineRule="exact"/>
        <w:ind w:firstLine="562"/>
        <w:textAlignment w:val="auto"/>
        <w:rPr>
          <w:rFonts w:ascii="仿宋_GB2312"/>
          <w:b/>
          <w:bCs/>
          <w:szCs w:val="28"/>
        </w:rPr>
      </w:pPr>
    </w:p>
    <w:p w14:paraId="02D5E9F9">
      <w:pPr>
        <w:pageBreakBefore w:val="0"/>
        <w:widowControl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资金使用合规性：</w:t>
      </w:r>
      <w:r>
        <w:rPr>
          <w:rFonts w:hint="eastAsia" w:ascii="仿宋_GB2312"/>
          <w:szCs w:val="28"/>
        </w:rPr>
        <w:t>本项目资金的使用符合《关于印发&lt;乌鲁木齐市本级项目支出预算管理办法&gt;的通知》（乌财预</w:t>
      </w:r>
      <w:r>
        <w:rPr>
          <w:rFonts w:hint="eastAsia" w:ascii="仿宋_GB2312"/>
        </w:rPr>
        <w:t>〔2016〕58号</w:t>
      </w:r>
      <w:r>
        <w:rPr>
          <w:rFonts w:hint="eastAsia" w:ascii="仿宋_GB2312"/>
          <w:szCs w:val="28"/>
        </w:rPr>
        <w:t>）的规定。同时，资金的拨付有主管局及财政局审批程序，需要预算申请计划手续，符合项目预算批复或合同规定的用途，不存在截留、挤占、挪用、虚列支出等情况。故资金使用合规性得分为3分。</w:t>
      </w:r>
    </w:p>
    <w:p w14:paraId="30EEE667">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分，得分12.7</w:t>
      </w:r>
      <w:r>
        <w:rPr>
          <w:rFonts w:hint="eastAsia" w:ascii="仿宋_GB2312" w:hAnsi="仿宋" w:cs="宋体"/>
          <w:b/>
          <w:kern w:val="0"/>
          <w:szCs w:val="28"/>
          <w:lang w:val="en-US" w:eastAsia="zh-CN"/>
        </w:rPr>
        <w:t>4</w:t>
      </w:r>
      <w:r>
        <w:rPr>
          <w:rFonts w:hint="eastAsia" w:ascii="仿宋_GB2312" w:hAnsi="仿宋" w:cs="宋体"/>
          <w:b/>
          <w:kern w:val="0"/>
          <w:szCs w:val="28"/>
        </w:rPr>
        <w:t>分。</w:t>
      </w:r>
    </w:p>
    <w:p w14:paraId="5C7963AD">
      <w:pPr>
        <w:pStyle w:val="4"/>
        <w:pageBreakBefore w:val="0"/>
        <w:widowControl w:val="0"/>
        <w:kinsoku/>
        <w:wordWrap/>
        <w:overflowPunct/>
        <w:topLinePunct w:val="0"/>
        <w:autoSpaceDN/>
        <w:bidi w:val="0"/>
        <w:adjustRightInd/>
        <w:snapToGrid/>
        <w:spacing w:line="560" w:lineRule="exact"/>
        <w:ind w:firstLine="643"/>
        <w:textAlignment w:val="auto"/>
      </w:pPr>
      <w:bookmarkStart w:id="53" w:name="_Toc197478773"/>
      <w:r>
        <w:t>2.</w:t>
      </w:r>
      <w:r>
        <w:rPr>
          <w:rFonts w:hint="eastAsia"/>
        </w:rPr>
        <w:t>组织实施</w:t>
      </w:r>
      <w:bookmarkEnd w:id="53"/>
    </w:p>
    <w:p w14:paraId="32D80581">
      <w:pPr>
        <w:pageBreakBefore w:val="0"/>
        <w:widowControl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管理制度健全性</w:t>
      </w:r>
      <w:r>
        <w:rPr>
          <w:rFonts w:hint="eastAsia" w:ascii="仿宋_GB2312"/>
          <w:szCs w:val="28"/>
        </w:rPr>
        <w:t>：按照财政局已制定相应的《关于印发&lt;乌鲁木齐市本级项目支出预算管理办法&gt;的通知》（乌财预</w:t>
      </w:r>
      <w:r>
        <w:rPr>
          <w:rFonts w:hint="eastAsia" w:ascii="仿宋_GB2312"/>
        </w:rPr>
        <w:t>〔2016〕58号</w:t>
      </w:r>
      <w:r>
        <w:rPr>
          <w:rFonts w:hint="eastAsia" w:ascii="仿宋_GB2312"/>
          <w:szCs w:val="28"/>
        </w:rPr>
        <w:t>），且制度合法、合规、完整，为项目顺利实施提供重要保障。故管理制度健全性得分为3分。</w:t>
      </w:r>
    </w:p>
    <w:p w14:paraId="0A8D6AC7">
      <w:pPr>
        <w:pageBreakBefore w:val="0"/>
        <w:widowControl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制度执行有效性：</w:t>
      </w:r>
      <w:r>
        <w:rPr>
          <w:rFonts w:hint="eastAsia" w:ascii="仿宋_GB2312"/>
          <w:szCs w:val="28"/>
        </w:rPr>
        <w:t>根据评价小组核查情况，</w:t>
      </w:r>
      <w:r>
        <w:rPr>
          <w:rFonts w:ascii="仿宋_GB2312"/>
        </w:rPr>
        <w:t>2024</w:t>
      </w:r>
      <w:r>
        <w:rPr>
          <w:rFonts w:hint="eastAsia" w:ascii="仿宋_GB2312"/>
        </w:rPr>
        <w:t>年乌鲁木齐市教育招生考试中心标准化考点改造设备采购项目</w:t>
      </w:r>
      <w:r>
        <w:rPr>
          <w:rFonts w:hint="eastAsia" w:ascii="仿宋_GB2312"/>
          <w:szCs w:val="28"/>
        </w:rPr>
        <w:t>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szCs w:val="28"/>
        </w:rPr>
        <w:t>4</w:t>
      </w:r>
      <w:r>
        <w:rPr>
          <w:rFonts w:hint="eastAsia" w:ascii="仿宋_GB2312"/>
          <w:szCs w:val="28"/>
        </w:rPr>
        <w:t>分。</w:t>
      </w:r>
    </w:p>
    <w:p w14:paraId="3DBF4D75">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仿宋_GB2312" w:hAnsi="仿宋" w:cs="宋体"/>
          <w:b/>
          <w:kern w:val="0"/>
          <w:szCs w:val="28"/>
        </w:rPr>
      </w:pPr>
      <w:bookmarkStart w:id="5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bookmarkEnd w:id="54"/>
    </w:p>
    <w:p w14:paraId="645CF5B5">
      <w:pPr>
        <w:pStyle w:val="2"/>
        <w:pageBreakBefore w:val="0"/>
        <w:widowControl w:val="0"/>
        <w:kinsoku/>
        <w:wordWrap/>
        <w:overflowPunct/>
        <w:topLinePunct w:val="0"/>
        <w:autoSpaceDN/>
        <w:bidi w:val="0"/>
        <w:adjustRightInd/>
        <w:snapToGrid/>
        <w:spacing w:line="560" w:lineRule="exact"/>
        <w:ind w:firstLine="643"/>
        <w:textAlignment w:val="auto"/>
        <w:rPr>
          <w:rFonts w:hint="eastAsia" w:ascii="仿宋" w:hAnsi="仿宋" w:eastAsia="仿宋"/>
          <w:lang w:bidi="en-US"/>
        </w:rPr>
      </w:pPr>
      <w:bookmarkStart w:id="55" w:name="_Toc67911614"/>
      <w:bookmarkStart w:id="56" w:name="_Toc197478774"/>
      <w:r>
        <w:rPr>
          <w:rFonts w:hint="eastAsia" w:ascii="仿宋" w:hAnsi="仿宋" w:eastAsia="仿宋"/>
          <w:lang w:bidi="en-US"/>
        </w:rPr>
        <w:t>（三）项目产出情况</w:t>
      </w:r>
      <w:bookmarkEnd w:id="55"/>
      <w:bookmarkEnd w:id="56"/>
    </w:p>
    <w:p w14:paraId="5C2E379A">
      <w:pPr>
        <w:pageBreakBefore w:val="0"/>
        <w:widowControl w:val="0"/>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项目产出指标由4个二级指标和9个三级指标构成，权重为</w:t>
      </w:r>
      <w:r>
        <w:rPr>
          <w:rFonts w:ascii="仿宋_GB2312"/>
          <w:szCs w:val="28"/>
        </w:rPr>
        <w:t>40</w:t>
      </w:r>
      <w:r>
        <w:rPr>
          <w:rFonts w:hint="eastAsia" w:ascii="仿宋_GB2312"/>
          <w:szCs w:val="28"/>
        </w:rPr>
        <w:t>分，实际得分34.28分。</w:t>
      </w:r>
    </w:p>
    <w:p w14:paraId="42892736">
      <w:pPr>
        <w:pStyle w:val="4"/>
        <w:pageBreakBefore w:val="0"/>
        <w:widowControl w:val="0"/>
        <w:kinsoku/>
        <w:wordWrap/>
        <w:overflowPunct/>
        <w:topLinePunct w:val="0"/>
        <w:autoSpaceDN/>
        <w:bidi w:val="0"/>
        <w:adjustRightInd/>
        <w:snapToGrid/>
        <w:spacing w:line="560" w:lineRule="exact"/>
        <w:ind w:firstLine="643"/>
        <w:textAlignment w:val="auto"/>
      </w:pPr>
      <w:bookmarkStart w:id="57" w:name="_Toc197478775"/>
      <w:r>
        <w:rPr>
          <w:rFonts w:hint="eastAsia"/>
        </w:rPr>
        <w:t>1</w:t>
      </w:r>
      <w:r>
        <w:t>.</w:t>
      </w:r>
      <w:r>
        <w:rPr>
          <w:rFonts w:hint="eastAsia"/>
        </w:rPr>
        <w:t>产出数量</w:t>
      </w:r>
      <w:bookmarkEnd w:id="57"/>
    </w:p>
    <w:p w14:paraId="2FC535A3">
      <w:pPr>
        <w:pageBreakBefore w:val="0"/>
        <w:widowControl w:val="0"/>
        <w:kinsoku/>
        <w:wordWrap/>
        <w:overflowPunct/>
        <w:topLinePunct w:val="0"/>
        <w:autoSpaceDN/>
        <w:bidi w:val="0"/>
        <w:adjustRightInd/>
        <w:snapToGrid/>
        <w:spacing w:line="560" w:lineRule="exact"/>
        <w:ind w:firstLine="560"/>
        <w:textAlignment w:val="auto"/>
        <w:rPr>
          <w:rFonts w:ascii="仿宋_GB2312"/>
          <w:bCs/>
          <w:szCs w:val="28"/>
        </w:rPr>
      </w:pPr>
      <w:r>
        <w:rPr>
          <w:rFonts w:hint="eastAsia" w:ascii="仿宋_GB2312"/>
          <w:bCs/>
          <w:szCs w:val="28"/>
        </w:rPr>
        <w:t>数量指标 “采购工作完成率”的目标值是100%，2024</w:t>
      </w:r>
      <w:r>
        <w:rPr>
          <w:rFonts w:ascii="仿宋_GB2312"/>
          <w:bCs/>
          <w:szCs w:val="28"/>
        </w:rPr>
        <w:t>年度我单位实际完成</w:t>
      </w:r>
      <w:r>
        <w:rPr>
          <w:rFonts w:hint="eastAsia" w:ascii="仿宋_GB2312"/>
          <w:bCs/>
          <w:szCs w:val="28"/>
        </w:rPr>
        <w:t>100%</w:t>
      </w:r>
      <w:r>
        <w:rPr>
          <w:rFonts w:hint="eastAsia" w:ascii="仿宋_GB2312"/>
          <w:bCs/>
          <w:szCs w:val="28"/>
          <w:lang w:eastAsia="zh-CN"/>
        </w:rPr>
        <w:t>。</w:t>
      </w:r>
      <w:r>
        <w:rPr>
          <w:rFonts w:hint="eastAsia" w:ascii="仿宋_GB2312"/>
          <w:bCs/>
          <w:szCs w:val="28"/>
        </w:rPr>
        <w:t>顺利完成项目采购工作。实际完成率</w:t>
      </w:r>
      <w:bookmarkStart w:id="58" w:name="OLE_LINK6"/>
      <w:r>
        <w:rPr>
          <w:rFonts w:hint="eastAsia" w:ascii="仿宋_GB2312"/>
          <w:bCs/>
          <w:szCs w:val="28"/>
        </w:rPr>
        <w:t>100%</w:t>
      </w:r>
      <w:bookmarkEnd w:id="58"/>
      <w:r>
        <w:rPr>
          <w:rFonts w:hint="eastAsia" w:ascii="仿宋_GB2312"/>
          <w:bCs/>
          <w:szCs w:val="28"/>
        </w:rPr>
        <w:t>，故实际完成率得分为3分。</w:t>
      </w:r>
    </w:p>
    <w:p w14:paraId="1781757D">
      <w:pPr>
        <w:pageBreakBefore w:val="0"/>
        <w:widowControl w:val="0"/>
        <w:kinsoku/>
        <w:wordWrap/>
        <w:overflowPunct/>
        <w:topLinePunct w:val="0"/>
        <w:autoSpaceDN/>
        <w:bidi w:val="0"/>
        <w:adjustRightInd/>
        <w:snapToGrid/>
        <w:spacing w:line="560" w:lineRule="exact"/>
        <w:ind w:firstLine="560"/>
        <w:textAlignment w:val="auto"/>
        <w:rPr>
          <w:rFonts w:ascii="仿宋_GB2312"/>
          <w:bCs/>
          <w:szCs w:val="28"/>
        </w:rPr>
      </w:pPr>
      <w:r>
        <w:rPr>
          <w:rFonts w:hint="eastAsia" w:ascii="仿宋_GB2312"/>
          <w:bCs/>
          <w:szCs w:val="28"/>
        </w:rPr>
        <w:t>数量指标 “标准化考点改造数量”的目标值是20个，2024</w:t>
      </w:r>
      <w:r>
        <w:rPr>
          <w:rFonts w:ascii="仿宋_GB2312"/>
          <w:bCs/>
          <w:szCs w:val="28"/>
        </w:rPr>
        <w:t>年度我单位实际完成</w:t>
      </w:r>
      <w:r>
        <w:rPr>
          <w:rFonts w:hint="eastAsia" w:ascii="仿宋_GB2312"/>
          <w:bCs/>
          <w:szCs w:val="28"/>
        </w:rPr>
        <w:t>20个</w:t>
      </w:r>
      <w:r>
        <w:rPr>
          <w:rFonts w:hint="eastAsia" w:ascii="仿宋_GB2312"/>
          <w:bCs/>
          <w:szCs w:val="28"/>
          <w:lang w:eastAsia="zh-CN"/>
        </w:rPr>
        <w:t>。</w:t>
      </w:r>
      <w:r>
        <w:rPr>
          <w:rFonts w:hint="eastAsia" w:ascii="仿宋_GB2312"/>
          <w:bCs/>
          <w:szCs w:val="28"/>
        </w:rPr>
        <w:t>实际完成率100%，故实际完成率得分为3分。</w:t>
      </w:r>
    </w:p>
    <w:p w14:paraId="552CAEC2">
      <w:pPr>
        <w:pageBreakBefore w:val="0"/>
        <w:widowControl w:val="0"/>
        <w:kinsoku/>
        <w:wordWrap/>
        <w:overflowPunct/>
        <w:topLinePunct w:val="0"/>
        <w:autoSpaceDN/>
        <w:bidi w:val="0"/>
        <w:adjustRightInd/>
        <w:snapToGrid/>
        <w:spacing w:line="560" w:lineRule="exact"/>
        <w:ind w:firstLine="560"/>
        <w:textAlignment w:val="auto"/>
        <w:rPr>
          <w:rFonts w:ascii="仿宋_GB2312"/>
          <w:bCs/>
          <w:szCs w:val="28"/>
        </w:rPr>
      </w:pPr>
      <w:r>
        <w:rPr>
          <w:rFonts w:hint="eastAsia" w:ascii="仿宋_GB2312"/>
          <w:bCs/>
          <w:szCs w:val="28"/>
        </w:rPr>
        <w:t>数量指标“视频会议系统建设数量”的目标值是20个，</w:t>
      </w:r>
      <w:r>
        <w:rPr>
          <w:rFonts w:ascii="仿宋_GB2312"/>
          <w:bCs/>
          <w:szCs w:val="28"/>
        </w:rPr>
        <w:t>2024年度我单位</w:t>
      </w:r>
      <w:r>
        <w:rPr>
          <w:rFonts w:hint="eastAsia" w:ascii="仿宋_GB2312"/>
          <w:bCs/>
          <w:szCs w:val="28"/>
        </w:rPr>
        <w:t>实际完成20个，实际完成率100%，故实际完成率得分为3分。</w:t>
      </w:r>
    </w:p>
    <w:p w14:paraId="716E1B99">
      <w:pPr>
        <w:pageBreakBefore w:val="0"/>
        <w:widowControl w:val="0"/>
        <w:kinsoku/>
        <w:wordWrap/>
        <w:overflowPunct/>
        <w:topLinePunct w:val="0"/>
        <w:autoSpaceDN/>
        <w:bidi w:val="0"/>
        <w:adjustRightInd/>
        <w:snapToGrid/>
        <w:spacing w:line="560" w:lineRule="exact"/>
        <w:ind w:firstLine="560"/>
        <w:textAlignment w:val="auto"/>
        <w:rPr>
          <w:rFonts w:ascii="仿宋_GB2312"/>
          <w:bCs/>
          <w:szCs w:val="28"/>
        </w:rPr>
      </w:pPr>
      <w:r>
        <w:rPr>
          <w:rFonts w:hint="eastAsia" w:ascii="仿宋_GB2312"/>
          <w:bCs/>
          <w:szCs w:val="28"/>
        </w:rPr>
        <w:t>数量指标“身份认证系统建设数量”的目标值是20个，</w:t>
      </w:r>
      <w:r>
        <w:rPr>
          <w:rFonts w:ascii="仿宋_GB2312"/>
          <w:bCs/>
          <w:szCs w:val="28"/>
        </w:rPr>
        <w:t>2024年度我单位</w:t>
      </w:r>
      <w:r>
        <w:rPr>
          <w:rFonts w:hint="eastAsia" w:ascii="仿宋_GB2312"/>
          <w:bCs/>
          <w:szCs w:val="28"/>
        </w:rPr>
        <w:t>实际完成20个，实际完成率100%，故实际完成率得分为3分。</w:t>
      </w:r>
    </w:p>
    <w:p w14:paraId="5B168557">
      <w:pPr>
        <w:pageBreakBefore w:val="0"/>
        <w:widowControl w:val="0"/>
        <w:kinsoku/>
        <w:wordWrap/>
        <w:overflowPunct/>
        <w:topLinePunct w:val="0"/>
        <w:autoSpaceDN/>
        <w:bidi w:val="0"/>
        <w:adjustRightInd/>
        <w:snapToGrid/>
        <w:spacing w:line="560" w:lineRule="exact"/>
        <w:ind w:firstLine="560"/>
        <w:textAlignment w:val="auto"/>
        <w:rPr>
          <w:rFonts w:ascii="仿宋_GB2312"/>
          <w:bCs/>
          <w:szCs w:val="28"/>
        </w:rPr>
      </w:pPr>
      <w:r>
        <w:rPr>
          <w:rFonts w:ascii="仿宋_GB2312"/>
          <w:bCs/>
          <w:szCs w:val="28"/>
        </w:rPr>
        <w:t>综上，数量指标</w:t>
      </w:r>
      <w:r>
        <w:rPr>
          <w:rFonts w:hint="eastAsia" w:ascii="仿宋_GB2312"/>
          <w:bCs/>
          <w:szCs w:val="28"/>
        </w:rPr>
        <w:t>满分12分，该指标</w:t>
      </w:r>
      <w:r>
        <w:rPr>
          <w:rFonts w:ascii="仿宋_GB2312"/>
          <w:bCs/>
          <w:szCs w:val="28"/>
        </w:rPr>
        <w:t>得分为</w:t>
      </w:r>
      <w:r>
        <w:rPr>
          <w:rFonts w:hint="eastAsia" w:ascii="仿宋_GB2312"/>
          <w:bCs/>
          <w:szCs w:val="28"/>
        </w:rPr>
        <w:t>12</w:t>
      </w:r>
      <w:r>
        <w:rPr>
          <w:rFonts w:ascii="仿宋_GB2312"/>
          <w:bCs/>
          <w:szCs w:val="28"/>
        </w:rPr>
        <w:t>分。</w:t>
      </w:r>
    </w:p>
    <w:p w14:paraId="1784EA9A">
      <w:pPr>
        <w:pStyle w:val="4"/>
        <w:pageBreakBefore w:val="0"/>
        <w:widowControl w:val="0"/>
        <w:kinsoku/>
        <w:wordWrap/>
        <w:overflowPunct/>
        <w:topLinePunct w:val="0"/>
        <w:autoSpaceDN/>
        <w:bidi w:val="0"/>
        <w:adjustRightInd/>
        <w:snapToGrid/>
        <w:spacing w:line="560" w:lineRule="exact"/>
        <w:ind w:firstLine="643"/>
        <w:textAlignment w:val="auto"/>
        <w:rPr>
          <w:rFonts w:ascii="仿宋_GB2312" w:hAnsi="Calibri" w:eastAsia="仿宋_GB2312" w:cs="黑体"/>
          <w:b w:val="0"/>
          <w:bCs/>
          <w:kern w:val="2"/>
          <w:sz w:val="28"/>
          <w:szCs w:val="28"/>
          <w:lang w:val="en-US" w:eastAsia="zh-CN" w:bidi="ar-SA"/>
        </w:rPr>
      </w:pPr>
      <w:bookmarkStart w:id="59" w:name="_Toc197478776"/>
      <w:r>
        <w:rPr>
          <w:rFonts w:hint="eastAsia" w:ascii="仿宋_GB2312" w:hAnsi="Calibri" w:eastAsia="仿宋_GB2312" w:cs="黑体"/>
          <w:b w:val="0"/>
          <w:bCs/>
          <w:kern w:val="2"/>
          <w:sz w:val="28"/>
          <w:szCs w:val="28"/>
          <w:lang w:val="en-US" w:eastAsia="zh-CN" w:bidi="ar-SA"/>
        </w:rPr>
        <w:t>2</w:t>
      </w:r>
      <w:r>
        <w:rPr>
          <w:rFonts w:ascii="仿宋_GB2312" w:hAnsi="Calibri" w:eastAsia="仿宋_GB2312" w:cs="黑体"/>
          <w:b w:val="0"/>
          <w:bCs/>
          <w:kern w:val="2"/>
          <w:sz w:val="28"/>
          <w:szCs w:val="28"/>
          <w:lang w:val="en-US" w:eastAsia="zh-CN" w:bidi="ar-SA"/>
        </w:rPr>
        <w:t>.</w:t>
      </w:r>
      <w:r>
        <w:rPr>
          <w:rFonts w:hint="eastAsia" w:ascii="仿宋_GB2312" w:hAnsi="Calibri" w:eastAsia="仿宋_GB2312" w:cs="黑体"/>
          <w:b w:val="0"/>
          <w:bCs/>
          <w:kern w:val="2"/>
          <w:sz w:val="28"/>
          <w:szCs w:val="28"/>
          <w:lang w:val="en-US" w:eastAsia="zh-CN" w:bidi="ar-SA"/>
        </w:rPr>
        <w:t>产出质量</w:t>
      </w:r>
      <w:bookmarkEnd w:id="59"/>
    </w:p>
    <w:p w14:paraId="543946DA">
      <w:pPr>
        <w:pageBreakBefore w:val="0"/>
        <w:widowControl w:val="0"/>
        <w:kinsoku/>
        <w:wordWrap/>
        <w:overflowPunct/>
        <w:topLinePunct w:val="0"/>
        <w:autoSpaceDN/>
        <w:bidi w:val="0"/>
        <w:adjustRightInd/>
        <w:snapToGrid/>
        <w:spacing w:line="560" w:lineRule="exact"/>
        <w:ind w:firstLine="562"/>
        <w:textAlignment w:val="auto"/>
        <w:rPr>
          <w:rFonts w:ascii="仿宋_GB2312" w:hAnsi="Calibri" w:eastAsia="仿宋_GB2312" w:cs="黑体"/>
          <w:b w:val="0"/>
          <w:bCs/>
          <w:kern w:val="2"/>
          <w:sz w:val="28"/>
          <w:szCs w:val="28"/>
          <w:highlight w:val="none"/>
          <w:lang w:val="en-US" w:eastAsia="zh-CN" w:bidi="ar-SA"/>
        </w:rPr>
      </w:pPr>
      <w:r>
        <w:rPr>
          <w:rFonts w:hint="eastAsia" w:ascii="仿宋_GB2312" w:hAnsi="Calibri" w:eastAsia="仿宋_GB2312" w:cs="黑体"/>
          <w:b w:val="0"/>
          <w:bCs/>
          <w:kern w:val="2"/>
          <w:sz w:val="28"/>
          <w:szCs w:val="28"/>
          <w:highlight w:val="none"/>
          <w:lang w:val="en-US" w:eastAsia="zh-CN" w:bidi="ar-SA"/>
        </w:rPr>
        <w:t>设备验收合格率：质量指标“设备验收合格率”的目标值是100%，2024年项目验收合格，完成值为100%，实际完成率100%。设备验收合格率得分为8分。</w:t>
      </w:r>
    </w:p>
    <w:p w14:paraId="3C3C5E4D">
      <w:pPr>
        <w:pStyle w:val="4"/>
        <w:pageBreakBefore w:val="0"/>
        <w:widowControl w:val="0"/>
        <w:kinsoku/>
        <w:wordWrap/>
        <w:overflowPunct/>
        <w:topLinePunct w:val="0"/>
        <w:autoSpaceDN/>
        <w:bidi w:val="0"/>
        <w:adjustRightInd/>
        <w:snapToGrid/>
        <w:spacing w:line="560" w:lineRule="exact"/>
        <w:ind w:firstLine="643"/>
        <w:textAlignment w:val="auto"/>
      </w:pPr>
      <w:bookmarkStart w:id="60" w:name="_Toc197478777"/>
      <w:r>
        <w:rPr>
          <w:rFonts w:hint="eastAsia"/>
        </w:rPr>
        <w:t>3</w:t>
      </w:r>
      <w:r>
        <w:t>.</w:t>
      </w:r>
      <w:r>
        <w:rPr>
          <w:rFonts w:hint="eastAsia"/>
        </w:rPr>
        <w:t>产出时效</w:t>
      </w:r>
      <w:bookmarkEnd w:id="60"/>
    </w:p>
    <w:p w14:paraId="7080E995">
      <w:pPr>
        <w:pageBreakBefore w:val="0"/>
        <w:widowControl w:val="0"/>
        <w:kinsoku/>
        <w:wordWrap/>
        <w:overflowPunct/>
        <w:topLinePunct w:val="0"/>
        <w:autoSpaceDN/>
        <w:bidi w:val="0"/>
        <w:adjustRightInd/>
        <w:snapToGrid/>
        <w:spacing w:line="560" w:lineRule="exact"/>
        <w:ind w:firstLine="562"/>
        <w:textAlignment w:val="auto"/>
        <w:rPr>
          <w:rFonts w:ascii="仿宋_GB2312"/>
          <w:bCs/>
          <w:szCs w:val="28"/>
        </w:rPr>
      </w:pPr>
      <w:r>
        <w:rPr>
          <w:rFonts w:hint="eastAsia" w:ascii="仿宋_GB2312"/>
          <w:b/>
          <w:bCs/>
          <w:szCs w:val="28"/>
        </w:rPr>
        <w:t>项目完成时间：</w:t>
      </w:r>
      <w:r>
        <w:rPr>
          <w:rFonts w:hint="eastAsia" w:ascii="仿宋_GB2312"/>
          <w:bCs/>
          <w:szCs w:val="28"/>
        </w:rPr>
        <w:t>项目完成时间原计划在2024年9月前完成该项目的采购、安装、调试、验收等环节，因项目计划由原“信息系统集成服务”变更为“标准化考点改造设备升级改造购置”重新调整项目计划后继续实施，较计划标准晚了3个月。</w:t>
      </w:r>
    </w:p>
    <w:p w14:paraId="5BC2B3F2">
      <w:pPr>
        <w:pageBreakBefore w:val="0"/>
        <w:widowControl w:val="0"/>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故产出时效得分为0分。</w:t>
      </w:r>
    </w:p>
    <w:p w14:paraId="325005CB">
      <w:pPr>
        <w:pStyle w:val="4"/>
        <w:pageBreakBefore w:val="0"/>
        <w:widowControl w:val="0"/>
        <w:kinsoku/>
        <w:wordWrap/>
        <w:overflowPunct/>
        <w:topLinePunct w:val="0"/>
        <w:autoSpaceDN/>
        <w:bidi w:val="0"/>
        <w:adjustRightInd/>
        <w:snapToGrid/>
        <w:spacing w:line="560" w:lineRule="exact"/>
        <w:ind w:firstLine="643"/>
        <w:textAlignment w:val="auto"/>
      </w:pPr>
      <w:bookmarkStart w:id="61" w:name="_Toc197478778"/>
      <w:bookmarkStart w:id="62" w:name="_Toc67911615"/>
      <w:r>
        <w:rPr>
          <w:rFonts w:hint="eastAsia"/>
        </w:rPr>
        <w:t>4</w:t>
      </w:r>
      <w:r>
        <w:t>.</w:t>
      </w:r>
      <w:r>
        <w:rPr>
          <w:rFonts w:hint="eastAsia"/>
        </w:rPr>
        <w:t>产出成本</w:t>
      </w:r>
      <w:bookmarkEnd w:id="61"/>
      <w:bookmarkEnd w:id="62"/>
    </w:p>
    <w:p w14:paraId="3E137F62">
      <w:pPr>
        <w:pageBreakBefore w:val="0"/>
        <w:widowControl w:val="0"/>
        <w:kinsoku/>
        <w:wordWrap/>
        <w:overflowPunct/>
        <w:topLinePunct w:val="0"/>
        <w:autoSpaceDN/>
        <w:bidi w:val="0"/>
        <w:adjustRightInd/>
        <w:snapToGrid/>
        <w:spacing w:line="560" w:lineRule="exact"/>
        <w:ind w:firstLine="562"/>
        <w:textAlignment w:val="auto"/>
        <w:rPr>
          <w:rFonts w:ascii="仿宋_GB2312"/>
          <w:bCs/>
          <w:szCs w:val="28"/>
        </w:rPr>
      </w:pPr>
      <w:r>
        <w:rPr>
          <w:rFonts w:hint="eastAsia" w:ascii="仿宋_GB2312"/>
          <w:b/>
          <w:bCs/>
          <w:szCs w:val="28"/>
        </w:rPr>
        <w:t>经济成本</w:t>
      </w:r>
      <w:r>
        <w:rPr>
          <w:rFonts w:ascii="仿宋_GB2312"/>
          <w:b/>
          <w:bCs/>
          <w:szCs w:val="28"/>
        </w:rPr>
        <w:t>：</w:t>
      </w:r>
      <w:r>
        <w:rPr>
          <w:rFonts w:hint="eastAsia" w:ascii="仿宋_GB2312"/>
          <w:bCs/>
          <w:szCs w:val="28"/>
        </w:rPr>
        <w:t>本项目实际支出1565.532万元，无超支情况，项目资金全部完成。</w:t>
      </w:r>
    </w:p>
    <w:p w14:paraId="275FFFA0">
      <w:pPr>
        <w:pageBreakBefore w:val="0"/>
        <w:widowControl w:val="0"/>
        <w:kinsoku/>
        <w:wordWrap/>
        <w:overflowPunct/>
        <w:topLinePunct w:val="0"/>
        <w:autoSpaceDN/>
        <w:bidi w:val="0"/>
        <w:adjustRightInd/>
        <w:snapToGrid/>
        <w:spacing w:line="560" w:lineRule="exact"/>
        <w:ind w:firstLine="560"/>
        <w:textAlignment w:val="auto"/>
        <w:rPr>
          <w:rFonts w:hint="eastAsia" w:ascii="仿宋_GB2312"/>
          <w:bCs/>
          <w:szCs w:val="28"/>
        </w:rPr>
      </w:pPr>
      <w:r>
        <w:rPr>
          <w:rFonts w:hint="eastAsia" w:ascii="仿宋_GB2312"/>
          <w:bCs/>
          <w:szCs w:val="28"/>
        </w:rPr>
        <w:t>根据前期预算编制情况，本采购项目重点建设：视频会议系统、考点指挥中心（考场巡查系统汇聚机房）、身份认证系统三方面建设。</w:t>
      </w:r>
    </w:p>
    <w:p w14:paraId="2551CB2A">
      <w:pPr>
        <w:pageBreakBefore w:val="0"/>
        <w:widowControl w:val="0"/>
        <w:kinsoku/>
        <w:wordWrap/>
        <w:overflowPunct/>
        <w:topLinePunct w:val="0"/>
        <w:autoSpaceDN/>
        <w:bidi w:val="0"/>
        <w:adjustRightInd/>
        <w:snapToGrid/>
        <w:spacing w:line="560" w:lineRule="exact"/>
        <w:ind w:firstLine="560"/>
        <w:textAlignment w:val="auto"/>
        <w:rPr>
          <w:rFonts w:hint="eastAsia" w:ascii="仿宋_GB2312"/>
          <w:bCs/>
          <w:szCs w:val="28"/>
        </w:rPr>
      </w:pPr>
      <w:r>
        <w:rPr>
          <w:rFonts w:hint="eastAsia" w:ascii="仿宋_GB2312"/>
          <w:bCs/>
          <w:szCs w:val="28"/>
        </w:rPr>
        <w:t>其中视频会议系统资金</w:t>
      </w:r>
      <w:r>
        <w:rPr>
          <w:rFonts w:hint="eastAsia" w:ascii="仿宋_GB2312"/>
          <w:bCs/>
          <w:szCs w:val="28"/>
          <w:lang w:eastAsia="zh-CN"/>
        </w:rPr>
        <w:t>预算安排</w:t>
      </w:r>
      <w:r>
        <w:rPr>
          <w:rFonts w:hint="eastAsia" w:ascii="仿宋_GB2312"/>
          <w:bCs/>
          <w:szCs w:val="28"/>
        </w:rPr>
        <w:t>132.36万</w:t>
      </w:r>
      <w:r>
        <w:rPr>
          <w:rFonts w:hint="eastAsia" w:ascii="仿宋_GB2312"/>
          <w:bCs/>
          <w:szCs w:val="28"/>
          <w:lang w:val="en-US" w:eastAsia="zh-CN"/>
        </w:rPr>
        <w:t>元</w:t>
      </w:r>
      <w:r>
        <w:rPr>
          <w:rFonts w:hint="eastAsia" w:ascii="仿宋_GB2312"/>
          <w:bCs/>
          <w:szCs w:val="28"/>
        </w:rPr>
        <w:t>。实际中标金额132.08万</w:t>
      </w:r>
      <w:r>
        <w:rPr>
          <w:rFonts w:hint="eastAsia" w:ascii="仿宋_GB2312"/>
          <w:bCs/>
          <w:szCs w:val="28"/>
          <w:lang w:val="en-US" w:eastAsia="zh-CN"/>
        </w:rPr>
        <w:t>元</w:t>
      </w:r>
      <w:r>
        <w:rPr>
          <w:rFonts w:hint="eastAsia" w:ascii="仿宋_GB2312"/>
          <w:bCs/>
          <w:szCs w:val="28"/>
        </w:rPr>
        <w:t>，</w:t>
      </w:r>
      <w:bookmarkStart w:id="63" w:name="OLE_LINK9"/>
      <w:r>
        <w:rPr>
          <w:rFonts w:hint="eastAsia" w:ascii="仿宋_GB2312"/>
          <w:bCs/>
          <w:szCs w:val="28"/>
        </w:rPr>
        <w:t>按照实际中标金额支付，节约开支，</w:t>
      </w:r>
      <w:bookmarkStart w:id="64" w:name="OLE_LINK11"/>
      <w:r>
        <w:rPr>
          <w:rFonts w:hint="eastAsia" w:ascii="仿宋_GB2312"/>
          <w:bCs/>
          <w:szCs w:val="28"/>
          <w:lang w:val="en-US" w:eastAsia="zh-CN"/>
        </w:rPr>
        <w:t>完成</w:t>
      </w:r>
      <w:r>
        <w:rPr>
          <w:rFonts w:hint="eastAsia" w:ascii="仿宋_GB2312"/>
          <w:bCs/>
          <w:szCs w:val="28"/>
        </w:rPr>
        <w:t>率99.79%</w:t>
      </w:r>
      <w:bookmarkEnd w:id="64"/>
      <w:r>
        <w:rPr>
          <w:rFonts w:hint="eastAsia" w:ascii="仿宋_GB2312"/>
          <w:bCs/>
          <w:szCs w:val="28"/>
        </w:rPr>
        <w:t>。满分5分，得分4.99分。</w:t>
      </w:r>
      <w:bookmarkEnd w:id="63"/>
    </w:p>
    <w:p w14:paraId="36F7034D">
      <w:pPr>
        <w:pageBreakBefore w:val="0"/>
        <w:widowControl w:val="0"/>
        <w:kinsoku/>
        <w:wordWrap/>
        <w:overflowPunct/>
        <w:topLinePunct w:val="0"/>
        <w:autoSpaceDN/>
        <w:bidi w:val="0"/>
        <w:adjustRightInd/>
        <w:snapToGrid/>
        <w:spacing w:line="560" w:lineRule="exact"/>
        <w:ind w:firstLine="560"/>
        <w:textAlignment w:val="auto"/>
        <w:rPr>
          <w:rFonts w:hint="eastAsia" w:ascii="仿宋_GB2312"/>
          <w:bCs/>
          <w:szCs w:val="28"/>
        </w:rPr>
      </w:pPr>
      <w:r>
        <w:rPr>
          <w:rFonts w:hint="eastAsia" w:ascii="仿宋_GB2312"/>
          <w:bCs/>
          <w:szCs w:val="28"/>
        </w:rPr>
        <w:t>考点指挥中心（考场巡查系统汇聚机房）资金</w:t>
      </w:r>
      <w:r>
        <w:rPr>
          <w:rFonts w:hint="eastAsia" w:ascii="仿宋_GB2312"/>
          <w:bCs/>
          <w:szCs w:val="28"/>
          <w:lang w:eastAsia="zh-CN"/>
        </w:rPr>
        <w:t>预算安排</w:t>
      </w:r>
      <w:r>
        <w:rPr>
          <w:rFonts w:hint="eastAsia" w:ascii="仿宋_GB2312"/>
          <w:bCs/>
          <w:szCs w:val="28"/>
        </w:rPr>
        <w:t>926.2万</w:t>
      </w:r>
      <w:r>
        <w:rPr>
          <w:rFonts w:hint="eastAsia" w:ascii="仿宋_GB2312"/>
          <w:bCs/>
          <w:szCs w:val="28"/>
          <w:highlight w:val="none"/>
          <w:lang w:val="en-US" w:eastAsia="zh-CN"/>
        </w:rPr>
        <w:t>元</w:t>
      </w:r>
      <w:r>
        <w:rPr>
          <w:rFonts w:hint="eastAsia" w:ascii="仿宋_GB2312"/>
          <w:bCs/>
          <w:szCs w:val="28"/>
          <w:highlight w:val="none"/>
        </w:rPr>
        <w:t>。实际完成中标金额926.11万</w:t>
      </w:r>
      <w:r>
        <w:rPr>
          <w:rFonts w:hint="eastAsia" w:ascii="仿宋_GB2312"/>
          <w:bCs/>
          <w:szCs w:val="28"/>
          <w:highlight w:val="none"/>
          <w:lang w:val="en-US" w:eastAsia="zh-CN"/>
        </w:rPr>
        <w:t>元</w:t>
      </w:r>
      <w:r>
        <w:rPr>
          <w:rFonts w:hint="eastAsia" w:ascii="仿宋_GB2312"/>
          <w:bCs/>
          <w:szCs w:val="28"/>
          <w:highlight w:val="none"/>
        </w:rPr>
        <w:t>，按照实际中标金额支付，</w:t>
      </w:r>
      <w:r>
        <w:rPr>
          <w:rFonts w:hint="eastAsia" w:ascii="仿宋_GB2312"/>
          <w:bCs/>
          <w:szCs w:val="28"/>
          <w:highlight w:val="none"/>
          <w:lang w:val="en-US" w:eastAsia="zh-CN"/>
        </w:rPr>
        <w:t>完成</w:t>
      </w:r>
      <w:r>
        <w:rPr>
          <w:rFonts w:hint="eastAsia" w:ascii="仿宋_GB2312"/>
          <w:bCs/>
          <w:szCs w:val="28"/>
          <w:highlight w:val="none"/>
        </w:rPr>
        <w:t>率</w:t>
      </w:r>
      <w:r>
        <w:rPr>
          <w:rFonts w:hint="eastAsia" w:ascii="仿宋_GB2312"/>
          <w:bCs/>
          <w:szCs w:val="28"/>
          <w:highlight w:val="none"/>
          <w:lang w:val="en-US" w:eastAsia="zh-CN"/>
        </w:rPr>
        <w:t>=926.11/926.2*100%=</w:t>
      </w:r>
      <w:r>
        <w:rPr>
          <w:rFonts w:hint="eastAsia" w:ascii="仿宋_GB2312"/>
          <w:bCs/>
          <w:szCs w:val="28"/>
          <w:highlight w:val="none"/>
        </w:rPr>
        <w:t>99.99%</w:t>
      </w:r>
      <w:r>
        <w:rPr>
          <w:rFonts w:hint="eastAsia" w:ascii="仿宋_GB2312"/>
          <w:bCs/>
          <w:szCs w:val="28"/>
          <w:highlight w:val="none"/>
          <w:lang w:eastAsia="zh-CN"/>
        </w:rPr>
        <w:t>，</w:t>
      </w:r>
      <w:r>
        <w:rPr>
          <w:rFonts w:hint="eastAsia" w:ascii="仿宋_GB2312"/>
          <w:bCs/>
          <w:szCs w:val="28"/>
          <w:highlight w:val="none"/>
          <w:lang w:val="en-US" w:eastAsia="zh-CN"/>
        </w:rPr>
        <w:t>因四舍五入，故实际完成率为100%，</w:t>
      </w:r>
      <w:r>
        <w:rPr>
          <w:rFonts w:hint="eastAsia" w:ascii="仿宋_GB2312"/>
          <w:bCs/>
          <w:szCs w:val="28"/>
          <w:highlight w:val="none"/>
        </w:rPr>
        <w:t>满分5分，得分5分。</w:t>
      </w:r>
    </w:p>
    <w:p w14:paraId="0A3E389F">
      <w:pPr>
        <w:pageBreakBefore w:val="0"/>
        <w:widowControl w:val="0"/>
        <w:kinsoku/>
        <w:wordWrap/>
        <w:overflowPunct/>
        <w:topLinePunct w:val="0"/>
        <w:autoSpaceDN/>
        <w:bidi w:val="0"/>
        <w:adjustRightInd/>
        <w:snapToGrid/>
        <w:spacing w:line="560" w:lineRule="exact"/>
        <w:ind w:firstLine="560"/>
        <w:textAlignment w:val="auto"/>
        <w:rPr>
          <w:rFonts w:hint="eastAsia" w:ascii="仿宋_GB2312"/>
          <w:bCs/>
          <w:szCs w:val="28"/>
        </w:rPr>
      </w:pPr>
      <w:r>
        <w:rPr>
          <w:rFonts w:hint="eastAsia" w:ascii="仿宋_GB2312"/>
          <w:bCs/>
          <w:szCs w:val="28"/>
        </w:rPr>
        <w:t>身份认证系统资金</w:t>
      </w:r>
      <w:r>
        <w:rPr>
          <w:rFonts w:hint="eastAsia" w:ascii="仿宋_GB2312"/>
          <w:bCs/>
          <w:szCs w:val="28"/>
          <w:lang w:eastAsia="zh-CN"/>
        </w:rPr>
        <w:t>预算安排</w:t>
      </w:r>
      <w:r>
        <w:rPr>
          <w:rFonts w:hint="eastAsia" w:ascii="仿宋_GB2312"/>
          <w:bCs/>
          <w:szCs w:val="28"/>
        </w:rPr>
        <w:t>591.44万。实际完成中标金额507.34万，按照实际中标金额支付，节约开支，</w:t>
      </w:r>
      <w:r>
        <w:rPr>
          <w:rFonts w:hint="eastAsia" w:ascii="仿宋_GB2312"/>
          <w:bCs/>
          <w:szCs w:val="28"/>
          <w:lang w:val="en-US" w:eastAsia="zh-CN"/>
        </w:rPr>
        <w:t>完成</w:t>
      </w:r>
      <w:r>
        <w:rPr>
          <w:rFonts w:hint="eastAsia" w:ascii="仿宋_GB2312"/>
          <w:bCs/>
          <w:szCs w:val="28"/>
        </w:rPr>
        <w:t>率85.78%。得分4.29分。</w:t>
      </w:r>
    </w:p>
    <w:p w14:paraId="447729D4">
      <w:pPr>
        <w:pStyle w:val="2"/>
        <w:pageBreakBefore w:val="0"/>
        <w:widowControl w:val="0"/>
        <w:kinsoku/>
        <w:wordWrap/>
        <w:overflowPunct/>
        <w:topLinePunct w:val="0"/>
        <w:autoSpaceDN/>
        <w:bidi w:val="0"/>
        <w:adjustRightInd/>
        <w:snapToGrid/>
        <w:spacing w:line="560" w:lineRule="exact"/>
        <w:textAlignment w:val="auto"/>
        <w:rPr>
          <w:rFonts w:hint="default" w:ascii="仿宋_GB2312" w:hAnsi="Calibri" w:eastAsia="仿宋_GB2312" w:cs="黑体"/>
          <w:b w:val="0"/>
          <w:bCs/>
          <w:kern w:val="2"/>
          <w:sz w:val="28"/>
          <w:szCs w:val="28"/>
          <w:highlight w:val="none"/>
          <w:lang w:val="en-US" w:eastAsia="zh-CN" w:bidi="ar-SA"/>
        </w:rPr>
      </w:pPr>
      <w:r>
        <w:rPr>
          <w:rFonts w:hint="eastAsia" w:ascii="仿宋_GB2312" w:hAnsi="Calibri" w:eastAsia="仿宋_GB2312" w:cs="黑体"/>
          <w:b w:val="0"/>
          <w:bCs/>
          <w:kern w:val="2"/>
          <w:sz w:val="28"/>
          <w:szCs w:val="28"/>
          <w:highlight w:val="none"/>
          <w:lang w:val="en-US" w:eastAsia="zh-CN" w:bidi="ar-SA"/>
        </w:rPr>
        <w:t>故产出成本得分为14.28分。</w:t>
      </w:r>
    </w:p>
    <w:p w14:paraId="102CF7AB">
      <w:pPr>
        <w:pStyle w:val="2"/>
        <w:pageBreakBefore w:val="0"/>
        <w:widowControl w:val="0"/>
        <w:kinsoku/>
        <w:wordWrap/>
        <w:overflowPunct/>
        <w:topLinePunct w:val="0"/>
        <w:autoSpaceDN/>
        <w:bidi w:val="0"/>
        <w:adjustRightInd/>
        <w:snapToGrid/>
        <w:spacing w:line="560" w:lineRule="exact"/>
        <w:ind w:firstLine="643"/>
        <w:textAlignment w:val="auto"/>
        <w:rPr>
          <w:rFonts w:hint="eastAsia" w:ascii="仿宋" w:hAnsi="仿宋" w:eastAsia="仿宋"/>
          <w:lang w:bidi="en-US"/>
        </w:rPr>
      </w:pPr>
      <w:bookmarkStart w:id="65" w:name="_Toc197478779"/>
      <w:r>
        <w:rPr>
          <w:rFonts w:ascii="仿宋" w:hAnsi="仿宋" w:eastAsia="仿宋"/>
          <w:lang w:bidi="en-US"/>
        </w:rPr>
        <w:t>（四）项目效益</w:t>
      </w:r>
      <w:bookmarkEnd w:id="65"/>
    </w:p>
    <w:p w14:paraId="592F6613">
      <w:pPr>
        <w:pageBreakBefore w:val="0"/>
        <w:widowControl w:val="0"/>
        <w:kinsoku/>
        <w:wordWrap/>
        <w:overflowPunct/>
        <w:topLinePunct w:val="0"/>
        <w:autoSpaceDN/>
        <w:bidi w:val="0"/>
        <w:adjustRightInd/>
        <w:snapToGrid/>
        <w:spacing w:line="560" w:lineRule="exact"/>
        <w:ind w:firstLine="560"/>
        <w:textAlignment w:val="auto"/>
        <w:rPr>
          <w:rFonts w:ascii="仿宋_GB2312"/>
          <w:szCs w:val="28"/>
          <w:highlight w:val="none"/>
        </w:rPr>
      </w:pPr>
      <w:r>
        <w:rPr>
          <w:rFonts w:hint="eastAsia" w:ascii="仿宋_GB2312"/>
          <w:szCs w:val="28"/>
        </w:rPr>
        <w:t>项目效益指标由</w:t>
      </w:r>
      <w:r>
        <w:rPr>
          <w:rFonts w:ascii="仿宋_GB2312"/>
          <w:szCs w:val="28"/>
        </w:rPr>
        <w:t>1</w:t>
      </w:r>
      <w:r>
        <w:rPr>
          <w:rFonts w:hint="eastAsia" w:ascii="仿宋_GB2312"/>
          <w:szCs w:val="28"/>
        </w:rPr>
        <w:t>个二级指标和</w:t>
      </w:r>
      <w:r>
        <w:rPr>
          <w:rFonts w:hint="eastAsia" w:ascii="仿宋_GB2312"/>
          <w:szCs w:val="28"/>
          <w:lang w:val="en-US" w:eastAsia="zh-CN"/>
        </w:rPr>
        <w:t>1</w:t>
      </w:r>
      <w:r>
        <w:rPr>
          <w:rFonts w:hint="eastAsia" w:ascii="仿宋_GB2312"/>
          <w:szCs w:val="28"/>
        </w:rPr>
        <w:t>个三级指标构成，权</w:t>
      </w:r>
      <w:r>
        <w:rPr>
          <w:rFonts w:hint="eastAsia" w:ascii="仿宋_GB2312"/>
          <w:szCs w:val="28"/>
          <w:highlight w:val="none"/>
        </w:rPr>
        <w:t>重为</w:t>
      </w:r>
      <w:r>
        <w:rPr>
          <w:rFonts w:hint="eastAsia" w:ascii="仿宋_GB2312"/>
          <w:szCs w:val="28"/>
          <w:highlight w:val="none"/>
          <w:lang w:val="en-US" w:eastAsia="zh-CN"/>
        </w:rPr>
        <w:t>15</w:t>
      </w:r>
      <w:r>
        <w:rPr>
          <w:rFonts w:hint="eastAsia" w:ascii="仿宋_GB2312"/>
          <w:szCs w:val="28"/>
          <w:highlight w:val="none"/>
        </w:rPr>
        <w:t>分，实际得分</w:t>
      </w:r>
      <w:r>
        <w:rPr>
          <w:rFonts w:hint="eastAsia" w:ascii="仿宋_GB2312"/>
          <w:szCs w:val="28"/>
          <w:highlight w:val="none"/>
          <w:lang w:val="en-US" w:eastAsia="zh-CN"/>
        </w:rPr>
        <w:t>12.75</w:t>
      </w:r>
      <w:r>
        <w:rPr>
          <w:rFonts w:hint="eastAsia" w:ascii="仿宋_GB2312"/>
          <w:szCs w:val="28"/>
          <w:highlight w:val="none"/>
        </w:rPr>
        <w:t>分。</w:t>
      </w:r>
      <w:r>
        <w:rPr>
          <w:rFonts w:ascii="仿宋_GB2312"/>
          <w:szCs w:val="28"/>
          <w:highlight w:val="none"/>
        </w:rPr>
        <w:t xml:space="preserve"> </w:t>
      </w:r>
    </w:p>
    <w:p w14:paraId="68E14BC1">
      <w:pPr>
        <w:pageBreakBefore w:val="0"/>
        <w:widowControl w:val="0"/>
        <w:kinsoku/>
        <w:wordWrap/>
        <w:overflowPunct/>
        <w:topLinePunct w:val="0"/>
        <w:autoSpaceDN/>
        <w:bidi w:val="0"/>
        <w:adjustRightInd/>
        <w:snapToGrid/>
        <w:spacing w:line="560" w:lineRule="exact"/>
        <w:ind w:firstLine="562"/>
        <w:textAlignment w:val="auto"/>
        <w:rPr>
          <w:rFonts w:ascii="仿宋_GB2312"/>
          <w:b/>
          <w:bCs/>
          <w:szCs w:val="28"/>
          <w:highlight w:val="none"/>
        </w:rPr>
      </w:pPr>
      <w:r>
        <w:rPr>
          <w:rFonts w:hint="eastAsia" w:ascii="仿宋_GB2312"/>
          <w:b/>
          <w:bCs/>
          <w:szCs w:val="28"/>
          <w:highlight w:val="none"/>
        </w:rPr>
        <w:t>（1）实施效益</w:t>
      </w:r>
    </w:p>
    <w:p w14:paraId="404E8CA4">
      <w:pPr>
        <w:pageBreakBefore w:val="0"/>
        <w:widowControl w:val="0"/>
        <w:kinsoku/>
        <w:wordWrap/>
        <w:overflowPunct/>
        <w:topLinePunct w:val="0"/>
        <w:autoSpaceDN/>
        <w:bidi w:val="0"/>
        <w:adjustRightInd/>
        <w:snapToGrid/>
        <w:spacing w:line="560" w:lineRule="exact"/>
        <w:ind w:firstLine="562"/>
        <w:textAlignment w:val="auto"/>
        <w:rPr>
          <w:rFonts w:ascii="仿宋_GB2312"/>
          <w:szCs w:val="28"/>
          <w:highlight w:val="none"/>
        </w:rPr>
      </w:pPr>
      <w:r>
        <w:rPr>
          <w:rFonts w:hint="eastAsia" w:ascii="仿宋_GB2312"/>
          <w:b/>
          <w:bCs/>
          <w:szCs w:val="28"/>
          <w:highlight w:val="none"/>
        </w:rPr>
        <w:t>经济效益指标：</w:t>
      </w:r>
      <w:r>
        <w:rPr>
          <w:rFonts w:hint="eastAsia" w:ascii="仿宋_GB2312"/>
          <w:szCs w:val="28"/>
          <w:highlight w:val="none"/>
        </w:rPr>
        <w:t>不适用。</w:t>
      </w:r>
      <w:r>
        <w:rPr>
          <w:rFonts w:ascii="仿宋_GB2312"/>
          <w:szCs w:val="28"/>
          <w:highlight w:val="none"/>
        </w:rPr>
        <w:t xml:space="preserve"> </w:t>
      </w:r>
    </w:p>
    <w:p w14:paraId="244FC4D4">
      <w:pPr>
        <w:pageBreakBefore w:val="0"/>
        <w:widowControl w:val="0"/>
        <w:kinsoku/>
        <w:wordWrap/>
        <w:overflowPunct/>
        <w:topLinePunct w:val="0"/>
        <w:autoSpaceDN/>
        <w:bidi w:val="0"/>
        <w:adjustRightInd/>
        <w:snapToGrid/>
        <w:spacing w:line="560" w:lineRule="exact"/>
        <w:ind w:firstLine="562"/>
        <w:textAlignment w:val="auto"/>
        <w:rPr>
          <w:rFonts w:hint="default" w:ascii="仿宋_GB2312" w:eastAsia="仿宋_GB2312"/>
          <w:szCs w:val="28"/>
          <w:highlight w:val="none"/>
          <w:lang w:val="en-US" w:eastAsia="zh-CN"/>
        </w:rPr>
      </w:pPr>
      <w:r>
        <w:rPr>
          <w:rFonts w:hint="eastAsia" w:ascii="仿宋_GB2312"/>
          <w:b/>
          <w:bCs/>
          <w:szCs w:val="28"/>
          <w:highlight w:val="none"/>
        </w:rPr>
        <w:t>社会效益指标</w:t>
      </w:r>
      <w:r>
        <w:rPr>
          <w:rFonts w:hint="eastAsia" w:ascii="仿宋_GB2312"/>
          <w:szCs w:val="28"/>
          <w:highlight w:val="none"/>
        </w:rPr>
        <w:t>：评价指标“加强考试环境综合治理，提升考试综合治理水平”，指标值</w:t>
      </w:r>
      <w:r>
        <w:rPr>
          <w:rFonts w:hint="eastAsia" w:ascii="仿宋_GB2312"/>
          <w:szCs w:val="28"/>
          <w:highlight w:val="none"/>
          <w:lang w:val="en-US" w:eastAsia="zh-CN"/>
        </w:rPr>
        <w:t>为</w:t>
      </w:r>
      <w:r>
        <w:rPr>
          <w:rFonts w:hint="eastAsia" w:ascii="仿宋_GB2312"/>
          <w:szCs w:val="28"/>
          <w:highlight w:val="none"/>
        </w:rPr>
        <w:t>有所提高，实际完成值</w:t>
      </w:r>
      <w:r>
        <w:rPr>
          <w:rFonts w:hint="eastAsia" w:ascii="仿宋_GB2312"/>
          <w:szCs w:val="28"/>
          <w:highlight w:val="none"/>
          <w:lang w:val="en-US" w:eastAsia="zh-CN"/>
        </w:rPr>
        <w:t>为完全达到预期效果</w:t>
      </w:r>
      <w:r>
        <w:rPr>
          <w:rFonts w:hint="eastAsia" w:ascii="仿宋_GB2312"/>
          <w:szCs w:val="28"/>
          <w:highlight w:val="none"/>
        </w:rPr>
        <w:t>。因项目超期完成，时间上会对社会效益指标实施有影响</w:t>
      </w:r>
      <w:r>
        <w:rPr>
          <w:rFonts w:hint="eastAsia" w:ascii="仿宋_GB2312"/>
          <w:szCs w:val="28"/>
          <w:highlight w:val="none"/>
          <w:lang w:eastAsia="zh-CN"/>
        </w:rPr>
        <w:t>，</w:t>
      </w:r>
      <w:r>
        <w:rPr>
          <w:rFonts w:hint="eastAsia" w:ascii="仿宋_GB2312"/>
          <w:szCs w:val="28"/>
          <w:highlight w:val="none"/>
          <w:lang w:val="en-US" w:eastAsia="zh-CN"/>
        </w:rPr>
        <w:t>故项目完成率为85%，得分12.75分。</w:t>
      </w:r>
    </w:p>
    <w:p w14:paraId="00CFAD66">
      <w:pPr>
        <w:pageBreakBefore w:val="0"/>
        <w:widowControl w:val="0"/>
        <w:kinsoku/>
        <w:wordWrap/>
        <w:overflowPunct/>
        <w:topLinePunct w:val="0"/>
        <w:autoSpaceDN/>
        <w:bidi w:val="0"/>
        <w:adjustRightInd/>
        <w:snapToGrid/>
        <w:spacing w:line="560" w:lineRule="exact"/>
        <w:ind w:firstLine="562"/>
        <w:textAlignment w:val="auto"/>
        <w:rPr>
          <w:rFonts w:ascii="仿宋_GB2312"/>
          <w:szCs w:val="28"/>
          <w:highlight w:val="none"/>
        </w:rPr>
      </w:pPr>
      <w:r>
        <w:rPr>
          <w:rFonts w:hint="eastAsia" w:ascii="仿宋_GB2312"/>
          <w:b/>
          <w:bCs/>
          <w:szCs w:val="28"/>
          <w:highlight w:val="none"/>
        </w:rPr>
        <w:t>生态效益指标</w:t>
      </w:r>
      <w:r>
        <w:rPr>
          <w:rFonts w:hint="eastAsia" w:ascii="仿宋_GB2312"/>
          <w:szCs w:val="28"/>
          <w:highlight w:val="none"/>
        </w:rPr>
        <w:t>：不适用。</w:t>
      </w:r>
    </w:p>
    <w:p w14:paraId="0064403D">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仿宋_GB2312" w:hAnsi="仿宋" w:cs="宋体"/>
          <w:b/>
          <w:kern w:val="0"/>
          <w:szCs w:val="28"/>
          <w:highlight w:val="none"/>
        </w:rPr>
      </w:pPr>
      <w:r>
        <w:rPr>
          <w:rFonts w:hint="eastAsia" w:ascii="仿宋_GB2312" w:hAnsi="仿宋" w:cs="宋体"/>
          <w:b/>
          <w:kern w:val="0"/>
          <w:szCs w:val="28"/>
          <w:highlight w:val="none"/>
        </w:rPr>
        <w:t>综上，</w:t>
      </w:r>
      <w:bookmarkStart w:id="66" w:name="OLE_LINK10"/>
      <w:r>
        <w:rPr>
          <w:rFonts w:hint="eastAsia" w:ascii="仿宋_GB2312" w:hAnsi="仿宋" w:cs="宋体"/>
          <w:b/>
          <w:kern w:val="0"/>
          <w:szCs w:val="28"/>
          <w:highlight w:val="none"/>
        </w:rPr>
        <w:t>该指标满分</w:t>
      </w:r>
      <w:r>
        <w:rPr>
          <w:rFonts w:hint="eastAsia" w:ascii="仿宋_GB2312" w:hAnsi="仿宋" w:cs="宋体"/>
          <w:b/>
          <w:kern w:val="0"/>
          <w:szCs w:val="28"/>
          <w:highlight w:val="none"/>
          <w:lang w:val="en-US" w:eastAsia="zh-CN"/>
        </w:rPr>
        <w:t>15</w:t>
      </w:r>
      <w:r>
        <w:rPr>
          <w:rFonts w:hint="eastAsia" w:ascii="仿宋_GB2312" w:hAnsi="仿宋" w:cs="宋体"/>
          <w:b/>
          <w:kern w:val="0"/>
          <w:szCs w:val="28"/>
          <w:highlight w:val="none"/>
        </w:rPr>
        <w:t>分</w:t>
      </w:r>
      <w:bookmarkEnd w:id="66"/>
      <w:r>
        <w:rPr>
          <w:rFonts w:hint="eastAsia" w:ascii="仿宋_GB2312" w:hAnsi="仿宋" w:cs="宋体"/>
          <w:b/>
          <w:kern w:val="0"/>
          <w:szCs w:val="28"/>
          <w:highlight w:val="none"/>
        </w:rPr>
        <w:t>，得分</w:t>
      </w:r>
      <w:r>
        <w:rPr>
          <w:rFonts w:hint="eastAsia" w:ascii="仿宋_GB2312" w:hAnsi="仿宋" w:cs="宋体"/>
          <w:b/>
          <w:kern w:val="0"/>
          <w:szCs w:val="28"/>
          <w:highlight w:val="none"/>
          <w:lang w:val="en-US" w:eastAsia="zh-CN"/>
        </w:rPr>
        <w:t>12.75</w:t>
      </w:r>
      <w:r>
        <w:rPr>
          <w:rFonts w:hint="eastAsia" w:ascii="仿宋_GB2312" w:hAnsi="仿宋" w:cs="宋体"/>
          <w:b/>
          <w:kern w:val="0"/>
          <w:szCs w:val="28"/>
          <w:highlight w:val="none"/>
        </w:rPr>
        <w:t>分。</w:t>
      </w:r>
    </w:p>
    <w:p w14:paraId="2B5A45C3">
      <w:pPr>
        <w:pStyle w:val="2"/>
        <w:pageBreakBefore w:val="0"/>
        <w:widowControl w:val="0"/>
        <w:kinsoku/>
        <w:wordWrap/>
        <w:overflowPunct/>
        <w:topLinePunct w:val="0"/>
        <w:autoSpaceDN/>
        <w:bidi w:val="0"/>
        <w:adjustRightInd/>
        <w:snapToGrid/>
        <w:spacing w:line="560" w:lineRule="exact"/>
        <w:ind w:firstLine="643"/>
        <w:textAlignment w:val="auto"/>
        <w:rPr>
          <w:rFonts w:hint="eastAsia" w:ascii="仿宋" w:hAnsi="仿宋" w:eastAsia="仿宋"/>
          <w:color w:val="auto"/>
          <w:highlight w:val="none"/>
          <w:lang w:bidi="en-US"/>
        </w:rPr>
      </w:pPr>
      <w:bookmarkStart w:id="67" w:name="_Toc197478780"/>
      <w:r>
        <w:rPr>
          <w:rFonts w:hint="eastAsia" w:ascii="仿宋" w:hAnsi="仿宋" w:eastAsia="仿宋"/>
          <w:color w:val="auto"/>
          <w:highlight w:val="none"/>
          <w:lang w:bidi="en-US"/>
        </w:rPr>
        <w:t>（五）</w:t>
      </w:r>
      <w:r>
        <w:rPr>
          <w:rFonts w:ascii="仿宋" w:hAnsi="仿宋" w:eastAsia="仿宋"/>
          <w:color w:val="auto"/>
          <w:highlight w:val="none"/>
          <w:lang w:bidi="en-US"/>
        </w:rPr>
        <w:t>满意度指标完成情况分析</w:t>
      </w:r>
      <w:bookmarkEnd w:id="67"/>
    </w:p>
    <w:p w14:paraId="05F6376E">
      <w:pPr>
        <w:pageBreakBefore w:val="0"/>
        <w:widowControl w:val="0"/>
        <w:kinsoku/>
        <w:wordWrap/>
        <w:overflowPunct/>
        <w:topLinePunct w:val="0"/>
        <w:autoSpaceDN/>
        <w:bidi w:val="0"/>
        <w:adjustRightInd/>
        <w:snapToGrid/>
        <w:spacing w:line="560" w:lineRule="exact"/>
        <w:ind w:firstLine="560"/>
        <w:textAlignment w:val="auto"/>
        <w:rPr>
          <w:rFonts w:hint="default" w:ascii="仿宋_GB2312" w:eastAsia="仿宋_GB2312"/>
          <w:szCs w:val="28"/>
          <w:highlight w:val="none"/>
          <w:lang w:val="en-US" w:eastAsia="zh-CN"/>
        </w:rPr>
      </w:pPr>
      <w:r>
        <w:rPr>
          <w:rFonts w:hint="eastAsia" w:ascii="仿宋_GB2312"/>
          <w:b/>
          <w:bCs/>
          <w:color w:val="auto"/>
          <w:szCs w:val="28"/>
          <w:highlight w:val="none"/>
        </w:rPr>
        <w:t>（</w:t>
      </w:r>
      <w:r>
        <w:rPr>
          <w:rFonts w:ascii="仿宋_GB2312"/>
          <w:b/>
          <w:bCs/>
          <w:color w:val="auto"/>
          <w:szCs w:val="28"/>
          <w:highlight w:val="none"/>
        </w:rPr>
        <w:t>1</w:t>
      </w:r>
      <w:r>
        <w:rPr>
          <w:rFonts w:hint="eastAsia" w:ascii="仿宋_GB2312"/>
          <w:b/>
          <w:bCs/>
          <w:color w:val="auto"/>
          <w:szCs w:val="28"/>
          <w:highlight w:val="none"/>
        </w:rPr>
        <w:t>）满意度指标</w:t>
      </w:r>
      <w:r>
        <w:rPr>
          <w:rFonts w:hint="eastAsia" w:ascii="仿宋_GB2312"/>
          <w:b/>
          <w:bCs/>
          <w:color w:val="auto"/>
          <w:szCs w:val="28"/>
          <w:highlight w:val="none"/>
          <w:lang w:val="en-US" w:eastAsia="zh-CN"/>
        </w:rPr>
        <w:t>由</w:t>
      </w:r>
      <w:r>
        <w:rPr>
          <w:rFonts w:ascii="仿宋_GB2312"/>
          <w:szCs w:val="28"/>
          <w:highlight w:val="none"/>
        </w:rPr>
        <w:t>1</w:t>
      </w:r>
      <w:r>
        <w:rPr>
          <w:rFonts w:hint="eastAsia" w:ascii="仿宋_GB2312"/>
          <w:szCs w:val="28"/>
          <w:highlight w:val="none"/>
        </w:rPr>
        <w:t>个二级指标和</w:t>
      </w:r>
      <w:r>
        <w:rPr>
          <w:rFonts w:hint="eastAsia" w:ascii="仿宋_GB2312"/>
          <w:szCs w:val="28"/>
          <w:highlight w:val="none"/>
          <w:lang w:val="en-US" w:eastAsia="zh-CN"/>
        </w:rPr>
        <w:t>1</w:t>
      </w:r>
      <w:r>
        <w:rPr>
          <w:rFonts w:hint="eastAsia" w:ascii="仿宋_GB2312"/>
          <w:szCs w:val="28"/>
          <w:highlight w:val="none"/>
        </w:rPr>
        <w:t>个三级指标构成，权重为</w:t>
      </w:r>
      <w:r>
        <w:rPr>
          <w:rFonts w:hint="eastAsia" w:ascii="仿宋_GB2312"/>
          <w:szCs w:val="28"/>
          <w:highlight w:val="none"/>
          <w:lang w:val="en-US" w:eastAsia="zh-CN"/>
        </w:rPr>
        <w:t>5</w:t>
      </w:r>
      <w:r>
        <w:rPr>
          <w:rFonts w:hint="eastAsia" w:ascii="仿宋_GB2312"/>
          <w:szCs w:val="28"/>
          <w:highlight w:val="none"/>
        </w:rPr>
        <w:t>分，实际得分</w:t>
      </w:r>
      <w:r>
        <w:rPr>
          <w:rFonts w:hint="eastAsia" w:ascii="仿宋_GB2312"/>
          <w:szCs w:val="28"/>
          <w:highlight w:val="none"/>
          <w:lang w:val="en-US" w:eastAsia="zh-CN"/>
        </w:rPr>
        <w:t>5</w:t>
      </w:r>
      <w:r>
        <w:rPr>
          <w:rFonts w:hint="eastAsia" w:ascii="仿宋_GB2312"/>
          <w:szCs w:val="28"/>
          <w:highlight w:val="none"/>
        </w:rPr>
        <w:t>分。</w:t>
      </w:r>
      <w:r>
        <w:rPr>
          <w:rFonts w:ascii="仿宋_GB2312"/>
          <w:szCs w:val="28"/>
          <w:highlight w:val="none"/>
        </w:rPr>
        <w:t xml:space="preserve"> </w:t>
      </w:r>
      <w:r>
        <w:rPr>
          <w:rFonts w:hint="eastAsia" w:ascii="仿宋_GB2312"/>
          <w:szCs w:val="28"/>
          <w:highlight w:val="none"/>
          <w:lang w:val="en-US" w:eastAsia="zh-CN"/>
        </w:rPr>
        <w:t>指标评价“学校满意度”，实际完成值为100%。得分5分。</w:t>
      </w:r>
    </w:p>
    <w:p w14:paraId="7FD3A96D">
      <w:pPr>
        <w:pageBreakBefore w:val="0"/>
        <w:widowControl w:val="0"/>
        <w:kinsoku/>
        <w:wordWrap/>
        <w:overflowPunct/>
        <w:topLinePunct w:val="0"/>
        <w:autoSpaceDN/>
        <w:bidi w:val="0"/>
        <w:adjustRightInd/>
        <w:snapToGrid/>
        <w:spacing w:line="560" w:lineRule="exact"/>
        <w:ind w:firstLine="560"/>
        <w:textAlignment w:val="auto"/>
        <w:rPr>
          <w:rFonts w:hint="default" w:ascii="仿宋_GB2312"/>
          <w:szCs w:val="28"/>
          <w:highlight w:val="none"/>
          <w:lang w:val="en-US" w:eastAsia="zh-CN"/>
        </w:rPr>
      </w:pPr>
      <w:r>
        <w:rPr>
          <w:rFonts w:hint="eastAsia" w:ascii="仿宋_GB2312"/>
          <w:szCs w:val="28"/>
          <w:highlight w:val="none"/>
          <w:lang w:val="en-US" w:eastAsia="zh-CN"/>
        </w:rPr>
        <w:t>综上，该指标满分5分，得分5分。</w:t>
      </w:r>
    </w:p>
    <w:p w14:paraId="0E01CE63">
      <w:pPr>
        <w:pStyle w:val="2"/>
        <w:pageBreakBefore w:val="0"/>
        <w:widowControl w:val="0"/>
        <w:kinsoku/>
        <w:wordWrap/>
        <w:overflowPunct/>
        <w:topLinePunct w:val="0"/>
        <w:autoSpaceDN/>
        <w:bidi w:val="0"/>
        <w:adjustRightInd/>
        <w:snapToGrid/>
        <w:spacing w:line="560" w:lineRule="exact"/>
        <w:textAlignment w:val="auto"/>
        <w:rPr>
          <w:rFonts w:hint="eastAsia"/>
        </w:rPr>
      </w:pPr>
    </w:p>
    <w:p w14:paraId="36AD4A3B">
      <w:pPr>
        <w:pStyle w:val="3"/>
        <w:pageBreakBefore w:val="0"/>
        <w:widowControl w:val="0"/>
        <w:kinsoku/>
        <w:wordWrap/>
        <w:overflowPunct/>
        <w:topLinePunct w:val="0"/>
        <w:autoSpaceDN/>
        <w:bidi w:val="0"/>
        <w:adjustRightInd/>
        <w:snapToGrid/>
        <w:spacing w:line="560" w:lineRule="exact"/>
        <w:ind w:firstLine="0" w:firstLineChars="0"/>
        <w:jc w:val="left"/>
        <w:textAlignment w:val="auto"/>
        <w:rPr>
          <w:rFonts w:hint="eastAsia" w:ascii="仿宋" w:hAnsi="仿宋" w:eastAsia="仿宋"/>
          <w:sz w:val="36"/>
          <w:szCs w:val="36"/>
          <w:lang w:bidi="en-US"/>
        </w:rPr>
      </w:pPr>
      <w:bookmarkStart w:id="68" w:name="_Toc67911617"/>
      <w:bookmarkStart w:id="69" w:name="_Toc197478781"/>
      <w:r>
        <w:rPr>
          <w:rFonts w:hint="eastAsia" w:ascii="仿宋" w:hAnsi="仿宋" w:eastAsia="仿宋"/>
          <w:sz w:val="36"/>
          <w:szCs w:val="36"/>
          <w:lang w:bidi="en-US"/>
        </w:rPr>
        <w:t>五、主要经验及做法、存在的问题及原因分析</w:t>
      </w:r>
      <w:bookmarkEnd w:id="68"/>
      <w:bookmarkEnd w:id="69"/>
    </w:p>
    <w:p w14:paraId="256E7979">
      <w:pPr>
        <w:pStyle w:val="2"/>
        <w:pageBreakBefore w:val="0"/>
        <w:widowControl w:val="0"/>
        <w:kinsoku/>
        <w:wordWrap/>
        <w:overflowPunct/>
        <w:topLinePunct w:val="0"/>
        <w:autoSpaceDN/>
        <w:bidi w:val="0"/>
        <w:adjustRightInd/>
        <w:snapToGrid/>
        <w:spacing w:line="560" w:lineRule="exact"/>
        <w:ind w:firstLine="643"/>
        <w:textAlignment w:val="auto"/>
        <w:rPr>
          <w:rFonts w:hint="eastAsia" w:ascii="仿宋" w:hAnsi="仿宋" w:eastAsia="仿宋"/>
          <w:lang w:bidi="en-US"/>
        </w:rPr>
      </w:pPr>
      <w:bookmarkStart w:id="70" w:name="_Toc197478782"/>
      <w:bookmarkStart w:id="71" w:name="_Toc67911618"/>
      <w:r>
        <w:rPr>
          <w:rFonts w:hint="eastAsia" w:ascii="仿宋" w:hAnsi="仿宋" w:eastAsia="仿宋"/>
          <w:lang w:bidi="en-US"/>
        </w:rPr>
        <w:t>（一）主要经验及做法</w:t>
      </w:r>
      <w:bookmarkEnd w:id="70"/>
      <w:bookmarkEnd w:id="71"/>
    </w:p>
    <w:p w14:paraId="2F2C5D1A">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仿宋_GB2312" w:hAnsi="仿宋" w:cs="宋体"/>
          <w:kern w:val="0"/>
          <w:szCs w:val="28"/>
        </w:rPr>
      </w:pPr>
      <w:r>
        <w:rPr>
          <w:rFonts w:hint="eastAsia" w:ascii="仿宋_GB2312"/>
          <w:szCs w:val="28"/>
          <w:lang w:eastAsia="zh-CN"/>
        </w:rPr>
        <w:t>国</w:t>
      </w:r>
      <w:r>
        <w:rPr>
          <w:rFonts w:ascii="仿宋_GB2312"/>
          <w:szCs w:val="28"/>
        </w:rPr>
        <w:t>家教育考试标准化考点建设是一项系统工程，旨在通过运用现代信息技术，实现考试管理的规范化、科学化、精细化，确保国家教</w:t>
      </w:r>
      <w:r>
        <w:rPr>
          <w:rFonts w:ascii="仿宋_GB2312" w:hAnsi="仿宋" w:cs="宋体"/>
          <w:kern w:val="0"/>
          <w:szCs w:val="28"/>
        </w:rPr>
        <w:t>育考试的公平、公正、安全。</w:t>
      </w:r>
    </w:p>
    <w:p w14:paraId="57034C2B">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hint="eastAsia" w:ascii="仿宋_GB2312" w:hAnsi="仿宋" w:cs="宋体"/>
          <w:kern w:val="0"/>
          <w:szCs w:val="28"/>
          <w:lang w:val="en-US" w:eastAsia="zh-CN"/>
        </w:rPr>
        <w:t>1、</w:t>
      </w:r>
      <w:r>
        <w:rPr>
          <w:rFonts w:ascii="仿宋_GB2312" w:hAnsi="仿宋" w:cs="宋体"/>
          <w:kern w:val="0"/>
          <w:szCs w:val="28"/>
        </w:rPr>
        <w:t>规划与设计</w:t>
      </w:r>
    </w:p>
    <w:p w14:paraId="483FA3C6">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整体规划：制定全面的考点建设规划，明确建设目标、任务、步骤和时间节点，确保考点建设与国家教育考试的发展需求相适应。</w:t>
      </w:r>
    </w:p>
    <w:p w14:paraId="58A63887">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功能设计：根据考试管理的实际需求，设计考点的各项功能，包括考试组织、考务管理、监考监控、应急处置等，确保考点具备高效、便捷、安全的考试服务能力</w:t>
      </w:r>
      <w:r>
        <w:rPr>
          <w:rFonts w:hint="eastAsia" w:ascii="仿宋_GB2312" w:hAnsi="仿宋" w:cs="宋体"/>
          <w:kern w:val="0"/>
          <w:szCs w:val="28"/>
        </w:rPr>
        <w:t>。</w:t>
      </w:r>
    </w:p>
    <w:p w14:paraId="5ADB51A8">
      <w:pPr>
        <w:pageBreakBefore w:val="0"/>
        <w:widowControl w:val="0"/>
        <w:kinsoku/>
        <w:wordWrap/>
        <w:overflowPunct/>
        <w:topLinePunct w:val="0"/>
        <w:autoSpaceDE w:val="0"/>
        <w:autoSpaceDN/>
        <w:bidi w:val="0"/>
        <w:adjustRightInd/>
        <w:snapToGrid/>
        <w:spacing w:line="560" w:lineRule="exact"/>
        <w:textAlignment w:val="auto"/>
        <w:rPr>
          <w:rFonts w:hint="eastAsia" w:ascii="仿宋_GB2312" w:hAnsi="仿宋" w:cs="宋体"/>
          <w:kern w:val="0"/>
          <w:szCs w:val="28"/>
        </w:rPr>
      </w:pPr>
      <w:r>
        <w:rPr>
          <w:rFonts w:hint="eastAsia" w:ascii="仿宋_GB2312" w:hAnsi="仿宋" w:cs="宋体"/>
          <w:kern w:val="0"/>
          <w:szCs w:val="28"/>
          <w:lang w:val="en-US" w:eastAsia="zh-CN"/>
        </w:rPr>
        <w:t>2、</w:t>
      </w:r>
      <w:r>
        <w:rPr>
          <w:rFonts w:ascii="仿宋_GB2312" w:hAnsi="仿宋" w:cs="宋体"/>
          <w:kern w:val="0"/>
          <w:szCs w:val="28"/>
        </w:rPr>
        <w:t>基础设施建设</w:t>
      </w:r>
    </w:p>
    <w:p w14:paraId="37681A86">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网络建设：构建稳定、高速的网络环境，确保考试数据的实时传输和处理，支持远程监考、视频会议等功能的实现。</w:t>
      </w:r>
    </w:p>
    <w:p w14:paraId="16423CFE">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监控系统：安装</w:t>
      </w:r>
      <w:r>
        <w:rPr>
          <w:rFonts w:hint="eastAsia" w:ascii="仿宋_GB2312" w:hAnsi="仿宋" w:cs="宋体"/>
          <w:kern w:val="0"/>
          <w:szCs w:val="28"/>
        </w:rPr>
        <w:t>智能</w:t>
      </w:r>
      <w:r>
        <w:rPr>
          <w:rFonts w:ascii="仿宋_GB2312" w:hAnsi="仿宋" w:cs="宋体"/>
          <w:kern w:val="0"/>
          <w:szCs w:val="28"/>
        </w:rPr>
        <w:t>高清摄像头、拾音器等监控设备，实现对考场内的实时监控，确保考试过程的公平、公正。</w:t>
      </w:r>
    </w:p>
    <w:p w14:paraId="0954240C">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存储系统：建设大容量、高性能的存储系统，确保考试数据的安全存储和备份，防止数据丢失和泄露。</w:t>
      </w:r>
    </w:p>
    <w:p w14:paraId="5995F581">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hint="eastAsia" w:ascii="仿宋_GB2312" w:hAnsi="仿宋" w:cs="宋体"/>
          <w:kern w:val="0"/>
          <w:szCs w:val="28"/>
          <w:lang w:val="en-US" w:eastAsia="zh-CN"/>
        </w:rPr>
        <w:t>3、</w:t>
      </w:r>
      <w:r>
        <w:rPr>
          <w:rFonts w:ascii="仿宋_GB2312" w:hAnsi="仿宋" w:cs="宋体"/>
          <w:kern w:val="0"/>
          <w:szCs w:val="28"/>
        </w:rPr>
        <w:t>安全保密措施</w:t>
      </w:r>
    </w:p>
    <w:p w14:paraId="28F08651">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数据安全：采用加密技术、访问控制等手段，确保考试数据的安全存储和传输，防止数据泄露和篡改。</w:t>
      </w:r>
    </w:p>
    <w:p w14:paraId="5891C460">
      <w:pPr>
        <w:pageBreakBefore w:val="0"/>
        <w:widowControl w:val="0"/>
        <w:kinsoku/>
        <w:wordWrap/>
        <w:overflowPunct/>
        <w:topLinePunct w:val="0"/>
        <w:autoSpaceDE w:val="0"/>
        <w:autoSpaceDN/>
        <w:bidi w:val="0"/>
        <w:adjustRightInd/>
        <w:snapToGrid/>
        <w:spacing w:line="560" w:lineRule="exact"/>
        <w:textAlignment w:val="auto"/>
        <w:rPr>
          <w:rFonts w:hint="eastAsia" w:ascii="仿宋_GB2312" w:hAnsi="仿宋" w:cs="宋体"/>
          <w:kern w:val="0"/>
          <w:szCs w:val="28"/>
        </w:rPr>
      </w:pPr>
      <w:r>
        <w:rPr>
          <w:rFonts w:hint="eastAsia" w:ascii="仿宋_GB2312" w:hAnsi="仿宋" w:cs="宋体"/>
          <w:kern w:val="0"/>
          <w:szCs w:val="28"/>
          <w:lang w:val="en-US" w:eastAsia="zh-CN"/>
        </w:rPr>
        <w:t>4、</w:t>
      </w:r>
      <w:r>
        <w:rPr>
          <w:rFonts w:ascii="仿宋_GB2312" w:hAnsi="仿宋" w:cs="宋体"/>
          <w:kern w:val="0"/>
          <w:szCs w:val="28"/>
        </w:rPr>
        <w:t>应急处置机制</w:t>
      </w:r>
    </w:p>
    <w:p w14:paraId="63FB92BD">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应急预案制定：制定完善的应急预案，明确应急处置的流程、责任分工和资源保障，确保在考试过程中遇到突发情况能够及时、有效地进行处置。</w:t>
      </w:r>
    </w:p>
    <w:p w14:paraId="255D862A">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技术支持：建立应急技术支持团队，配备必要的技术设备和工具，确保在应急处置过程中能够及时提供技术支持和保障。</w:t>
      </w:r>
    </w:p>
    <w:p w14:paraId="48C23CEA">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hint="eastAsia" w:ascii="仿宋_GB2312" w:hAnsi="仿宋" w:cs="宋体"/>
          <w:kern w:val="0"/>
          <w:szCs w:val="28"/>
          <w:lang w:val="en-US" w:eastAsia="zh-CN"/>
        </w:rPr>
        <w:t>5、</w:t>
      </w:r>
      <w:r>
        <w:rPr>
          <w:rFonts w:ascii="仿宋_GB2312" w:hAnsi="仿宋" w:cs="宋体"/>
          <w:kern w:val="0"/>
          <w:szCs w:val="28"/>
        </w:rPr>
        <w:t>培训与服务</w:t>
      </w:r>
    </w:p>
    <w:p w14:paraId="01770AF6">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人员培训：对考点管理人员、监考人员、技术人员等进行全面的培训，提高他们的业务水平和操作技能，确保考试工作的顺利进行。</w:t>
      </w:r>
    </w:p>
    <w:p w14:paraId="2E539CD8">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技术支持：建立完善的技术支持体系，为考点提供及时、有效的技术支持和服务，解决考试过程中遇到的技术问题。</w:t>
      </w:r>
    </w:p>
    <w:p w14:paraId="34F2506D">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用户反馈：及时收集考点和考生的意见和建议，不断改进考点建设和考试管理工作，提高服务质量和水平</w:t>
      </w:r>
      <w:r>
        <w:rPr>
          <w:rFonts w:hint="eastAsia" w:ascii="仿宋_GB2312" w:hAnsi="仿宋" w:cs="宋体"/>
          <w:kern w:val="0"/>
          <w:szCs w:val="28"/>
        </w:rPr>
        <w:t>。</w:t>
      </w:r>
    </w:p>
    <w:p w14:paraId="1B00C962">
      <w:pPr>
        <w:pageBreakBefore w:val="0"/>
        <w:widowControl w:val="0"/>
        <w:kinsoku/>
        <w:wordWrap/>
        <w:overflowPunct/>
        <w:topLinePunct w:val="0"/>
        <w:autoSpaceDE w:val="0"/>
        <w:autoSpaceDN/>
        <w:bidi w:val="0"/>
        <w:adjustRightInd/>
        <w:snapToGrid/>
        <w:spacing w:line="560" w:lineRule="exact"/>
        <w:ind w:firstLine="560"/>
        <w:textAlignment w:val="auto"/>
        <w:rPr>
          <w:rFonts w:hint="eastAsia" w:ascii="仿宋_GB2312" w:hAnsi="仿宋" w:cs="宋体"/>
          <w:kern w:val="0"/>
          <w:szCs w:val="28"/>
        </w:rPr>
      </w:pPr>
      <w:r>
        <w:rPr>
          <w:rFonts w:ascii="仿宋_GB2312" w:hAnsi="仿宋" w:cs="宋体"/>
          <w:kern w:val="0"/>
          <w:szCs w:val="28"/>
        </w:rPr>
        <w:t>国家教育考试标准化考点建设是一项长期而艰巨的任务，需要不断总结经验，持续改进完善，以适应国家教育考试发展的新需求，为维护教育公平、促进教育事业健康发展提供有力保障。</w:t>
      </w:r>
    </w:p>
    <w:p w14:paraId="47BBD1C2">
      <w:pPr>
        <w:pStyle w:val="2"/>
        <w:pageBreakBefore w:val="0"/>
        <w:widowControl w:val="0"/>
        <w:kinsoku/>
        <w:wordWrap/>
        <w:overflowPunct/>
        <w:topLinePunct w:val="0"/>
        <w:autoSpaceDN/>
        <w:bidi w:val="0"/>
        <w:adjustRightInd/>
        <w:snapToGrid/>
        <w:spacing w:line="560" w:lineRule="exact"/>
        <w:ind w:firstLine="643"/>
        <w:textAlignment w:val="auto"/>
        <w:rPr>
          <w:rFonts w:hint="eastAsia" w:ascii="仿宋" w:hAnsi="仿宋" w:eastAsia="仿宋"/>
          <w:lang w:bidi="en-US"/>
        </w:rPr>
      </w:pPr>
      <w:bookmarkStart w:id="72" w:name="_Toc197478783"/>
      <w:r>
        <w:rPr>
          <w:rFonts w:hint="eastAsia" w:ascii="仿宋" w:hAnsi="仿宋" w:eastAsia="仿宋"/>
          <w:lang w:bidi="en-US"/>
        </w:rPr>
        <w:t>（二）存在的问题及原因分析</w:t>
      </w:r>
      <w:bookmarkEnd w:id="72"/>
    </w:p>
    <w:p w14:paraId="68392733">
      <w:pPr>
        <w:pageBreakBefore w:val="0"/>
        <w:widowControl w:val="0"/>
        <w:kinsoku/>
        <w:wordWrap/>
        <w:overflowPunct/>
        <w:topLinePunct w:val="0"/>
        <w:autoSpaceDN/>
        <w:bidi w:val="0"/>
        <w:adjustRightInd/>
        <w:snapToGrid/>
        <w:spacing w:line="560" w:lineRule="exact"/>
        <w:ind w:firstLine="560"/>
        <w:textAlignment w:val="auto"/>
        <w:rPr>
          <w:rFonts w:ascii="仿宋_GB2312" w:hAnsi="仿宋" w:cs="宋体"/>
          <w:kern w:val="0"/>
          <w:szCs w:val="28"/>
        </w:rPr>
      </w:pPr>
      <w:r>
        <w:rPr>
          <w:rFonts w:ascii="仿宋_GB2312" w:hAnsi="仿宋" w:cs="宋体"/>
          <w:kern w:val="0"/>
          <w:szCs w:val="28"/>
        </w:rPr>
        <w:t>在项目执行过程中</w:t>
      </w:r>
      <w:r>
        <w:rPr>
          <w:rFonts w:hint="eastAsia" w:ascii="仿宋_GB2312" w:hAnsi="仿宋" w:cs="宋体"/>
          <w:kern w:val="0"/>
          <w:szCs w:val="28"/>
        </w:rPr>
        <w:t>，</w:t>
      </w:r>
      <w:r>
        <w:rPr>
          <w:rFonts w:ascii="仿宋_GB2312" w:hAnsi="仿宋" w:cs="宋体"/>
          <w:kern w:val="0"/>
          <w:szCs w:val="28"/>
        </w:rPr>
        <w:t>项目实际进度落后于计划进度，出现延误交付的情况，可能导致错过关键节点</w:t>
      </w:r>
      <w:r>
        <w:rPr>
          <w:rFonts w:hint="eastAsia" w:ascii="仿宋_GB2312" w:hAnsi="仿宋" w:cs="宋体"/>
          <w:kern w:val="0"/>
          <w:szCs w:val="28"/>
          <w:lang w:eastAsia="zh-CN"/>
        </w:rPr>
        <w:t>等</w:t>
      </w:r>
      <w:r>
        <w:rPr>
          <w:rFonts w:ascii="仿宋_GB2312" w:hAnsi="仿宋" w:cs="宋体"/>
          <w:kern w:val="0"/>
          <w:szCs w:val="28"/>
        </w:rPr>
        <w:t>问题。原因</w:t>
      </w:r>
      <w:r>
        <w:rPr>
          <w:rFonts w:hint="eastAsia" w:ascii="仿宋_GB2312" w:hAnsi="仿宋" w:cs="宋体"/>
          <w:kern w:val="0"/>
          <w:szCs w:val="28"/>
          <w:lang w:val="en-US" w:eastAsia="zh-CN"/>
        </w:rPr>
        <w:t>为</w:t>
      </w:r>
      <w:r>
        <w:rPr>
          <w:rFonts w:ascii="仿宋_GB2312" w:hAnsi="仿宋" w:cs="宋体"/>
          <w:kern w:val="0"/>
          <w:szCs w:val="28"/>
        </w:rPr>
        <w:t>：</w:t>
      </w:r>
    </w:p>
    <w:p w14:paraId="415D7D54">
      <w:pPr>
        <w:pageBreakBefore w:val="0"/>
        <w:widowControl w:val="0"/>
        <w:kinsoku/>
        <w:wordWrap/>
        <w:overflowPunct/>
        <w:topLinePunct w:val="0"/>
        <w:autoSpaceDN/>
        <w:bidi w:val="0"/>
        <w:adjustRightInd/>
        <w:snapToGrid/>
        <w:spacing w:line="560" w:lineRule="exact"/>
        <w:ind w:firstLine="560"/>
        <w:textAlignment w:val="auto"/>
        <w:rPr>
          <w:rFonts w:ascii="仿宋_GB2312" w:hAnsi="仿宋" w:cs="宋体"/>
          <w:kern w:val="0"/>
          <w:szCs w:val="28"/>
        </w:rPr>
      </w:pPr>
      <w:r>
        <w:rPr>
          <w:rFonts w:hint="eastAsia" w:ascii="仿宋_GB2312" w:hAnsi="仿宋" w:cs="宋体"/>
          <w:kern w:val="0"/>
          <w:szCs w:val="28"/>
          <w:lang w:val="en-US" w:eastAsia="zh-CN"/>
        </w:rPr>
        <w:t>1、</w:t>
      </w:r>
      <w:r>
        <w:rPr>
          <w:rFonts w:ascii="仿宋_GB2312" w:hAnsi="仿宋" w:cs="宋体"/>
          <w:kern w:val="0"/>
          <w:szCs w:val="28"/>
        </w:rPr>
        <w:t>项目计划制定不合理，任务分解不细致、时间估算不准确；</w:t>
      </w:r>
    </w:p>
    <w:p w14:paraId="7E3A63BB">
      <w:pPr>
        <w:pageBreakBefore w:val="0"/>
        <w:widowControl w:val="0"/>
        <w:kinsoku/>
        <w:wordWrap/>
        <w:overflowPunct/>
        <w:topLinePunct w:val="0"/>
        <w:autoSpaceDN/>
        <w:bidi w:val="0"/>
        <w:adjustRightInd/>
        <w:snapToGrid/>
        <w:spacing w:line="560" w:lineRule="exact"/>
        <w:textAlignment w:val="auto"/>
        <w:rPr>
          <w:rFonts w:ascii="仿宋_GB2312" w:hAnsi="仿宋" w:cs="宋体"/>
          <w:kern w:val="0"/>
          <w:szCs w:val="28"/>
        </w:rPr>
      </w:pPr>
      <w:r>
        <w:rPr>
          <w:rFonts w:hint="eastAsia" w:ascii="仿宋_GB2312" w:hAnsi="仿宋" w:cs="宋体"/>
          <w:kern w:val="0"/>
          <w:szCs w:val="28"/>
          <w:lang w:val="en-US" w:eastAsia="zh-CN"/>
        </w:rPr>
        <w:t>2、</w:t>
      </w:r>
      <w:r>
        <w:rPr>
          <w:rFonts w:ascii="仿宋_GB2312" w:hAnsi="仿宋" w:cs="宋体"/>
          <w:kern w:val="0"/>
          <w:szCs w:val="28"/>
        </w:rPr>
        <w:t>资源分配不足或不均衡，导致某些关键任务无法按时完成；</w:t>
      </w:r>
    </w:p>
    <w:p w14:paraId="18BF6977">
      <w:pPr>
        <w:pageBreakBefore w:val="0"/>
        <w:widowControl w:val="0"/>
        <w:kinsoku/>
        <w:wordWrap/>
        <w:overflowPunct/>
        <w:topLinePunct w:val="0"/>
        <w:autoSpaceDN/>
        <w:bidi w:val="0"/>
        <w:adjustRightInd/>
        <w:snapToGrid/>
        <w:spacing w:line="560" w:lineRule="exact"/>
        <w:ind w:firstLine="560"/>
        <w:textAlignment w:val="auto"/>
        <w:rPr>
          <w:rFonts w:ascii="仿宋_GB2312" w:hAnsi="仿宋" w:cs="宋体"/>
          <w:kern w:val="0"/>
          <w:szCs w:val="28"/>
        </w:rPr>
      </w:pPr>
      <w:r>
        <w:rPr>
          <w:rFonts w:hint="eastAsia" w:ascii="仿宋_GB2312" w:hAnsi="仿宋" w:cs="宋体"/>
          <w:kern w:val="0"/>
          <w:szCs w:val="28"/>
          <w:lang w:val="en-US" w:eastAsia="zh-CN"/>
        </w:rPr>
        <w:t>3、</w:t>
      </w:r>
      <w:r>
        <w:rPr>
          <w:rFonts w:ascii="仿宋_GB2312" w:hAnsi="仿宋" w:cs="宋体"/>
          <w:kern w:val="0"/>
          <w:szCs w:val="28"/>
        </w:rPr>
        <w:t>风险管理不到位，未及时识别和应对可能影响进度的风险因素；</w:t>
      </w:r>
    </w:p>
    <w:p w14:paraId="5E4BC66F">
      <w:pPr>
        <w:pageBreakBefore w:val="0"/>
        <w:widowControl w:val="0"/>
        <w:kinsoku/>
        <w:wordWrap/>
        <w:overflowPunct/>
        <w:topLinePunct w:val="0"/>
        <w:autoSpaceDN/>
        <w:bidi w:val="0"/>
        <w:adjustRightInd/>
        <w:snapToGrid/>
        <w:spacing w:line="560" w:lineRule="exact"/>
        <w:textAlignment w:val="auto"/>
        <w:rPr>
          <w:rFonts w:ascii="仿宋_GB2312" w:hAnsi="仿宋" w:cs="宋体"/>
          <w:kern w:val="0"/>
          <w:szCs w:val="28"/>
        </w:rPr>
      </w:pPr>
      <w:r>
        <w:rPr>
          <w:rFonts w:hint="eastAsia" w:ascii="仿宋_GB2312" w:hAnsi="仿宋" w:cs="宋体"/>
          <w:kern w:val="0"/>
          <w:szCs w:val="28"/>
          <w:lang w:val="en-US" w:eastAsia="zh-CN"/>
        </w:rPr>
        <w:t>4、</w:t>
      </w:r>
      <w:r>
        <w:rPr>
          <w:rFonts w:ascii="仿宋_GB2312" w:hAnsi="仿宋" w:cs="宋体"/>
          <w:kern w:val="0"/>
          <w:szCs w:val="28"/>
        </w:rPr>
        <w:t>团队成员工作效率低下、缺乏有效的协作机制等。</w:t>
      </w:r>
    </w:p>
    <w:p w14:paraId="23363FFE">
      <w:pPr>
        <w:pageBreakBefore w:val="0"/>
        <w:widowControl w:val="0"/>
        <w:kinsoku/>
        <w:wordWrap/>
        <w:overflowPunct/>
        <w:topLinePunct w:val="0"/>
        <w:autoSpaceDN/>
        <w:bidi w:val="0"/>
        <w:adjustRightInd/>
        <w:snapToGrid/>
        <w:spacing w:line="560" w:lineRule="exact"/>
        <w:textAlignment w:val="auto"/>
        <w:rPr>
          <w:rFonts w:ascii="仿宋_GB2312" w:hAnsi="仿宋" w:cs="宋体"/>
          <w:kern w:val="0"/>
          <w:szCs w:val="28"/>
        </w:rPr>
      </w:pPr>
      <w:r>
        <w:rPr>
          <w:rFonts w:hint="eastAsia" w:ascii="仿宋_GB2312" w:hAnsi="仿宋" w:cs="宋体"/>
          <w:kern w:val="0"/>
          <w:szCs w:val="28"/>
        </w:rPr>
        <w:t>针对以上问题，需要在项目执行过程中加强目标管理、进度管理、质量管理、成本管理、团队建设、风险管理和利益相关者管理等方面的工作，建立完善的项目管理体系和流程，确保项目顺利实施并达到预期的绩效目标。同时，定期对项目绩效进行评价和分析，及时发现问题并采取针对性的改进措施，不断提升项目管理水平。</w:t>
      </w:r>
    </w:p>
    <w:p w14:paraId="2275BA34">
      <w:pPr>
        <w:pStyle w:val="3"/>
        <w:pageBreakBefore w:val="0"/>
        <w:widowControl w:val="0"/>
        <w:kinsoku/>
        <w:wordWrap/>
        <w:overflowPunct/>
        <w:topLinePunct w:val="0"/>
        <w:autoSpaceDN/>
        <w:bidi w:val="0"/>
        <w:adjustRightInd/>
        <w:snapToGrid/>
        <w:spacing w:line="560" w:lineRule="exact"/>
        <w:ind w:firstLine="0" w:firstLineChars="0"/>
        <w:jc w:val="left"/>
        <w:textAlignment w:val="auto"/>
        <w:rPr>
          <w:rFonts w:hint="eastAsia" w:ascii="仿宋" w:hAnsi="仿宋" w:eastAsia="仿宋"/>
          <w:sz w:val="36"/>
          <w:szCs w:val="36"/>
          <w:lang w:bidi="en-US"/>
        </w:rPr>
      </w:pPr>
      <w:bookmarkStart w:id="73" w:name="_Toc197478784"/>
      <w:bookmarkStart w:id="74" w:name="_Toc67911620"/>
      <w:bookmarkStart w:id="75" w:name="_Toc67911619"/>
      <w:r>
        <w:rPr>
          <w:rFonts w:hint="eastAsia" w:ascii="仿宋" w:hAnsi="仿宋" w:eastAsia="仿宋"/>
          <w:sz w:val="36"/>
          <w:szCs w:val="36"/>
          <w:lang w:bidi="en-US"/>
        </w:rPr>
        <w:t>六、有关建议</w:t>
      </w:r>
      <w:bookmarkEnd w:id="73"/>
      <w:bookmarkEnd w:id="74"/>
    </w:p>
    <w:p w14:paraId="426F0D52">
      <w:pPr>
        <w:pageBreakBefore w:val="0"/>
        <w:widowControl w:val="0"/>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w:t>
      </w:r>
      <w:r>
        <w:rPr>
          <w:rFonts w:hint="eastAsia" w:ascii="仿宋_GB2312"/>
          <w:szCs w:val="28"/>
          <w:lang w:eastAsia="zh-CN"/>
        </w:rPr>
        <w:t>目标</w:t>
      </w:r>
      <w:r>
        <w:rPr>
          <w:rFonts w:hint="eastAsia" w:ascii="仿宋_GB2312"/>
          <w:szCs w:val="28"/>
        </w:rPr>
        <w:t>管理机制，便于有效考核执行效果。</w:t>
      </w:r>
    </w:p>
    <w:p w14:paraId="34794358">
      <w:pPr>
        <w:pageBreakBefore w:val="0"/>
        <w:widowControl w:val="0"/>
        <w:numPr>
          <w:ilvl w:val="0"/>
          <w:numId w:val="3"/>
        </w:numPr>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对项目决策的建议：坚持集体决策，根据职责、权限和议事规则，对项目决策进行集体讨论和决定，由项目负责科室提出议案，领导小组集体通过，避免个人或少数人专断。</w:t>
      </w:r>
    </w:p>
    <w:p w14:paraId="13734482">
      <w:pPr>
        <w:pageBreakBefore w:val="0"/>
        <w:widowControl w:val="0"/>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2、对预算安排与执行的建议:预算资金分配依据充分，资金分配额度合理，预算资金到位率100%，资金使用符合国家财政法规和财务管理制度，资金的拨付有完整的审批流程和审批手续，对符合预算批复和合同规定的用途，不存在截留、挪用、虚支等情况。</w:t>
      </w:r>
    </w:p>
    <w:p w14:paraId="3D6C7B81">
      <w:pPr>
        <w:pageBreakBefore w:val="0"/>
        <w:widowControl w:val="0"/>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3、对资金管理的建议：我单位设立《资金使用管理制度》。使用资金时，严格按照规定和审批流程，规范资金使用情况，避免跨年度结算或长期挂账。对未完成的项目积极与上级管理部门协调，及时上报。</w:t>
      </w:r>
    </w:p>
    <w:p w14:paraId="535EE9A6">
      <w:pPr>
        <w:pageBreakBefore w:val="0"/>
        <w:widowControl w:val="0"/>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4、项目管理的建议：对项目实施过程和进程进行监督到位，避免项目长时间停留在实施阶段。项目实施、项目完成时限达到预期效果。分管领导对项目实施和设备运行情况不定期的检查和回访。对项目管理实施过程和结果进行监督，使工作任务和绩效评价紧密结合，推动项目工作落到实处。</w:t>
      </w:r>
    </w:p>
    <w:p w14:paraId="04F0C746">
      <w:pPr>
        <w:pageBreakBefore w:val="0"/>
        <w:widowControl w:val="0"/>
        <w:kinsoku/>
        <w:wordWrap/>
        <w:overflowPunct/>
        <w:topLinePunct w:val="0"/>
        <w:autoSpaceDN/>
        <w:bidi w:val="0"/>
        <w:adjustRightInd/>
        <w:snapToGrid/>
        <w:spacing w:line="560" w:lineRule="exact"/>
        <w:ind w:firstLine="560"/>
        <w:textAlignment w:val="auto"/>
        <w:rPr>
          <w:lang w:bidi="en-US"/>
        </w:rPr>
      </w:pPr>
    </w:p>
    <w:p w14:paraId="0880EEF3">
      <w:pPr>
        <w:pStyle w:val="3"/>
        <w:pageBreakBefore w:val="0"/>
        <w:widowControl w:val="0"/>
        <w:kinsoku/>
        <w:wordWrap/>
        <w:overflowPunct/>
        <w:topLinePunct w:val="0"/>
        <w:autoSpaceDN/>
        <w:bidi w:val="0"/>
        <w:adjustRightInd/>
        <w:snapToGrid/>
        <w:spacing w:line="560" w:lineRule="exact"/>
        <w:ind w:firstLine="0" w:firstLineChars="0"/>
        <w:jc w:val="left"/>
        <w:textAlignment w:val="auto"/>
        <w:rPr>
          <w:rFonts w:hint="eastAsia" w:ascii="仿宋" w:hAnsi="仿宋" w:eastAsia="仿宋"/>
          <w:sz w:val="36"/>
          <w:szCs w:val="36"/>
          <w:lang w:bidi="en-US"/>
        </w:rPr>
      </w:pPr>
      <w:bookmarkStart w:id="76" w:name="_Toc197478785"/>
      <w:r>
        <w:rPr>
          <w:rFonts w:hint="eastAsia" w:ascii="仿宋" w:hAnsi="仿宋" w:eastAsia="仿宋"/>
          <w:sz w:val="36"/>
          <w:szCs w:val="36"/>
          <w:lang w:bidi="en-US"/>
        </w:rPr>
        <w:t>七、其他需要说明的问题</w:t>
      </w:r>
      <w:bookmarkEnd w:id="75"/>
      <w:bookmarkEnd w:id="76"/>
    </w:p>
    <w:p w14:paraId="3DFC7FFF">
      <w:pPr>
        <w:pageBreakBefore w:val="0"/>
        <w:widowControl w:val="0"/>
        <w:kinsoku/>
        <w:wordWrap/>
        <w:overflowPunct/>
        <w:topLinePunct w:val="0"/>
        <w:autoSpaceDN/>
        <w:bidi w:val="0"/>
        <w:adjustRightInd/>
        <w:snapToGrid/>
        <w:spacing w:line="560" w:lineRule="exact"/>
        <w:ind w:firstLine="560"/>
        <w:textAlignment w:val="auto"/>
        <w:rPr>
          <w:rFonts w:hint="default" w:ascii="仿宋_GB2312" w:eastAsia="仿宋_GB2312"/>
          <w:sz w:val="30"/>
          <w:szCs w:val="30"/>
          <w:highlight w:val="none"/>
          <w:lang w:val="en-US" w:eastAsia="zh-CN"/>
        </w:rPr>
      </w:pPr>
      <w:r>
        <w:rPr>
          <w:rFonts w:hint="eastAsia" w:ascii="仿宋_GB2312"/>
          <w:sz w:val="30"/>
          <w:szCs w:val="30"/>
          <w:highlight w:val="none"/>
          <w:lang w:val="en-US" w:eastAsia="zh-CN"/>
        </w:rPr>
        <w:t>项目支出政策和路径设计科学，符合实际需要；项目安排准确，未发现背离项目立项初衷的情况；项目的申报、审核机制完善；未发现虚假行为和骗取财政资金的问题。</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3BFEB8A-F9F0-464E-844B-0AEB2EAD812D}"/>
  </w:font>
  <w:font w:name="黑体">
    <w:panose1 w:val="02010609060101010101"/>
    <w:charset w:val="86"/>
    <w:family w:val="auto"/>
    <w:pitch w:val="default"/>
    <w:sig w:usb0="800002BF" w:usb1="38CF7CFA" w:usb2="00000016" w:usb3="00000000" w:csb0="00040001" w:csb1="00000000"/>
    <w:embedRegular r:id="rId2" w:fontKey="{72060F6A-E70F-4405-9AB2-CC232E0D0FF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D60B7552-A489-410E-A128-3AEAE5FB9394}"/>
  </w:font>
  <w:font w:name="仿宋_GB2312">
    <w:altName w:val="仿宋"/>
    <w:panose1 w:val="02010609030101010101"/>
    <w:charset w:val="86"/>
    <w:family w:val="modern"/>
    <w:pitch w:val="default"/>
    <w:sig w:usb0="00000000" w:usb1="00000000" w:usb2="00000010" w:usb3="00000000" w:csb0="00040000" w:csb1="00000000"/>
    <w:embedRegular r:id="rId4" w:fontKey="{C6C40595-D7F7-4AD8-B4A1-7E9515B80101}"/>
  </w:font>
  <w:font w:name="仿宋">
    <w:panose1 w:val="02010609060101010101"/>
    <w:charset w:val="86"/>
    <w:family w:val="modern"/>
    <w:pitch w:val="default"/>
    <w:sig w:usb0="800002BF" w:usb1="38CF7CFA" w:usb2="00000016" w:usb3="00000000" w:csb0="00040001" w:csb1="00000000"/>
    <w:embedRegular r:id="rId5" w:fontKey="{33FF323E-B08D-40D4-AC3A-431DF4B4A14E}"/>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embedRegular r:id="rId6" w:fontKey="{CA773932-0752-4EE5-9D0A-90E7F2F7E421}"/>
  </w:font>
  <w:font w:name="Gungsuh">
    <w:panose1 w:val="02030600000101010101"/>
    <w:charset w:val="81"/>
    <w:family w:val="roman"/>
    <w:pitch w:val="default"/>
    <w:sig w:usb0="B00002AF" w:usb1="69D77CFB" w:usb2="00000030" w:usb3="00000000" w:csb0="4008009F" w:csb1="DFD70000"/>
    <w:embedRegular r:id="rId7" w:fontKey="{A6CA64CD-5A3B-41AD-B3B8-BCBE7EEC3880}"/>
  </w:font>
  <w:font w:name="方正仿宋_GB2312">
    <w:altName w:val="仿宋"/>
    <w:panose1 w:val="02000000000000000000"/>
    <w:charset w:val="86"/>
    <w:family w:val="auto"/>
    <w:pitch w:val="default"/>
    <w:sig w:usb0="00000000" w:usb1="00000000" w:usb2="00000000" w:usb3="00000000" w:csb0="00000000" w:csb1="00000000"/>
    <w:embedRegular r:id="rId8" w:fontKey="{B9D63169-AA44-4BCF-A7FA-EEA201619250}"/>
  </w:font>
  <w:font w:name="Arial">
    <w:panose1 w:val="020B0604020202020204"/>
    <w:charset w:val="00"/>
    <w:family w:val="auto"/>
    <w:pitch w:val="default"/>
    <w:sig w:usb0="E0002EFF" w:usb1="C000785B" w:usb2="00000009" w:usb3="00000000" w:csb0="400001FF" w:csb1="FFFF0000"/>
    <w:embedRegular r:id="rId9" w:fontKey="{FD52D3FC-9940-4C0E-AC64-D5A19BC71E4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52C02">
    <w:pPr>
      <w:pStyle w:val="8"/>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98748">
    <w:pPr>
      <w:pStyle w:val="8"/>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5A262">
    <w:pPr>
      <w:pStyle w:val="8"/>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2CA52656">
        <w:pPr>
          <w:pStyle w:val="8"/>
          <w:ind w:firstLine="560"/>
          <w:jc w:val="center"/>
          <w:rPr>
            <w:rFonts w:hint="eastAsia"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11</w:t>
        </w:r>
        <w:r>
          <w:rPr>
            <w:rFonts w:hint="eastAsia" w:ascii="仿宋_GB2312" w:eastAsia="仿宋_GB2312"/>
            <w:sz w:val="21"/>
            <w:szCs w:val="21"/>
          </w:rPr>
          <w:fldChar w:fldCharType="end"/>
        </w:r>
      </w:p>
    </w:sdtContent>
  </w:sdt>
  <w:p w14:paraId="6A0AEEC2">
    <w:pPr>
      <w:pStyle w:val="8"/>
      <w:rPr>
        <w:rFonts w:hint="eastAsia"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4CAE044C">
        <w:pPr>
          <w:pStyle w:val="8"/>
          <w:ind w:firstLine="560"/>
          <w:jc w:val="center"/>
          <w:rPr>
            <w:rFonts w:hint="eastAsia"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19</w:t>
        </w:r>
        <w:r>
          <w:rPr>
            <w:rFonts w:hint="eastAsia" w:ascii="仿宋_GB2312" w:eastAsia="仿宋_GB2312"/>
            <w:sz w:val="21"/>
            <w:szCs w:val="21"/>
          </w:rPr>
          <w:fldChar w:fldCharType="end"/>
        </w:r>
      </w:p>
    </w:sdtContent>
  </w:sdt>
  <w:p w14:paraId="1773E9F2">
    <w:pPr>
      <w:pStyle w:val="8"/>
      <w:rPr>
        <w:rFonts w:hint="eastAsia"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14:paraId="33265D09">
      <w:pPr>
        <w:pStyle w:val="11"/>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4BA45">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8FAFC">
    <w:pPr>
      <w:pStyle w:val="9"/>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2D28B">
    <w:pPr>
      <w:pStyle w:val="9"/>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BB25A">
    <w:pPr>
      <w:pStyle w:val="9"/>
      <w:rPr>
        <w:rFonts w:hint="eastAsi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81551">
    <w:pPr>
      <w:pStyle w:val="9"/>
      <w:ind w:firstLine="560"/>
      <w:jc w:val="right"/>
      <w:rPr>
        <w:rFonts w:hint="eastAsia"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609EFA"/>
    <w:multiLevelType w:val="multilevel"/>
    <w:tmpl w:val="89609EFA"/>
    <w:lvl w:ilvl="0" w:tentative="0">
      <w:start w:val="1"/>
      <w:numFmt w:val="japaneseCounting"/>
      <w:lvlText w:val="%1、"/>
      <w:lvlJc w:val="left"/>
      <w:pPr>
        <w:ind w:left="740" w:hanging="74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E7D475EB"/>
    <w:multiLevelType w:val="singleLevel"/>
    <w:tmpl w:val="E7D475EB"/>
    <w:lvl w:ilvl="0" w:tentative="0">
      <w:start w:val="1"/>
      <w:numFmt w:val="decimal"/>
      <w:suff w:val="nothing"/>
      <w:lvlText w:val="%1、"/>
      <w:lvlJc w:val="left"/>
    </w:lvl>
  </w:abstractNum>
  <w:abstractNum w:abstractNumId="2">
    <w:nsid w:val="FB447DBE"/>
    <w:multiLevelType w:val="singleLevel"/>
    <w:tmpl w:val="FB447DBE"/>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420"/>
  <w:drawingGridHorizontalSpacing w:val="140"/>
  <w:drawingGridVerticalSpacing w:val="38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7E5C49"/>
    <w:rsid w:val="23AF3AD1"/>
    <w:rsid w:val="5221401E"/>
    <w:rsid w:val="5E190CD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2">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Date"/>
    <w:basedOn w:val="1"/>
    <w:next w:val="1"/>
    <w:link w:val="24"/>
    <w:semiHidden/>
    <w:unhideWhenUsed/>
    <w:qFormat/>
    <w:uiPriority w:val="99"/>
    <w:pPr>
      <w:ind w:left="100" w:leftChars="2500"/>
    </w:pPr>
  </w:style>
  <w:style w:type="paragraph" w:styleId="7">
    <w:name w:val="Balloon Text"/>
    <w:basedOn w:val="1"/>
    <w:link w:val="33"/>
    <w:semiHidden/>
    <w:unhideWhenUsed/>
    <w:qFormat/>
    <w:uiPriority w:val="99"/>
    <w:rPr>
      <w:sz w:val="18"/>
      <w:szCs w:val="18"/>
    </w:rPr>
  </w:style>
  <w:style w:type="paragraph" w:styleId="8">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0">
    <w:name w:val="toc 1"/>
    <w:basedOn w:val="1"/>
    <w:next w:val="1"/>
    <w:unhideWhenUsed/>
    <w:qFormat/>
    <w:uiPriority w:val="39"/>
  </w:style>
  <w:style w:type="paragraph" w:styleId="11">
    <w:name w:val="footnote text"/>
    <w:basedOn w:val="1"/>
    <w:link w:val="26"/>
    <w:semiHidden/>
    <w:unhideWhenUsed/>
    <w:qFormat/>
    <w:uiPriority w:val="99"/>
    <w:pPr>
      <w:snapToGrid w:val="0"/>
      <w:jc w:val="left"/>
    </w:pPr>
    <w:rPr>
      <w:sz w:val="18"/>
      <w:szCs w:val="18"/>
    </w:rPr>
  </w:style>
  <w:style w:type="paragraph" w:styleId="12">
    <w:name w:val="toc 2"/>
    <w:basedOn w:val="1"/>
    <w:next w:val="1"/>
    <w:unhideWhenUsed/>
    <w:qFormat/>
    <w:uiPriority w:val="39"/>
    <w:pPr>
      <w:ind w:left="420" w:leftChars="20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footnote reference"/>
    <w:basedOn w:val="15"/>
    <w:semiHidden/>
    <w:unhideWhenUsed/>
    <w:qFormat/>
    <w:uiPriority w:val="99"/>
    <w:rPr>
      <w:vertAlign w:val="superscript"/>
    </w:rPr>
  </w:style>
  <w:style w:type="paragraph" w:customStyle="1" w:styleId="19">
    <w:name w:val="Comment Text"/>
    <w:basedOn w:val="1"/>
    <w:link w:val="31"/>
    <w:unhideWhenUsed/>
    <w:qFormat/>
    <w:uiPriority w:val="99"/>
    <w:pPr>
      <w:jc w:val="left"/>
    </w:pPr>
  </w:style>
  <w:style w:type="paragraph" w:customStyle="1" w:styleId="20">
    <w:name w:val="Comment Subject"/>
    <w:basedOn w:val="19"/>
    <w:next w:val="19"/>
    <w:link w:val="32"/>
    <w:semiHidden/>
    <w:unhideWhenUsed/>
    <w:qFormat/>
    <w:uiPriority w:val="99"/>
    <w:rPr>
      <w:b/>
      <w:bCs/>
    </w:rPr>
  </w:style>
  <w:style w:type="character" w:customStyle="1" w:styleId="21">
    <w:name w:val="Comment Reference"/>
    <w:basedOn w:val="15"/>
    <w:semiHidden/>
    <w:unhideWhenUsed/>
    <w:qFormat/>
    <w:uiPriority w:val="99"/>
    <w:rPr>
      <w:sz w:val="21"/>
      <w:szCs w:val="21"/>
    </w:rPr>
  </w:style>
  <w:style w:type="character" w:customStyle="1" w:styleId="22">
    <w:name w:val="页眉 字符"/>
    <w:basedOn w:val="15"/>
    <w:link w:val="9"/>
    <w:qFormat/>
    <w:uiPriority w:val="99"/>
    <w:rPr>
      <w:sz w:val="18"/>
      <w:szCs w:val="18"/>
    </w:rPr>
  </w:style>
  <w:style w:type="character" w:customStyle="1" w:styleId="23">
    <w:name w:val="页脚 字符"/>
    <w:basedOn w:val="15"/>
    <w:link w:val="8"/>
    <w:qFormat/>
    <w:uiPriority w:val="99"/>
    <w:rPr>
      <w:sz w:val="18"/>
      <w:szCs w:val="18"/>
    </w:rPr>
  </w:style>
  <w:style w:type="character" w:customStyle="1" w:styleId="24">
    <w:name w:val="日期 字符"/>
    <w:basedOn w:val="15"/>
    <w:link w:val="6"/>
    <w:semiHidden/>
    <w:qFormat/>
    <w:uiPriority w:val="99"/>
    <w:rPr>
      <w:rFonts w:ascii="Calibri" w:hAnsi="Calibri" w:eastAsia="仿宋_GB2312" w:cs="黑体"/>
      <w:sz w:val="28"/>
    </w:rPr>
  </w:style>
  <w:style w:type="character" w:customStyle="1" w:styleId="25">
    <w:name w:val="标题 2 字符"/>
    <w:basedOn w:val="15"/>
    <w:link w:val="2"/>
    <w:qFormat/>
    <w:uiPriority w:val="9"/>
    <w:rPr>
      <w:rFonts w:asciiTheme="majorHAnsi" w:hAnsiTheme="majorHAnsi" w:eastAsiaTheme="majorEastAsia" w:cstheme="majorBidi"/>
      <w:b/>
      <w:bCs/>
      <w:sz w:val="32"/>
      <w:szCs w:val="32"/>
    </w:rPr>
  </w:style>
  <w:style w:type="character" w:customStyle="1" w:styleId="26">
    <w:name w:val="脚注文本 字符"/>
    <w:basedOn w:val="15"/>
    <w:link w:val="11"/>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9">
    <w:name w:val="标题 1 字符"/>
    <w:basedOn w:val="15"/>
    <w:link w:val="3"/>
    <w:qFormat/>
    <w:uiPriority w:val="9"/>
    <w:rPr>
      <w:rFonts w:ascii="Calibri" w:hAnsi="Calibri" w:eastAsia="仿宋_GB2312" w:cs="黑体"/>
      <w:b/>
      <w:bCs/>
      <w:kern w:val="44"/>
      <w:sz w:val="44"/>
      <w:szCs w:val="44"/>
    </w:rPr>
  </w:style>
  <w:style w:type="paragraph" w:customStyle="1" w:styleId="30">
    <w:name w:val="TOC 标题1"/>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字符"/>
    <w:basedOn w:val="15"/>
    <w:link w:val="19"/>
    <w:qFormat/>
    <w:uiPriority w:val="99"/>
    <w:rPr>
      <w:rFonts w:ascii="Calibri" w:hAnsi="Calibri" w:eastAsia="仿宋_GB2312" w:cs="黑体"/>
      <w:sz w:val="28"/>
    </w:rPr>
  </w:style>
  <w:style w:type="character" w:customStyle="1" w:styleId="32">
    <w:name w:val="批注主题 字符"/>
    <w:basedOn w:val="31"/>
    <w:link w:val="20"/>
    <w:semiHidden/>
    <w:qFormat/>
    <w:uiPriority w:val="99"/>
    <w:rPr>
      <w:rFonts w:ascii="Calibri" w:hAnsi="Calibri" w:eastAsia="仿宋_GB2312" w:cs="黑体"/>
      <w:b/>
      <w:bCs/>
      <w:sz w:val="28"/>
    </w:rPr>
  </w:style>
  <w:style w:type="character" w:customStyle="1" w:styleId="33">
    <w:name w:val="批注框文本 字符"/>
    <w:basedOn w:val="15"/>
    <w:link w:val="7"/>
    <w:semiHidden/>
    <w:qFormat/>
    <w:uiPriority w:val="99"/>
    <w:rPr>
      <w:rFonts w:ascii="Calibri" w:hAnsi="Calibri" w:eastAsia="仿宋_GB2312" w:cs="黑体"/>
      <w:sz w:val="18"/>
      <w:szCs w:val="18"/>
    </w:rPr>
  </w:style>
  <w:style w:type="character" w:customStyle="1" w:styleId="34">
    <w:name w:val="标题 3 字符"/>
    <w:basedOn w:val="15"/>
    <w:link w:val="4"/>
    <w:qFormat/>
    <w:uiPriority w:val="9"/>
    <w:rPr>
      <w:rFonts w:ascii="Calibri" w:hAnsi="Calibri" w:eastAsia="仿宋_GB2312" w:cs="黑体"/>
      <w:b/>
      <w:bCs/>
      <w:sz w:val="32"/>
      <w:szCs w:val="32"/>
    </w:rPr>
  </w:style>
  <w:style w:type="paragraph" w:customStyle="1" w:styleId="35">
    <w:name w:val="TOC Heading"/>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14031</Words>
  <Characters>14763</Characters>
  <Lines>623</Lines>
  <Paragraphs>526</Paragraphs>
  <TotalTime>94</TotalTime>
  <ScaleCrop>false</ScaleCrop>
  <LinksUpToDate>false</LinksUpToDate>
  <CharactersWithSpaces>14915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2025-05-06T16:26:00Z</dcterms:created>
  <dc:creator>张 宇</dc:creator>
  <cp:lastModifiedBy>Administrator</cp:lastModifiedBy>
  <cp:lastPrinted>2025-05-07T09:42:00Z</cp:lastPrinted>
  <dcterms:modified xsi:type="dcterms:W3CDTF">2025-10-14T08:33:54Z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eyJoZGlkIjoiMWRjMTk2M2ZkYzFjZDdkZWQ2N2Q2M2JmOGJmODU5ZWQifQ_x003D__x003D_</vt:lpwstr>
  </property>
  <property fmtid="{D5CDD505-2E9C-101B-9397-08002B2CF9AE}" pid="3" name="KSOProductBuildVer">
    <vt:lpwstr>2052-12.1.0.18912</vt:lpwstr>
  </property>
  <property fmtid="{D5CDD505-2E9C-101B-9397-08002B2CF9AE}" pid="4" name="ICV">
    <vt:lpwstr>B0BCF175296E42D8914632D85211F601_13</vt:lpwstr>
  </property>
</Properties>
</file>