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4904C">
      <w:pPr>
        <w:spacing w:line="480" w:lineRule="auto"/>
        <w:ind w:firstLine="0" w:firstLineChars="0"/>
        <w:rPr>
          <w:rFonts w:ascii="Times New Roman" w:hAnsi="Times New Roman" w:eastAsia="黑体" w:cs="Times New Roman"/>
          <w:b/>
          <w:kern w:val="0"/>
          <w:sz w:val="50"/>
          <w:szCs w:val="50"/>
          <w:lang w:bidi="en-US"/>
        </w:rPr>
      </w:pPr>
    </w:p>
    <w:p w14:paraId="6E00758B">
      <w:pPr>
        <w:spacing w:line="480" w:lineRule="auto"/>
        <w:ind w:firstLine="0" w:firstLineChars="0"/>
        <w:rPr>
          <w:rFonts w:ascii="Times New Roman" w:hAnsi="Times New Roman" w:eastAsia="黑体" w:cs="Times New Roman"/>
          <w:b/>
          <w:kern w:val="0"/>
          <w:sz w:val="50"/>
          <w:szCs w:val="50"/>
          <w:lang w:bidi="en-US"/>
        </w:rPr>
      </w:pPr>
    </w:p>
    <w:p w14:paraId="22AA4FB5">
      <w:pPr>
        <w:spacing w:line="480" w:lineRule="auto"/>
        <w:ind w:firstLine="0" w:firstLineChars="0"/>
        <w:jc w:val="center"/>
        <w:rPr>
          <w:rFonts w:ascii="Times New Roman" w:hAnsi="Times New Roman" w:eastAsia="黑体" w:cs="Times New Roman"/>
          <w:b/>
          <w:kern w:val="0"/>
          <w:sz w:val="50"/>
          <w:szCs w:val="50"/>
          <w:lang w:bidi="en-US"/>
        </w:rPr>
      </w:pPr>
    </w:p>
    <w:p w14:paraId="7AC0901E">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4865C609">
      <w:pPr>
        <w:spacing w:line="480" w:lineRule="auto"/>
        <w:ind w:firstLine="0" w:firstLineChars="0"/>
        <w:jc w:val="center"/>
        <w:rPr>
          <w:rFonts w:ascii="Times New Roman" w:hAnsi="Times New Roman" w:eastAsia="黑体" w:cs="Times New Roman"/>
          <w:b/>
          <w:kern w:val="0"/>
          <w:sz w:val="50"/>
          <w:szCs w:val="50"/>
          <w:lang w:bidi="en-US"/>
        </w:rPr>
      </w:pPr>
    </w:p>
    <w:p w14:paraId="036B19EB">
      <w:pPr>
        <w:spacing w:line="480" w:lineRule="auto"/>
        <w:ind w:firstLine="0" w:firstLineChars="0"/>
        <w:jc w:val="center"/>
        <w:rPr>
          <w:rFonts w:ascii="Times New Roman" w:hAnsi="Times New Roman" w:eastAsia="黑体" w:cs="Times New Roman"/>
          <w:b/>
          <w:kern w:val="0"/>
          <w:sz w:val="50"/>
          <w:szCs w:val="50"/>
          <w:lang w:bidi="en-US"/>
        </w:rPr>
      </w:pPr>
    </w:p>
    <w:p w14:paraId="3ECE0D42">
      <w:pPr>
        <w:spacing w:line="480" w:lineRule="auto"/>
        <w:ind w:firstLine="0" w:firstLineChars="0"/>
        <w:jc w:val="center"/>
        <w:rPr>
          <w:rFonts w:ascii="Times New Roman" w:hAnsi="Times New Roman" w:eastAsia="黑体" w:cs="Times New Roman"/>
          <w:b/>
          <w:kern w:val="0"/>
          <w:sz w:val="50"/>
          <w:szCs w:val="50"/>
          <w:lang w:bidi="en-US"/>
        </w:rPr>
      </w:pPr>
    </w:p>
    <w:p w14:paraId="01DF825C">
      <w:pPr>
        <w:spacing w:line="480" w:lineRule="auto"/>
        <w:ind w:firstLine="0" w:firstLineChars="0"/>
        <w:jc w:val="center"/>
        <w:rPr>
          <w:rFonts w:ascii="Times New Roman" w:hAnsi="Times New Roman" w:eastAsia="黑体" w:cs="Times New Roman"/>
          <w:b/>
          <w:kern w:val="0"/>
          <w:sz w:val="50"/>
          <w:szCs w:val="50"/>
          <w:lang w:bidi="en-US"/>
        </w:rPr>
      </w:pPr>
    </w:p>
    <w:p w14:paraId="7698ADAE">
      <w:pPr>
        <w:spacing w:line="480" w:lineRule="auto"/>
        <w:ind w:firstLine="0" w:firstLineChars="0"/>
        <w:jc w:val="center"/>
        <w:rPr>
          <w:rFonts w:ascii="Times New Roman" w:hAnsi="Times New Roman" w:eastAsia="黑体" w:cs="Times New Roman"/>
          <w:b/>
          <w:kern w:val="0"/>
          <w:sz w:val="50"/>
          <w:szCs w:val="50"/>
          <w:lang w:bidi="en-US"/>
        </w:rPr>
      </w:pPr>
    </w:p>
    <w:p w14:paraId="5A4BD722">
      <w:pPr>
        <w:spacing w:line="480" w:lineRule="auto"/>
        <w:ind w:firstLine="0" w:firstLineChars="0"/>
        <w:jc w:val="center"/>
        <w:rPr>
          <w:rFonts w:ascii="Times New Roman" w:hAnsi="Times New Roman" w:eastAsia="黑体" w:cs="Times New Roman"/>
          <w:b/>
          <w:kern w:val="0"/>
          <w:sz w:val="50"/>
          <w:szCs w:val="50"/>
          <w:lang w:bidi="en-US"/>
        </w:rPr>
      </w:pPr>
    </w:p>
    <w:p w14:paraId="2A892BEA">
      <w:pPr>
        <w:spacing w:line="480" w:lineRule="auto"/>
        <w:ind w:firstLine="0" w:firstLineChars="0"/>
        <w:jc w:val="center"/>
        <w:rPr>
          <w:rFonts w:ascii="仿宋_GB2312" w:hAnsi="Times New Roman" w:cs="Times New Roman"/>
          <w:kern w:val="0"/>
          <w:sz w:val="30"/>
          <w:szCs w:val="30"/>
          <w:lang w:bidi="en-US"/>
        </w:rPr>
      </w:pPr>
    </w:p>
    <w:p w14:paraId="6B666D72">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项目名称：关于拨付第九批补助资金（医务人员临时性工作补助）的通知</w:t>
      </w:r>
      <w:r>
        <w:rPr>
          <w:rFonts w:ascii="仿宋_GB2312" w:hAnsi="Times New Roman" w:cs="Times New Roman"/>
          <w:kern w:val="0"/>
          <w:sz w:val="32"/>
          <w:szCs w:val="32"/>
          <w:lang w:bidi="en-US"/>
        </w:rPr>
        <w:t xml:space="preserve"> </w:t>
      </w:r>
    </w:p>
    <w:p w14:paraId="5381AC84">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项目单位：乌鲁木齐市中医医院</w:t>
      </w:r>
    </w:p>
    <w:p w14:paraId="30C438C5">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14:paraId="72C297DC">
      <w:pPr>
        <w:spacing w:line="480" w:lineRule="auto"/>
        <w:ind w:firstLine="1411" w:firstLineChars="441"/>
        <w:jc w:val="left"/>
        <w:rPr>
          <w:rFonts w:ascii="仿宋_GB2312" w:hAnsi="Times New Roman" w:cs="Times New Roman"/>
          <w:kern w:val="0"/>
          <w:sz w:val="32"/>
          <w:szCs w:val="32"/>
          <w:lang w:bidi="en-US"/>
        </w:rPr>
      </w:pPr>
    </w:p>
    <w:p w14:paraId="2E48B8E7">
      <w:pPr>
        <w:spacing w:line="480" w:lineRule="auto"/>
        <w:ind w:firstLine="0" w:firstLineChars="0"/>
        <w:rPr>
          <w:rFonts w:ascii="黑体" w:hAnsi="Times New Roman" w:eastAsia="黑体" w:cs="Times New Roman"/>
          <w:b/>
          <w:kern w:val="0"/>
          <w:sz w:val="32"/>
          <w:szCs w:val="32"/>
          <w:lang w:bidi="en-US"/>
        </w:rPr>
      </w:pPr>
    </w:p>
    <w:p w14:paraId="36EA31A3">
      <w:pPr>
        <w:spacing w:line="480" w:lineRule="auto"/>
        <w:ind w:firstLine="0" w:firstLineChars="0"/>
        <w:rPr>
          <w:rFonts w:ascii="黑体" w:hAnsi="Times New Roman" w:eastAsia="黑体" w:cs="Times New Roman"/>
          <w:b/>
          <w:kern w:val="0"/>
          <w:sz w:val="32"/>
          <w:szCs w:val="32"/>
          <w:lang w:bidi="en-US"/>
        </w:rPr>
      </w:pPr>
    </w:p>
    <w:p w14:paraId="517F0B23">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w:t>
      </w:r>
      <w:r>
        <w:rPr>
          <w:rFonts w:ascii="仿宋_GB2312" w:hAnsi="Times New Roman" w:cs="Times New Roman"/>
          <w:kern w:val="0"/>
          <w:sz w:val="32"/>
          <w:szCs w:val="32"/>
          <w:lang w:bidi="en-US"/>
        </w:rPr>
        <w:t>4</w:t>
      </w:r>
      <w:r>
        <w:rPr>
          <w:rFonts w:hint="eastAsia" w:ascii="仿宋_GB2312" w:hAnsi="Times New Roman" w:cs="Times New Roman"/>
          <w:kern w:val="0"/>
          <w:sz w:val="32"/>
          <w:szCs w:val="32"/>
          <w:lang w:bidi="en-US"/>
        </w:rPr>
        <w:t>月</w:t>
      </w:r>
    </w:p>
    <w:p w14:paraId="11DB1E27">
      <w:pPr>
        <w:spacing w:line="480" w:lineRule="auto"/>
        <w:ind w:firstLine="0" w:firstLineChars="0"/>
        <w:jc w:val="center"/>
        <w:rPr>
          <w:rFonts w:ascii="仿宋_GB2312" w:hAnsi="Times New Roman" w:cs="Times New Roman"/>
          <w:kern w:val="0"/>
          <w:sz w:val="32"/>
          <w:szCs w:val="32"/>
          <w:lang w:bidi="en-US"/>
        </w:rPr>
      </w:pPr>
    </w:p>
    <w:p w14:paraId="1E2068E1">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5C6447BE">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0E213338">
          <w:pPr>
            <w:pStyle w:val="30"/>
            <w:ind w:firstLine="560"/>
            <w:jc w:val="center"/>
            <w:rPr>
              <w:color w:val="auto"/>
            </w:rPr>
          </w:pPr>
          <w:bookmarkStart w:id="64" w:name="_GoBack"/>
          <w:r>
            <w:rPr>
              <w:color w:val="auto"/>
              <w:lang w:val="zh-CN"/>
            </w:rPr>
            <w:t>目录</w:t>
          </w:r>
        </w:p>
        <w:bookmarkEnd w:id="64"/>
        <w:p w14:paraId="2AB6B41A">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9"/>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3E280B3C">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9"/>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2143C2B5">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9"/>
            </w:rPr>
            <w:t>1</w:t>
          </w:r>
          <w:r>
            <w:rPr>
              <w:rStyle w:val="19"/>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3F915F4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9"/>
            </w:rPr>
            <w:t>2.</w:t>
          </w:r>
          <w:r>
            <w:rPr>
              <w:rStyle w:val="19"/>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470162F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9"/>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1B3D6EDA">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9"/>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1ED2569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9"/>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0651D8C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9"/>
            </w:rPr>
            <w:t>1.</w:t>
          </w:r>
          <w:r>
            <w:rPr>
              <w:rStyle w:val="19"/>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0CF6C515">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9"/>
            </w:rPr>
            <w:t>2.</w:t>
          </w:r>
          <w:r>
            <w:rPr>
              <w:rStyle w:val="19"/>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71F3683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9"/>
            </w:rPr>
            <w:t>3.</w:t>
          </w:r>
          <w:r>
            <w:rPr>
              <w:rStyle w:val="19"/>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21F282B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9"/>
            </w:rPr>
            <w:t>4.</w:t>
          </w:r>
          <w:r>
            <w:rPr>
              <w:rStyle w:val="19"/>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6F8D73E1">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9"/>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20A370E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9"/>
            </w:rPr>
            <w:t>1.</w:t>
          </w:r>
          <w:r>
            <w:rPr>
              <w:rStyle w:val="19"/>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39302D68">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9"/>
            </w:rPr>
            <w:t>2.</w:t>
          </w:r>
          <w:r>
            <w:rPr>
              <w:rStyle w:val="19"/>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084ACB8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9"/>
            </w:rPr>
            <w:t>3.</w:t>
          </w:r>
          <w:r>
            <w:rPr>
              <w:rStyle w:val="19"/>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386F686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9"/>
            </w:rPr>
            <w:t>4.</w:t>
          </w:r>
          <w:r>
            <w:rPr>
              <w:rStyle w:val="19"/>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25049674">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9"/>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3C0C969D">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9"/>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49FAE0E6">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9"/>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3892A58E">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9"/>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6CE615CB">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9"/>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51DF0B73">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9"/>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74C71A9C">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9"/>
            </w:rPr>
            <w:t>1.</w:t>
          </w:r>
          <w:r>
            <w:rPr>
              <w:rStyle w:val="19"/>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1554B8B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9"/>
            </w:rPr>
            <w:t>2.</w:t>
          </w:r>
          <w:r>
            <w:rPr>
              <w:rStyle w:val="19"/>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6E3F7A5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9"/>
            </w:rPr>
            <w:t>3.</w:t>
          </w:r>
          <w:r>
            <w:rPr>
              <w:rStyle w:val="19"/>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1444E2A7">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9"/>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31B7D72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9"/>
            </w:rPr>
            <w:t>1.</w:t>
          </w:r>
          <w:r>
            <w:rPr>
              <w:rStyle w:val="19"/>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74C55BF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9"/>
            </w:rPr>
            <w:t>2.</w:t>
          </w:r>
          <w:r>
            <w:rPr>
              <w:rStyle w:val="19"/>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5264FA8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9"/>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06ECD08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9"/>
            </w:rPr>
            <w:t>1.</w:t>
          </w:r>
          <w:r>
            <w:rPr>
              <w:rStyle w:val="19"/>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4607EA89">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9"/>
            </w:rPr>
            <w:t>2.</w:t>
          </w:r>
          <w:r>
            <w:rPr>
              <w:rStyle w:val="19"/>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38BD6568">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9"/>
            </w:rPr>
            <w:t>3.</w:t>
          </w:r>
          <w:r>
            <w:rPr>
              <w:rStyle w:val="19"/>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54E8263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9"/>
            </w:rPr>
            <w:t>4.</w:t>
          </w:r>
          <w:r>
            <w:rPr>
              <w:rStyle w:val="19"/>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690FDBB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9"/>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206D9284">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9"/>
            </w:rPr>
            <w:t>1.</w:t>
          </w:r>
          <w:r>
            <w:rPr>
              <w:rStyle w:val="19"/>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269A95E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9"/>
            </w:rPr>
            <w:t xml:space="preserve">2. </w:t>
          </w:r>
          <w:r>
            <w:rPr>
              <w:rStyle w:val="19"/>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1376022F">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9"/>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313E8630">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9"/>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46AEB35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9"/>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372394AF">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9"/>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6B0BC341">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9"/>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3D4E91F8">
          <w:pPr>
            <w:ind w:firstLine="562"/>
          </w:pPr>
          <w:r>
            <w:rPr>
              <w:b/>
              <w:bCs/>
              <w:lang w:val="zh-CN"/>
            </w:rPr>
            <w:fldChar w:fldCharType="end"/>
          </w:r>
        </w:p>
      </w:sdtContent>
    </w:sdt>
    <w:p w14:paraId="4DD3E49E">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50358376">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14:paraId="30011751">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14:paraId="53C42B6D">
      <w:pPr>
        <w:pStyle w:val="4"/>
        <w:ind w:firstLine="643"/>
      </w:pPr>
      <w:bookmarkStart w:id="4" w:name="_Toc165277222"/>
      <w:r>
        <w:rPr>
          <w:rFonts w:hint="eastAsia"/>
        </w:rPr>
        <w:t>1．项目背景、主要内容及实施情况</w:t>
      </w:r>
      <w:bookmarkEnd w:id="4"/>
    </w:p>
    <w:p w14:paraId="27C2CB24">
      <w:pPr>
        <w:spacing w:line="360" w:lineRule="auto"/>
        <w:ind w:firstLine="560"/>
        <w:rPr>
          <w:rFonts w:ascii="仿宋_GB2312"/>
        </w:rPr>
      </w:pPr>
      <w:r>
        <w:rPr>
          <w:rFonts w:hint="eastAsia" w:ascii="仿宋_GB2312"/>
        </w:rPr>
        <w:t>该项目实施背景：《关于改善一线医务人员工作条件切实关心医务人员身心健康的若干措施》（国办发〔2020〕4号），国务院应对新型冠状病毒感染肺炎疫情联防联控机制多次研究部署，就疫情防控期间强化一线医务人员保护关心爱护措施提出明确要求，为广大一线医务人员全身心投入疫情防控工作提供了坚强保障、注入了强大动力、给予了关怀激励。为确保党中央、国务院保护关心爱护一线医务人员政策措施落到实处，保护关心爱护措施向一线医务人员倾斜。</w:t>
      </w:r>
    </w:p>
    <w:p w14:paraId="76F7F60C">
      <w:pPr>
        <w:spacing w:line="360" w:lineRule="auto"/>
        <w:ind w:firstLine="560"/>
        <w:rPr>
          <w:rFonts w:ascii="仿宋_GB2312"/>
        </w:rPr>
      </w:pPr>
      <w:r>
        <w:rPr>
          <w:rFonts w:ascii="仿宋_GB2312"/>
        </w:rPr>
        <w:t>项目</w:t>
      </w:r>
      <w:r>
        <w:rPr>
          <w:rFonts w:hint="eastAsia" w:ascii="仿宋_GB2312"/>
        </w:rPr>
        <w:t>2</w:t>
      </w:r>
      <w:r>
        <w:rPr>
          <w:rFonts w:ascii="仿宋_GB2312"/>
        </w:rPr>
        <w:t>023年的主要实施内容：①医疗卫生专业技术人员直接参与新冠肺炎防疫和救治一线工作，且与确诊或疑似病例直接接触的接诊、筛查、检查、检测、转运、治疗、护理、流行病学调查、医学观察，以及直接进行病例标本采集、病原检测、病理检查、病理解剖;②医务人员在卫生健康部门确定的定点医院、方舱医院的隔离区或其他收治确诊病例的医疗卫生机构的隔离区直接参与患者救治，直接进行病例标本采集、病原检测和病理检查</w:t>
      </w:r>
      <w:r>
        <w:rPr>
          <w:rFonts w:hint="eastAsia" w:ascii="仿宋_GB2312"/>
        </w:rPr>
        <w:t>。</w:t>
      </w:r>
    </w:p>
    <w:p w14:paraId="21A71FA0">
      <w:pPr>
        <w:spacing w:line="360" w:lineRule="auto"/>
        <w:ind w:firstLine="560"/>
        <w:rPr>
          <w:rFonts w:ascii="仿宋_GB2312"/>
        </w:rPr>
      </w:pPr>
      <w:r>
        <w:rPr>
          <w:rFonts w:hint="eastAsia" w:ascii="仿宋_GB2312"/>
        </w:rPr>
        <w:t>2</w:t>
      </w:r>
      <w:r>
        <w:rPr>
          <w:rFonts w:ascii="仿宋_GB2312"/>
        </w:rPr>
        <w:t>023年当年完成情况</w:t>
      </w:r>
      <w:r>
        <w:rPr>
          <w:rStyle w:val="20"/>
          <w:rFonts w:hint="eastAsia"/>
        </w:rPr>
        <w:t>：</w:t>
      </w:r>
      <w:r>
        <w:rPr>
          <w:rFonts w:hint="eastAsia" w:ascii="仿宋_GB2312"/>
        </w:rPr>
        <w:t>我院医护人员已完成参与疫情防控救治的工作，其中</w:t>
      </w:r>
      <w:r>
        <w:rPr>
          <w:rFonts w:ascii="仿宋_GB2312"/>
        </w:rPr>
        <w:t>重症危重症患者病区</w:t>
      </w:r>
      <w:r>
        <w:rPr>
          <w:rFonts w:hint="eastAsia" w:ascii="仿宋_GB2312"/>
        </w:rPr>
        <w:t>参与疫情防控救治</w:t>
      </w:r>
      <w:r>
        <w:rPr>
          <w:rFonts w:ascii="仿宋_GB2312"/>
        </w:rPr>
        <w:t>工作的一线医务人员</w:t>
      </w:r>
      <w:r>
        <w:rPr>
          <w:rFonts w:hint="eastAsia" w:ascii="仿宋_GB2312"/>
        </w:rPr>
        <w:t>共98人，直接接触天数共2395天；发热门诊、急诊、呼吸科病房、120急救人员、临床和门诊科室内相关医护人员参与疫情防控救治的工作的医务人员38人，直接接触共530天</w:t>
      </w:r>
      <w:r>
        <w:rPr>
          <w:rFonts w:ascii="仿宋_GB2312"/>
        </w:rPr>
        <w:t>;</w:t>
      </w:r>
      <w:r>
        <w:rPr>
          <w:rFonts w:hint="eastAsia" w:ascii="仿宋_GB2312"/>
        </w:rPr>
        <w:t>参与其他医疗病区救治的医务人员有303人，直接接触共6952.5天，并按照</w:t>
      </w:r>
      <w:r>
        <w:rPr>
          <w:rFonts w:hint="eastAsia" w:ascii="仿宋_GB2312" w:hAnsi="仿宋_GB2312" w:cs="仿宋_GB2312"/>
          <w:sz w:val="32"/>
          <w:szCs w:val="24"/>
        </w:rPr>
        <w:t>文件规定的标准已发放补助共262.725万元</w:t>
      </w:r>
      <w:r>
        <w:rPr>
          <w:rFonts w:ascii="仿宋_GB2312"/>
        </w:rPr>
        <w:t>。</w:t>
      </w:r>
    </w:p>
    <w:p w14:paraId="59CBC3C5">
      <w:pPr>
        <w:pStyle w:val="4"/>
        <w:ind w:firstLine="643"/>
      </w:pPr>
      <w:bookmarkStart w:id="5" w:name="_Toc165277223"/>
      <w:r>
        <w:rPr>
          <w:rFonts w:hint="eastAsia"/>
        </w:rPr>
        <w:t>2</w:t>
      </w:r>
      <w:r>
        <w:t>.资金投入和使用情况</w:t>
      </w:r>
      <w:bookmarkEnd w:id="5"/>
    </w:p>
    <w:p w14:paraId="79223CB2">
      <w:pPr>
        <w:spacing w:line="360" w:lineRule="auto"/>
        <w:ind w:firstLine="560"/>
        <w:rPr>
          <w:rFonts w:ascii="仿宋_GB2312"/>
        </w:rPr>
      </w:pPr>
      <w:r>
        <w:rPr>
          <w:rFonts w:hint="eastAsia" w:ascii="仿宋_GB2312"/>
        </w:rPr>
        <w:t>该项目资金投入情况：经《关于拨付2023年第九批疫情防控补助资金（第一批医务人员临时性工作补助资金）的通知》（乌财社〔2023〕37号文件批准，项目系</w:t>
      </w:r>
      <w:r>
        <w:rPr>
          <w:rFonts w:ascii="仿宋_GB2312"/>
        </w:rPr>
        <w:t>2023</w:t>
      </w:r>
      <w:r>
        <w:rPr>
          <w:rFonts w:hint="eastAsia" w:ascii="仿宋_GB2312"/>
        </w:rPr>
        <w:t>年自治区资金，共安排预算262.73万元，于202</w:t>
      </w:r>
      <w:r>
        <w:rPr>
          <w:rFonts w:ascii="仿宋_GB2312"/>
        </w:rPr>
        <w:t>3</w:t>
      </w:r>
      <w:r>
        <w:rPr>
          <w:rFonts w:hint="eastAsia" w:ascii="仿宋_GB2312"/>
        </w:rPr>
        <w:t>年年中追加部分预算批复项目，年中资金无调整。</w:t>
      </w:r>
    </w:p>
    <w:p w14:paraId="3B219C68">
      <w:pPr>
        <w:spacing w:line="360" w:lineRule="auto"/>
        <w:ind w:firstLine="560"/>
        <w:rPr>
          <w:rFonts w:ascii="仿宋_GB2312"/>
        </w:rPr>
      </w:pPr>
      <w:r>
        <w:rPr>
          <w:rFonts w:hint="eastAsia" w:ascii="仿宋_GB2312"/>
        </w:rPr>
        <w:t>该项目资金使用情况：总预算262.73万元、资金投入包括2022年12月7日至2023年3月31日过渡期内对直接参与疫情防控救治的发热门诊、急诊、呼吸科病房、感染科病房、重症病房内的相关医护人员，120急救人员，以及一线采血人员的临时性工作补助，预算投入262.73万元、执行262.73万元、预算执行率100%。</w:t>
      </w:r>
    </w:p>
    <w:p w14:paraId="4CD35ED6">
      <w:pPr>
        <w:pStyle w:val="3"/>
        <w:ind w:firstLine="643"/>
        <w:rPr>
          <w:rFonts w:ascii="仿宋" w:hAnsi="仿宋" w:eastAsia="仿宋"/>
          <w:lang w:bidi="en-US"/>
        </w:rPr>
      </w:pPr>
      <w:bookmarkStart w:id="6" w:name="_Toc67911603"/>
      <w:bookmarkStart w:id="7" w:name="_Toc165277224"/>
      <w:r>
        <w:rPr>
          <w:rFonts w:hint="eastAsia" w:ascii="仿宋" w:hAnsi="仿宋" w:eastAsia="仿宋"/>
          <w:lang w:bidi="en-US"/>
        </w:rPr>
        <w:t>（二）项目绩效目标：</w:t>
      </w:r>
      <w:bookmarkEnd w:id="6"/>
      <w:bookmarkEnd w:id="7"/>
    </w:p>
    <w:p w14:paraId="24EAFBBA">
      <w:pPr>
        <w:spacing w:line="360" w:lineRule="auto"/>
        <w:ind w:firstLine="560"/>
        <w:rPr>
          <w:rFonts w:ascii="仿宋_GB2312" w:hAnsi="仿宋"/>
          <w:szCs w:val="28"/>
        </w:rPr>
      </w:pPr>
      <w:r>
        <w:rPr>
          <w:rFonts w:hint="eastAsia" w:ascii="仿宋_GB2312" w:hAnsi="仿宋"/>
          <w:szCs w:val="28"/>
        </w:rPr>
        <w:t>本项目依据《中共中央 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65C7D168">
      <w:pPr>
        <w:spacing w:line="360" w:lineRule="auto"/>
        <w:ind w:firstLine="560"/>
        <w:rPr>
          <w:rFonts w:ascii="仿宋_GB2312" w:hAnsi="仿宋"/>
          <w:szCs w:val="28"/>
        </w:rPr>
      </w:pPr>
      <w:r>
        <w:rPr>
          <w:rFonts w:hint="eastAsia" w:ascii="仿宋_GB2312" w:hAnsi="仿宋"/>
          <w:szCs w:val="28"/>
        </w:rPr>
        <w:t>该项目</w:t>
      </w:r>
      <w:r>
        <w:rPr>
          <w:rFonts w:ascii="仿宋_GB2312" w:hAnsi="仿宋"/>
          <w:szCs w:val="28"/>
        </w:rPr>
        <w:t>当年一次性项目。</w:t>
      </w:r>
    </w:p>
    <w:p w14:paraId="3DB95D85">
      <w:pPr>
        <w:spacing w:line="360" w:lineRule="auto"/>
        <w:ind w:firstLine="560"/>
        <w:rPr>
          <w:rFonts w:ascii="仿宋_GB2312" w:hAnsi="仿宋"/>
          <w:szCs w:val="28"/>
          <w:highlight w:val="none"/>
        </w:rPr>
      </w:pPr>
      <w:r>
        <w:rPr>
          <w:rFonts w:hint="eastAsia" w:ascii="仿宋_GB2312" w:hAnsi="仿宋"/>
          <w:szCs w:val="28"/>
        </w:rPr>
        <w:t>该项目绩效目标：将</w:t>
      </w:r>
      <w:r>
        <w:rPr>
          <w:rFonts w:hint="eastAsia" w:ascii="仿宋_GB2312"/>
        </w:rPr>
        <w:t>2022年12月7日至2023年3月31日过渡期内直接参与疫情防控救治的发热门诊、急诊、呼吸科病房、感染科病房、重症病房内的相关医护人员，120急救人员，以及血站一线采血人员的临时性工作补助资金及时发放到医务人员手中</w:t>
      </w:r>
      <w:r>
        <w:rPr>
          <w:rFonts w:hint="eastAsia" w:ascii="仿宋_GB2312" w:hAnsi="仿宋"/>
          <w:szCs w:val="28"/>
        </w:rPr>
        <w:t>。</w:t>
      </w:r>
      <w:r>
        <w:rPr>
          <w:rFonts w:hint="eastAsia" w:ascii="仿宋_GB2312" w:hAnsi="仿宋"/>
          <w:szCs w:val="28"/>
          <w:highlight w:val="none"/>
        </w:rPr>
        <w:t>通过医院充分认识防控工作的严峻性、复杂性和艰巨性，积极承担公立医院疫情防控的社会责任。</w:t>
      </w:r>
    </w:p>
    <w:p w14:paraId="0B458FE3">
      <w:pPr>
        <w:spacing w:line="360" w:lineRule="auto"/>
        <w:ind w:firstLine="420"/>
        <w:rPr>
          <w:rFonts w:ascii="仿宋_GB2312" w:hAnsi="仿宋"/>
          <w:szCs w:val="28"/>
        </w:rPr>
      </w:pPr>
    </w:p>
    <w:p w14:paraId="4DC90523">
      <w:pPr>
        <w:pStyle w:val="2"/>
        <w:ind w:firstLine="0" w:firstLineChars="0"/>
        <w:jc w:val="left"/>
        <w:rPr>
          <w:rFonts w:ascii="仿宋" w:hAnsi="仿宋" w:eastAsia="仿宋"/>
          <w:sz w:val="36"/>
          <w:szCs w:val="36"/>
          <w:lang w:bidi="en-US"/>
        </w:rPr>
      </w:pPr>
      <w:bookmarkStart w:id="9" w:name="_Toc165277225"/>
      <w:bookmarkStart w:id="10" w:name="_Toc67911604"/>
      <w:r>
        <w:rPr>
          <w:rFonts w:hint="eastAsia" w:ascii="仿宋" w:hAnsi="仿宋" w:eastAsia="仿宋"/>
          <w:sz w:val="36"/>
          <w:szCs w:val="36"/>
          <w:lang w:bidi="en-US"/>
        </w:rPr>
        <w:t>二、绩效评价工作开展情况</w:t>
      </w:r>
      <w:bookmarkEnd w:id="9"/>
      <w:bookmarkEnd w:id="10"/>
    </w:p>
    <w:p w14:paraId="33D6FDEF">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14:paraId="65C245A0">
      <w:pPr>
        <w:pStyle w:val="4"/>
        <w:ind w:firstLine="643"/>
      </w:pPr>
      <w:bookmarkStart w:id="13" w:name="_Toc165277227"/>
      <w:r>
        <w:rPr>
          <w:rFonts w:hint="eastAsia"/>
        </w:rPr>
        <w:t>1</w:t>
      </w:r>
      <w:r>
        <w:t>.绩效评价完整性</w:t>
      </w:r>
      <w:bookmarkEnd w:id="13"/>
    </w:p>
    <w:p w14:paraId="68F5F286">
      <w:pPr>
        <w:spacing w:line="360" w:lineRule="auto"/>
        <w:ind w:firstLine="560"/>
        <w:rPr>
          <w:rFonts w:ascii="仿宋_GB2312" w:hAnsi="仿宋"/>
          <w:szCs w:val="28"/>
        </w:rPr>
      </w:pPr>
      <w:r>
        <w:rPr>
          <w:rFonts w:hint="eastAsia" w:ascii="仿宋_GB2312" w:hAnsi="仿宋"/>
          <w:szCs w:val="28"/>
        </w:rPr>
        <w:t>首先，将</w:t>
      </w:r>
      <w:r>
        <w:rPr>
          <w:rFonts w:hint="eastAsia" w:ascii="仿宋_GB2312"/>
        </w:rPr>
        <w:t>2022年12月7日至2023年3月31日过渡期内直接参与疫情防控救治的医护人员临时性工作补助</w:t>
      </w:r>
      <w:r>
        <w:rPr>
          <w:rFonts w:hint="eastAsia" w:ascii="仿宋_GB2312" w:hAnsi="仿宋"/>
          <w:szCs w:val="28"/>
        </w:rPr>
        <w:t>能够通过绩效评价指标体系完整地体现。</w:t>
      </w:r>
    </w:p>
    <w:p w14:paraId="68018C04">
      <w:pPr>
        <w:spacing w:line="360" w:lineRule="auto"/>
        <w:ind w:firstLine="560"/>
        <w:rPr>
          <w:rFonts w:ascii="仿宋_GB2312" w:hAnsi="仿宋"/>
          <w:szCs w:val="28"/>
        </w:rPr>
      </w:pPr>
      <w:r>
        <w:rPr>
          <w:rFonts w:ascii="仿宋_GB2312" w:hAnsi="仿宋"/>
          <w:szCs w:val="28"/>
        </w:rPr>
        <w:t>其次</w:t>
      </w:r>
      <w:r>
        <w:rPr>
          <w:rFonts w:hint="eastAsia" w:ascii="仿宋_GB2312" w:hAnsi="仿宋"/>
          <w:szCs w:val="28"/>
        </w:rPr>
        <w:t>，我院医护人员</w:t>
      </w:r>
      <w:r>
        <w:rPr>
          <w:rFonts w:ascii="仿宋_GB2312"/>
        </w:rPr>
        <w:t>直接参与新冠肺炎防疫和救治一线工作，且与确诊或疑似病例直接接触的接诊、筛查、检查、检测、转运、治疗、护理、流行病学调查、医学观察，以及直接进行病例标本采集、病原检测、病理检查、病理解剖</w:t>
      </w:r>
      <w:r>
        <w:rPr>
          <w:rFonts w:hint="eastAsia" w:ascii="仿宋_GB2312" w:hAnsi="仿宋"/>
          <w:szCs w:val="28"/>
        </w:rPr>
        <w:t>，项目完成度良好。</w:t>
      </w:r>
    </w:p>
    <w:p w14:paraId="324BE324">
      <w:pPr>
        <w:pStyle w:val="4"/>
        <w:ind w:firstLine="643"/>
      </w:pPr>
      <w:bookmarkStart w:id="14" w:name="_Toc165277228"/>
      <w:r>
        <w:t>2</w:t>
      </w:r>
      <w:r>
        <w:rPr>
          <w:rFonts w:hint="eastAsia"/>
        </w:rPr>
        <w:t>.评价目的</w:t>
      </w:r>
      <w:bookmarkEnd w:id="14"/>
    </w:p>
    <w:p w14:paraId="24559FBE">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03DDF054">
      <w:pPr>
        <w:pStyle w:val="4"/>
        <w:ind w:firstLine="643"/>
      </w:pPr>
      <w:bookmarkStart w:id="15" w:name="_Toc165277229"/>
      <w:r>
        <w:t>3</w:t>
      </w:r>
      <w:r>
        <w:rPr>
          <w:rFonts w:hint="eastAsia"/>
        </w:rPr>
        <w:t>.评价对象</w:t>
      </w:r>
      <w:bookmarkEnd w:id="15"/>
    </w:p>
    <w:p w14:paraId="745971BF">
      <w:pPr>
        <w:spacing w:line="360" w:lineRule="auto"/>
        <w:ind w:firstLine="560"/>
        <w:rPr>
          <w:rFonts w:ascii="仿宋_GB2312"/>
        </w:rPr>
      </w:pPr>
      <w:r>
        <w:rPr>
          <w:rFonts w:hint="eastAsia" w:ascii="仿宋_GB2312"/>
        </w:rPr>
        <w:t>（1）绩效评价的对象：关于拨付2023年第九批疫情防控补助资金（第一批医务人员临时性工作补助资金）的通知项目</w:t>
      </w:r>
      <w:r>
        <w:rPr>
          <w:rFonts w:ascii="仿宋_GB2312"/>
        </w:rPr>
        <w:t xml:space="preserve"> </w:t>
      </w:r>
    </w:p>
    <w:p w14:paraId="57665B54">
      <w:pPr>
        <w:pStyle w:val="4"/>
        <w:ind w:firstLine="643"/>
      </w:pPr>
      <w:bookmarkStart w:id="16" w:name="_Toc165277230"/>
      <w:r>
        <w:rPr>
          <w:rFonts w:hint="eastAsia"/>
        </w:rPr>
        <w:t>4</w:t>
      </w:r>
      <w:r>
        <w:t>.</w:t>
      </w:r>
      <w:r>
        <w:rPr>
          <w:rFonts w:hint="eastAsia"/>
        </w:rPr>
        <w:t>绩效评价范围</w:t>
      </w:r>
      <w:bookmarkEnd w:id="16"/>
    </w:p>
    <w:p w14:paraId="0CCA9743">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53198E7A">
      <w:pPr>
        <w:spacing w:line="360" w:lineRule="auto"/>
        <w:ind w:firstLine="560"/>
      </w:pPr>
      <w:r>
        <w:rPr>
          <w:rFonts w:ascii="仿宋_GB2312"/>
        </w:rPr>
        <w:t>2.</w:t>
      </w:r>
      <w:r>
        <w:rPr>
          <w:rFonts w:hint="eastAsia" w:ascii="仿宋_GB2312"/>
        </w:rPr>
        <w:t>项目范围：关于拨付2023年第九批疫情防控补助资金（第一批医务人员临时性工作补助资金）的通知，</w:t>
      </w:r>
      <w:r>
        <w:rPr>
          <w:rFonts w:hint="eastAsia" w:ascii="仿宋_GB2312" w:hAnsi="仿宋"/>
          <w:szCs w:val="28"/>
        </w:rPr>
        <w:t>按照上级管理部门安排和我院各医疗科室的人员统计，经上级管理部门审核，对</w:t>
      </w:r>
      <w:r>
        <w:rPr>
          <w:rFonts w:ascii="仿宋_GB2312"/>
        </w:rPr>
        <w:t>直接参与新冠肺炎防疫和救治一线工作</w:t>
      </w:r>
      <w:r>
        <w:rPr>
          <w:rFonts w:hint="eastAsia" w:ascii="仿宋_GB2312"/>
        </w:rPr>
        <w:t>的</w:t>
      </w:r>
      <w:r>
        <w:rPr>
          <w:rFonts w:hint="eastAsia" w:ascii="仿宋_GB2312" w:hAnsi="仿宋"/>
          <w:szCs w:val="28"/>
        </w:rPr>
        <w:t>医护人员的临时性工作补助进行发放，</w:t>
      </w:r>
      <w:r>
        <w:rPr>
          <w:rFonts w:hint="eastAsia" w:ascii="仿宋_GB2312"/>
          <w:szCs w:val="28"/>
        </w:rPr>
        <w:t>保护关心爱护措施向一线医务人员倾斜，加强对医护人员的培养，提升了医务人员新阶段疫情防控的工作能力。</w:t>
      </w:r>
      <w:r>
        <w:t>由于疫情防控时间久，工作头绪繁多，不能主动利用业余时间系统深入学习疫情防控文件，过渡期病人多，人手不足，多注重接诊、救治等工作。应急处置能力亟待提高，应急人员素质需要加强。</w:t>
      </w:r>
      <w:r>
        <w:rPr>
          <w:rFonts w:hint="eastAsia"/>
        </w:rPr>
        <w:t>部分医护人员对补助政策的分配理解不够深入，政策宣传力度不够，医护人员对补助政策的认知度和执行力需提高，并进一步优化资金分配结构，提高资金使用效率。还需继续完善的内部管理制度，为补助资金的合理使用提供有力保障。</w:t>
      </w:r>
      <w:r>
        <w:rPr>
          <w:rFonts w:hint="eastAsia" w:ascii="仿宋_GB2312"/>
          <w:szCs w:val="28"/>
        </w:rPr>
        <w:t>最终评分结果为：总分为100分，绩效评级为“优”。</w:t>
      </w:r>
    </w:p>
    <w:p w14:paraId="21B9C110">
      <w:pPr>
        <w:pStyle w:val="3"/>
        <w:ind w:firstLine="643"/>
        <w:rPr>
          <w:rFonts w:ascii="仿宋" w:hAnsi="仿宋" w:eastAsia="仿宋"/>
          <w:lang w:bidi="en-US"/>
        </w:rPr>
      </w:pPr>
      <w:bookmarkStart w:id="17" w:name="_Toc67911606"/>
      <w:bookmarkStart w:id="18" w:name="_Toc165277231"/>
      <w:bookmarkStart w:id="19" w:name="_Hlk67586765"/>
      <w:r>
        <w:rPr>
          <w:rFonts w:hint="eastAsia" w:ascii="仿宋" w:hAnsi="仿宋" w:eastAsia="仿宋"/>
          <w:lang w:bidi="en-US"/>
        </w:rPr>
        <w:t>（二）绩效评价原则、指标体系、方法及标准</w:t>
      </w:r>
      <w:bookmarkEnd w:id="17"/>
      <w:bookmarkEnd w:id="18"/>
    </w:p>
    <w:bookmarkEnd w:id="19"/>
    <w:p w14:paraId="4CA20F68">
      <w:pPr>
        <w:pStyle w:val="4"/>
        <w:ind w:firstLine="643"/>
      </w:pPr>
      <w:bookmarkStart w:id="20" w:name="_Toc165277232"/>
      <w:r>
        <w:rPr>
          <w:rFonts w:hint="eastAsia"/>
        </w:rPr>
        <w:t>1</w:t>
      </w:r>
      <w:r>
        <w:t>.</w:t>
      </w:r>
      <w:r>
        <w:rPr>
          <w:rFonts w:hint="eastAsia"/>
        </w:rPr>
        <w:t>评价原则</w:t>
      </w:r>
      <w:bookmarkEnd w:id="20"/>
    </w:p>
    <w:p w14:paraId="2CE50F36">
      <w:pPr>
        <w:spacing w:line="360" w:lineRule="auto"/>
        <w:ind w:firstLine="560"/>
        <w:rPr>
          <w:rFonts w:ascii="仿宋_GB2312"/>
        </w:rPr>
      </w:pPr>
      <w:r>
        <w:rPr>
          <w:rFonts w:hint="eastAsia" w:ascii="仿宋_GB2312"/>
        </w:rPr>
        <w:t>（一）科学公正。绩效评价应当运用科学合理的方法，按照规范的程序，对项目绩效进行客观、公正的反映。</w:t>
      </w:r>
    </w:p>
    <w:p w14:paraId="6A85680D">
      <w:pPr>
        <w:spacing w:line="360" w:lineRule="auto"/>
        <w:ind w:firstLine="560"/>
        <w:rPr>
          <w:rFonts w:ascii="仿宋_GB2312"/>
        </w:rPr>
      </w:pPr>
      <w:r>
        <w:rPr>
          <w:rFonts w:hint="eastAsia" w:ascii="仿宋_GB231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1AF5B65B">
      <w:pPr>
        <w:spacing w:line="360" w:lineRule="auto"/>
        <w:ind w:firstLine="560"/>
        <w:rPr>
          <w:rFonts w:ascii="仿宋_GB2312"/>
        </w:rPr>
      </w:pPr>
      <w:r>
        <w:rPr>
          <w:rFonts w:hint="eastAsia" w:ascii="仿宋_GB2312"/>
        </w:rPr>
        <w:t>（三）激励约束。绩效评价结果应与预算安排、政策调整、改进管理实质性挂钩，体现奖优罚劣和激励相容导向，有效要安排、低效要压减、无效要问责。</w:t>
      </w:r>
    </w:p>
    <w:p w14:paraId="5F618FA8">
      <w:pPr>
        <w:spacing w:line="360" w:lineRule="auto"/>
        <w:ind w:firstLine="560"/>
        <w:rPr>
          <w:rFonts w:ascii="仿宋_GB2312"/>
        </w:rPr>
      </w:pPr>
      <w:r>
        <w:rPr>
          <w:rFonts w:hint="eastAsia" w:ascii="仿宋_GB2312"/>
        </w:rPr>
        <w:t>（四）公开透明。绩效评价结果应依法依规公开，并自觉接受社会监督。</w:t>
      </w:r>
    </w:p>
    <w:p w14:paraId="3CD10EA0">
      <w:pPr>
        <w:pStyle w:val="4"/>
        <w:ind w:firstLine="643"/>
      </w:pPr>
      <w:bookmarkStart w:id="21" w:name="_Toc165277233"/>
      <w:r>
        <w:t>2.</w:t>
      </w:r>
      <w:r>
        <w:rPr>
          <w:rFonts w:hint="eastAsia"/>
        </w:rPr>
        <w:t>评价指标体系</w:t>
      </w:r>
      <w:bookmarkEnd w:id="21"/>
    </w:p>
    <w:p w14:paraId="3B2AEDDC">
      <w:pPr>
        <w:spacing w:line="360" w:lineRule="auto"/>
        <w:ind w:firstLine="560"/>
        <w:rPr>
          <w:rFonts w:ascii="仿宋_GB2312"/>
        </w:rPr>
      </w:pPr>
      <w:r>
        <w:rPr>
          <w:rFonts w:hint="eastAsia" w:ascii="仿宋_GB2312"/>
        </w:rPr>
        <w:t>绩效评价指标体系作为衡量绩效目标实现程度的考核工具，一般遵循以下原则：</w:t>
      </w:r>
    </w:p>
    <w:p w14:paraId="78F3F3AD">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41D81D1F">
      <w:pPr>
        <w:spacing w:line="360" w:lineRule="auto"/>
        <w:ind w:firstLine="560"/>
        <w:rPr>
          <w:rFonts w:ascii="仿宋_GB2312"/>
        </w:rPr>
      </w:pPr>
      <w:r>
        <w:rPr>
          <w:rFonts w:hint="eastAsia" w:ascii="仿宋_GB2312"/>
        </w:rPr>
        <w:t>（2）重要性原则：应当优先使用最具评价对象代表性、最能反映评价要求的核心指标。</w:t>
      </w:r>
    </w:p>
    <w:p w14:paraId="1AE2100C">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6D8E5168">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07D5F3B4">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35F2E9AD">
      <w:pPr>
        <w:spacing w:line="360" w:lineRule="auto"/>
        <w:ind w:firstLine="560"/>
        <w:rPr>
          <w:rFonts w:ascii="仿宋_GB2312"/>
          <w:highlight w:val="none"/>
        </w:rPr>
      </w:pPr>
      <w:r>
        <w:rPr>
          <w:rFonts w:hint="eastAsia" w:ascii="仿宋_GB2312"/>
          <w:highlight w:val="none"/>
        </w:rPr>
        <w:t>本项目的评价指标体系建立如下表所示。</w:t>
      </w:r>
    </w:p>
    <w:p w14:paraId="42FB6EE9">
      <w:pPr>
        <w:spacing w:line="360" w:lineRule="auto"/>
        <w:ind w:firstLine="560"/>
        <w:rPr>
          <w:rFonts w:ascii="仿宋_GB2312"/>
        </w:rPr>
      </w:pPr>
    </w:p>
    <w:p w14:paraId="42DAAB0C">
      <w:pPr>
        <w:spacing w:line="360" w:lineRule="auto"/>
        <w:ind w:firstLine="560"/>
        <w:rPr>
          <w:rFonts w:ascii="仿宋_GB2312"/>
        </w:rPr>
      </w:pPr>
    </w:p>
    <w:p w14:paraId="1E8ACDB3">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08D0976C">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6"/>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1"/>
        <w:gridCol w:w="1419"/>
        <w:gridCol w:w="2789"/>
        <w:gridCol w:w="7341"/>
      </w:tblGrid>
      <w:tr w14:paraId="2C8567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454DC20E">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1" w:type="dxa"/>
            <w:tcBorders>
              <w:tl2br w:val="nil"/>
              <w:tr2bl w:val="nil"/>
            </w:tcBorders>
            <w:shd w:val="clear" w:color="auto" w:fill="D0CECE" w:themeFill="background2" w:themeFillShade="E6"/>
            <w:vAlign w:val="center"/>
          </w:tcPr>
          <w:p w14:paraId="531A794A">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9" w:type="dxa"/>
            <w:tcBorders>
              <w:tl2br w:val="nil"/>
              <w:tr2bl w:val="nil"/>
            </w:tcBorders>
            <w:shd w:val="clear" w:color="auto" w:fill="D0CECE" w:themeFill="background2" w:themeFillShade="E6"/>
            <w:vAlign w:val="center"/>
          </w:tcPr>
          <w:p w14:paraId="39ABDC6E">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11344BEB">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1E5135B0">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572C01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14CFF7F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1" w:type="dxa"/>
            <w:vMerge w:val="restart"/>
            <w:tcBorders>
              <w:tl2br w:val="nil"/>
              <w:tr2bl w:val="nil"/>
            </w:tcBorders>
            <w:shd w:val="clear" w:color="auto" w:fill="FFFFFF"/>
            <w:vAlign w:val="center"/>
          </w:tcPr>
          <w:p w14:paraId="096914E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9" w:type="dxa"/>
            <w:tcBorders>
              <w:tl2br w:val="nil"/>
              <w:tr2bl w:val="nil"/>
            </w:tcBorders>
            <w:shd w:val="clear" w:color="auto" w:fill="FFFFFF"/>
            <w:vAlign w:val="center"/>
          </w:tcPr>
          <w:p w14:paraId="1F52B42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42D65A1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344C06D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63AF4D0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14:paraId="62A8AD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4E53CEBF">
            <w:pPr>
              <w:ind w:firstLine="0" w:firstLineChars="0"/>
              <w:jc w:val="center"/>
              <w:rPr>
                <w:rFonts w:ascii="宋体" w:hAnsi="宋体" w:eastAsia="宋体" w:cs="宋体"/>
                <w:color w:val="000000"/>
                <w:kern w:val="0"/>
                <w:sz w:val="22"/>
              </w:rPr>
            </w:pPr>
          </w:p>
        </w:tc>
        <w:tc>
          <w:tcPr>
            <w:tcW w:w="1191" w:type="dxa"/>
            <w:vMerge w:val="continue"/>
            <w:tcBorders>
              <w:tl2br w:val="nil"/>
              <w:tr2bl w:val="nil"/>
            </w:tcBorders>
            <w:shd w:val="clear" w:color="auto" w:fill="FFFFFF"/>
            <w:vAlign w:val="center"/>
          </w:tcPr>
          <w:p w14:paraId="002F5ED1">
            <w:pPr>
              <w:widowControl/>
              <w:ind w:firstLine="0" w:firstLineChars="0"/>
              <w:jc w:val="center"/>
              <w:rPr>
                <w:rFonts w:ascii="宋体" w:hAnsi="宋体" w:eastAsia="宋体" w:cs="宋体"/>
                <w:color w:val="000000"/>
                <w:kern w:val="0"/>
                <w:sz w:val="22"/>
              </w:rPr>
            </w:pPr>
          </w:p>
        </w:tc>
        <w:tc>
          <w:tcPr>
            <w:tcW w:w="1419" w:type="dxa"/>
            <w:tcBorders>
              <w:tl2br w:val="nil"/>
              <w:tr2bl w:val="nil"/>
            </w:tcBorders>
            <w:shd w:val="clear" w:color="auto" w:fill="FFFFFF"/>
            <w:vAlign w:val="center"/>
          </w:tcPr>
          <w:p w14:paraId="34551AD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3FF39CA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7FCE50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28EB36F9">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3F5FF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7C0E0BD6">
            <w:pPr>
              <w:ind w:firstLine="0" w:firstLineChars="0"/>
              <w:jc w:val="center"/>
              <w:rPr>
                <w:rFonts w:ascii="宋体" w:hAnsi="宋体" w:eastAsia="宋体" w:cs="宋体"/>
                <w:color w:val="000000"/>
                <w:kern w:val="0"/>
                <w:sz w:val="22"/>
              </w:rPr>
            </w:pPr>
          </w:p>
        </w:tc>
        <w:tc>
          <w:tcPr>
            <w:tcW w:w="1191" w:type="dxa"/>
            <w:tcBorders>
              <w:tl2br w:val="nil"/>
              <w:tr2bl w:val="nil"/>
            </w:tcBorders>
            <w:shd w:val="clear" w:color="auto" w:fill="FFFFFF"/>
            <w:vAlign w:val="center"/>
          </w:tcPr>
          <w:p w14:paraId="41E903E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9" w:type="dxa"/>
            <w:tcBorders>
              <w:tl2br w:val="nil"/>
              <w:tr2bl w:val="nil"/>
            </w:tcBorders>
            <w:shd w:val="clear" w:color="auto" w:fill="FFFFFF"/>
            <w:vAlign w:val="center"/>
          </w:tcPr>
          <w:p w14:paraId="2347BC2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120A6BC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34D586F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7EA67043">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522DBAB1">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5D4ED6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5FB956A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1" w:type="dxa"/>
            <w:tcBorders>
              <w:tl2br w:val="nil"/>
              <w:tr2bl w:val="nil"/>
            </w:tcBorders>
            <w:shd w:val="clear" w:color="auto" w:fill="FFFFFF"/>
            <w:vAlign w:val="center"/>
          </w:tcPr>
          <w:p w14:paraId="643E829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9" w:type="dxa"/>
            <w:tcBorders>
              <w:tl2br w:val="nil"/>
              <w:tr2bl w:val="nil"/>
            </w:tcBorders>
            <w:shd w:val="clear" w:color="auto" w:fill="FFFFFF"/>
            <w:vAlign w:val="center"/>
          </w:tcPr>
          <w:p w14:paraId="4D25861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339718D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46A1F30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4DF579C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0ABC98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3482714C">
            <w:pPr>
              <w:ind w:firstLine="0" w:firstLineChars="0"/>
              <w:jc w:val="center"/>
              <w:rPr>
                <w:rFonts w:ascii="宋体" w:hAnsi="宋体" w:eastAsia="宋体" w:cs="宋体"/>
                <w:color w:val="000000"/>
                <w:kern w:val="0"/>
                <w:sz w:val="22"/>
              </w:rPr>
            </w:pPr>
          </w:p>
        </w:tc>
        <w:tc>
          <w:tcPr>
            <w:tcW w:w="1191" w:type="dxa"/>
            <w:vMerge w:val="restart"/>
            <w:tcBorders>
              <w:tl2br w:val="nil"/>
              <w:tr2bl w:val="nil"/>
            </w:tcBorders>
            <w:shd w:val="clear" w:color="auto" w:fill="FFFFFF"/>
            <w:vAlign w:val="center"/>
          </w:tcPr>
          <w:p w14:paraId="0B413D5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9" w:type="dxa"/>
            <w:tcBorders>
              <w:tl2br w:val="nil"/>
              <w:tr2bl w:val="nil"/>
            </w:tcBorders>
            <w:shd w:val="clear" w:color="auto" w:fill="FFFFFF"/>
            <w:vAlign w:val="center"/>
          </w:tcPr>
          <w:p w14:paraId="60DAE61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48B9854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103BB45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5D83220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61A67A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00406273">
            <w:pPr>
              <w:widowControl/>
              <w:ind w:firstLine="0" w:firstLineChars="0"/>
              <w:jc w:val="center"/>
              <w:rPr>
                <w:rFonts w:ascii="宋体" w:hAnsi="宋体" w:eastAsia="宋体" w:cs="宋体"/>
                <w:color w:val="000000"/>
                <w:kern w:val="0"/>
                <w:sz w:val="22"/>
              </w:rPr>
            </w:pPr>
          </w:p>
        </w:tc>
        <w:tc>
          <w:tcPr>
            <w:tcW w:w="1191" w:type="dxa"/>
            <w:vMerge w:val="continue"/>
            <w:tcBorders>
              <w:tl2br w:val="nil"/>
              <w:tr2bl w:val="nil"/>
            </w:tcBorders>
            <w:shd w:val="clear" w:color="auto" w:fill="FFFFFF"/>
            <w:vAlign w:val="center"/>
          </w:tcPr>
          <w:p w14:paraId="410D904C">
            <w:pPr>
              <w:widowControl/>
              <w:ind w:firstLine="0" w:firstLineChars="0"/>
              <w:jc w:val="center"/>
              <w:rPr>
                <w:rFonts w:ascii="宋体" w:hAnsi="宋体" w:eastAsia="宋体" w:cs="宋体"/>
                <w:color w:val="000000"/>
                <w:kern w:val="0"/>
                <w:sz w:val="22"/>
              </w:rPr>
            </w:pPr>
          </w:p>
        </w:tc>
        <w:tc>
          <w:tcPr>
            <w:tcW w:w="1419" w:type="dxa"/>
            <w:tcBorders>
              <w:tl2br w:val="nil"/>
              <w:tr2bl w:val="nil"/>
            </w:tcBorders>
            <w:shd w:val="clear" w:color="auto" w:fill="FFFFFF"/>
            <w:vAlign w:val="center"/>
          </w:tcPr>
          <w:p w14:paraId="4065882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12243E0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136C0C1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3319037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626F00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4AAF54F6">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1" w:type="dxa"/>
            <w:vMerge w:val="restart"/>
            <w:tcBorders>
              <w:tl2br w:val="nil"/>
              <w:tr2bl w:val="nil"/>
            </w:tcBorders>
            <w:shd w:val="clear" w:color="auto" w:fill="FFFFFF"/>
            <w:vAlign w:val="center"/>
          </w:tcPr>
          <w:p w14:paraId="435B2B8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9" w:type="dxa"/>
            <w:tcBorders>
              <w:tl2br w:val="nil"/>
              <w:tr2bl w:val="nil"/>
            </w:tcBorders>
            <w:shd w:val="clear" w:color="auto" w:fill="FFFFFF"/>
            <w:vAlign w:val="center"/>
          </w:tcPr>
          <w:p w14:paraId="1BA26CF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413AB75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0498514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627223D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4FD611A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03E18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576536D3">
            <w:pPr>
              <w:ind w:firstLine="0" w:firstLineChars="0"/>
              <w:jc w:val="center"/>
              <w:rPr>
                <w:rFonts w:ascii="宋体" w:hAnsi="宋体" w:eastAsia="宋体" w:cs="宋体"/>
                <w:color w:val="000000"/>
                <w:kern w:val="0"/>
                <w:sz w:val="22"/>
              </w:rPr>
            </w:pPr>
          </w:p>
        </w:tc>
        <w:tc>
          <w:tcPr>
            <w:tcW w:w="1191" w:type="dxa"/>
            <w:vMerge w:val="continue"/>
            <w:tcBorders>
              <w:tl2br w:val="nil"/>
              <w:tr2bl w:val="nil"/>
            </w:tcBorders>
            <w:shd w:val="clear" w:color="auto" w:fill="FFFFFF"/>
            <w:vAlign w:val="center"/>
          </w:tcPr>
          <w:p w14:paraId="60F51D02">
            <w:pPr>
              <w:ind w:firstLine="0" w:firstLineChars="0"/>
              <w:jc w:val="center"/>
              <w:rPr>
                <w:rFonts w:ascii="宋体" w:hAnsi="宋体" w:eastAsia="宋体" w:cs="宋体"/>
                <w:color w:val="000000"/>
                <w:kern w:val="0"/>
                <w:sz w:val="22"/>
              </w:rPr>
            </w:pPr>
          </w:p>
        </w:tc>
        <w:tc>
          <w:tcPr>
            <w:tcW w:w="1419" w:type="dxa"/>
            <w:tcBorders>
              <w:tl2br w:val="nil"/>
              <w:tr2bl w:val="nil"/>
            </w:tcBorders>
            <w:shd w:val="clear" w:color="auto" w:fill="FFFFFF"/>
            <w:vAlign w:val="center"/>
          </w:tcPr>
          <w:p w14:paraId="3666C632">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1FCE384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45525DB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4912F0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7F2B0C83">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1" w:type="dxa"/>
            <w:tcBorders>
              <w:tl2br w:val="nil"/>
              <w:tr2bl w:val="nil"/>
            </w:tcBorders>
            <w:shd w:val="clear" w:color="auto" w:fill="FFFFFF"/>
            <w:vAlign w:val="center"/>
          </w:tcPr>
          <w:p w14:paraId="318BE7F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9" w:type="dxa"/>
            <w:tcBorders>
              <w:tl2br w:val="nil"/>
              <w:tr2bl w:val="nil"/>
            </w:tcBorders>
            <w:shd w:val="clear" w:color="auto" w:fill="FFFFFF"/>
            <w:vAlign w:val="center"/>
          </w:tcPr>
          <w:p w14:paraId="5F4FAC0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0E88521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1EC19D9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04C65E0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2E03BD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7694541F">
            <w:pPr>
              <w:ind w:firstLine="0" w:firstLineChars="0"/>
              <w:jc w:val="center"/>
              <w:rPr>
                <w:rFonts w:ascii="宋体" w:hAnsi="宋体" w:eastAsia="宋体" w:cs="宋体"/>
                <w:color w:val="000000"/>
                <w:kern w:val="0"/>
                <w:sz w:val="22"/>
              </w:rPr>
            </w:pPr>
          </w:p>
        </w:tc>
        <w:tc>
          <w:tcPr>
            <w:tcW w:w="1191" w:type="dxa"/>
            <w:vMerge w:val="restart"/>
            <w:tcBorders>
              <w:tl2br w:val="nil"/>
              <w:tr2bl w:val="nil"/>
            </w:tcBorders>
            <w:shd w:val="clear" w:color="auto" w:fill="FFFFFF"/>
            <w:vAlign w:val="center"/>
          </w:tcPr>
          <w:p w14:paraId="336C137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9" w:type="dxa"/>
            <w:tcBorders>
              <w:tl2br w:val="nil"/>
              <w:tr2bl w:val="nil"/>
            </w:tcBorders>
            <w:shd w:val="clear" w:color="auto" w:fill="FFFFFF"/>
            <w:vAlign w:val="center"/>
          </w:tcPr>
          <w:p w14:paraId="5432720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2E4C3A53">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3D66513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1946039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447F0B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0" w:hRule="atLeast"/>
          <w:jc w:val="center"/>
        </w:trPr>
        <w:tc>
          <w:tcPr>
            <w:tcW w:w="1155" w:type="dxa"/>
            <w:vMerge w:val="continue"/>
            <w:tcBorders>
              <w:tl2br w:val="nil"/>
              <w:tr2bl w:val="nil"/>
            </w:tcBorders>
            <w:shd w:val="clear" w:color="auto" w:fill="FFFFFF"/>
            <w:vAlign w:val="center"/>
          </w:tcPr>
          <w:p w14:paraId="60785A5C">
            <w:pPr>
              <w:widowControl/>
              <w:ind w:firstLine="0" w:firstLineChars="0"/>
              <w:jc w:val="center"/>
              <w:rPr>
                <w:rFonts w:ascii="宋体" w:hAnsi="宋体" w:eastAsia="宋体" w:cs="宋体"/>
                <w:color w:val="000000"/>
                <w:kern w:val="0"/>
                <w:sz w:val="22"/>
              </w:rPr>
            </w:pPr>
          </w:p>
        </w:tc>
        <w:tc>
          <w:tcPr>
            <w:tcW w:w="1191" w:type="dxa"/>
            <w:vMerge w:val="continue"/>
            <w:tcBorders>
              <w:tl2br w:val="nil"/>
              <w:tr2bl w:val="nil"/>
            </w:tcBorders>
            <w:shd w:val="clear" w:color="auto" w:fill="FFFFFF"/>
            <w:vAlign w:val="center"/>
          </w:tcPr>
          <w:p w14:paraId="042F75EF">
            <w:pPr>
              <w:widowControl/>
              <w:ind w:firstLine="0" w:firstLineChars="0"/>
              <w:jc w:val="center"/>
              <w:rPr>
                <w:rFonts w:ascii="宋体" w:hAnsi="宋体" w:eastAsia="宋体" w:cs="宋体"/>
                <w:color w:val="000000"/>
                <w:kern w:val="0"/>
                <w:sz w:val="22"/>
              </w:rPr>
            </w:pPr>
          </w:p>
        </w:tc>
        <w:tc>
          <w:tcPr>
            <w:tcW w:w="1419" w:type="dxa"/>
            <w:tcBorders>
              <w:tl2br w:val="nil"/>
              <w:tr2bl w:val="nil"/>
            </w:tcBorders>
            <w:shd w:val="clear" w:color="auto" w:fill="FFFFFF"/>
            <w:vAlign w:val="center"/>
          </w:tcPr>
          <w:p w14:paraId="2BCC04A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4CDA4DC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6DE7D65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7215AC4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7E04D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58E1EF14">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1" w:type="dxa"/>
            <w:vMerge w:val="restart"/>
            <w:tcBorders>
              <w:tl2br w:val="nil"/>
              <w:tr2bl w:val="nil"/>
            </w:tcBorders>
            <w:shd w:val="clear" w:color="auto" w:fill="FFFFFF"/>
            <w:vAlign w:val="center"/>
          </w:tcPr>
          <w:p w14:paraId="6E9DA52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产出数量</w:t>
            </w:r>
          </w:p>
        </w:tc>
        <w:tc>
          <w:tcPr>
            <w:tcW w:w="1419" w:type="dxa"/>
            <w:tcBorders>
              <w:tl2br w:val="nil"/>
              <w:tr2bl w:val="nil"/>
            </w:tcBorders>
            <w:shd w:val="clear" w:color="auto" w:fill="FFFFFF"/>
          </w:tcPr>
          <w:p w14:paraId="30D5058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一类重症危重症病区工作人员人数</w:t>
            </w:r>
          </w:p>
        </w:tc>
        <w:tc>
          <w:tcPr>
            <w:tcW w:w="2789" w:type="dxa"/>
            <w:vMerge w:val="restart"/>
            <w:tcBorders>
              <w:tl2br w:val="nil"/>
              <w:tr2bl w:val="nil"/>
            </w:tcBorders>
            <w:shd w:val="clear" w:color="000000" w:fill="FFFFFF"/>
            <w:vAlign w:val="center"/>
          </w:tcPr>
          <w:p w14:paraId="7741255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19416D2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4AAEA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1B381FE8">
            <w:pPr>
              <w:widowControl/>
              <w:ind w:firstLine="0" w:firstLineChars="0"/>
              <w:jc w:val="center"/>
              <w:rPr>
                <w:rFonts w:ascii="宋体" w:hAnsi="宋体" w:eastAsia="宋体" w:cs="宋体"/>
                <w:color w:val="000000"/>
                <w:kern w:val="0"/>
                <w:sz w:val="22"/>
                <w:highlight w:val="none"/>
              </w:rPr>
            </w:pPr>
          </w:p>
        </w:tc>
        <w:tc>
          <w:tcPr>
            <w:tcW w:w="1191" w:type="dxa"/>
            <w:vMerge w:val="continue"/>
            <w:tcBorders>
              <w:tl2br w:val="nil"/>
              <w:tr2bl w:val="nil"/>
            </w:tcBorders>
            <w:shd w:val="clear" w:color="auto" w:fill="FFFFFF"/>
            <w:vAlign w:val="center"/>
          </w:tcPr>
          <w:p w14:paraId="532CD009">
            <w:pPr>
              <w:widowControl/>
              <w:ind w:firstLine="0" w:firstLineChars="0"/>
              <w:jc w:val="center"/>
              <w:rPr>
                <w:rFonts w:ascii="宋体" w:hAnsi="宋体" w:eastAsia="宋体" w:cs="宋体"/>
                <w:color w:val="000000"/>
                <w:kern w:val="0"/>
                <w:sz w:val="22"/>
                <w:highlight w:val="none"/>
              </w:rPr>
            </w:pPr>
          </w:p>
        </w:tc>
        <w:tc>
          <w:tcPr>
            <w:tcW w:w="1419" w:type="dxa"/>
            <w:tcBorders>
              <w:tl2br w:val="nil"/>
              <w:tr2bl w:val="nil"/>
            </w:tcBorders>
            <w:shd w:val="clear" w:color="auto" w:fill="FFFFFF"/>
          </w:tcPr>
          <w:p w14:paraId="7935D16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一类普通病区工作人员人数</w:t>
            </w:r>
          </w:p>
        </w:tc>
        <w:tc>
          <w:tcPr>
            <w:tcW w:w="2789" w:type="dxa"/>
            <w:vMerge w:val="continue"/>
            <w:tcBorders>
              <w:tl2br w:val="nil"/>
              <w:tr2bl w:val="nil"/>
            </w:tcBorders>
            <w:shd w:val="clear" w:color="000000" w:fill="FFFFFF"/>
            <w:vAlign w:val="center"/>
          </w:tcPr>
          <w:p w14:paraId="20AFE225">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16836B0D">
            <w:pPr>
              <w:widowControl/>
              <w:ind w:firstLine="0" w:firstLineChars="0"/>
              <w:rPr>
                <w:rFonts w:ascii="宋体" w:hAnsi="宋体" w:eastAsia="宋体" w:cs="宋体"/>
                <w:color w:val="000000"/>
                <w:kern w:val="0"/>
                <w:sz w:val="22"/>
              </w:rPr>
            </w:pPr>
          </w:p>
        </w:tc>
      </w:tr>
      <w:tr w14:paraId="503033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287FF5EE">
            <w:pPr>
              <w:widowControl/>
              <w:ind w:firstLine="0" w:firstLineChars="0"/>
              <w:jc w:val="center"/>
              <w:rPr>
                <w:rFonts w:ascii="宋体" w:hAnsi="宋体" w:eastAsia="宋体" w:cs="宋体"/>
                <w:color w:val="000000"/>
                <w:kern w:val="0"/>
                <w:sz w:val="22"/>
                <w:highlight w:val="none"/>
              </w:rPr>
            </w:pPr>
          </w:p>
        </w:tc>
        <w:tc>
          <w:tcPr>
            <w:tcW w:w="1191" w:type="dxa"/>
            <w:vMerge w:val="continue"/>
            <w:tcBorders>
              <w:tl2br w:val="nil"/>
              <w:tr2bl w:val="nil"/>
            </w:tcBorders>
            <w:shd w:val="clear" w:color="auto" w:fill="FFFFFF"/>
            <w:vAlign w:val="center"/>
          </w:tcPr>
          <w:p w14:paraId="500A6142">
            <w:pPr>
              <w:widowControl/>
              <w:ind w:firstLine="0" w:firstLineChars="0"/>
              <w:jc w:val="center"/>
              <w:rPr>
                <w:rFonts w:ascii="宋体" w:hAnsi="宋体" w:eastAsia="宋体" w:cs="宋体"/>
                <w:color w:val="000000"/>
                <w:kern w:val="0"/>
                <w:sz w:val="22"/>
                <w:highlight w:val="none"/>
              </w:rPr>
            </w:pPr>
          </w:p>
        </w:tc>
        <w:tc>
          <w:tcPr>
            <w:tcW w:w="1419" w:type="dxa"/>
            <w:tcBorders>
              <w:tl2br w:val="nil"/>
              <w:tr2bl w:val="nil"/>
            </w:tcBorders>
            <w:shd w:val="clear" w:color="auto" w:fill="FFFFFF"/>
          </w:tcPr>
          <w:p w14:paraId="39420ADA">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二类工作人员人数</w:t>
            </w:r>
          </w:p>
        </w:tc>
        <w:tc>
          <w:tcPr>
            <w:tcW w:w="2789" w:type="dxa"/>
            <w:vMerge w:val="continue"/>
            <w:tcBorders>
              <w:tl2br w:val="nil"/>
              <w:tr2bl w:val="nil"/>
            </w:tcBorders>
            <w:shd w:val="clear" w:color="000000" w:fill="FFFFFF"/>
            <w:vAlign w:val="center"/>
          </w:tcPr>
          <w:p w14:paraId="669A4C92">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48787513">
            <w:pPr>
              <w:widowControl/>
              <w:ind w:firstLine="0" w:firstLineChars="0"/>
              <w:rPr>
                <w:rFonts w:ascii="宋体" w:hAnsi="宋体" w:eastAsia="宋体" w:cs="宋体"/>
                <w:color w:val="000000"/>
                <w:kern w:val="0"/>
                <w:sz w:val="22"/>
              </w:rPr>
            </w:pPr>
          </w:p>
        </w:tc>
      </w:tr>
      <w:tr w14:paraId="587E00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43" w:hRule="atLeast"/>
          <w:jc w:val="center"/>
        </w:trPr>
        <w:tc>
          <w:tcPr>
            <w:tcW w:w="1155" w:type="dxa"/>
            <w:vMerge w:val="restart"/>
            <w:tcBorders>
              <w:tl2br w:val="nil"/>
              <w:tr2bl w:val="nil"/>
            </w:tcBorders>
            <w:shd w:val="clear" w:color="auto" w:fill="FFFFFF"/>
            <w:vAlign w:val="center"/>
          </w:tcPr>
          <w:p w14:paraId="642C927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w:t>
            </w:r>
          </w:p>
        </w:tc>
        <w:tc>
          <w:tcPr>
            <w:tcW w:w="1191" w:type="dxa"/>
            <w:tcBorders>
              <w:tl2br w:val="nil"/>
              <w:tr2bl w:val="nil"/>
            </w:tcBorders>
            <w:shd w:val="clear" w:color="auto" w:fill="FFFFFF"/>
            <w:vAlign w:val="center"/>
          </w:tcPr>
          <w:p w14:paraId="1CFBF7B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产出质量</w:t>
            </w:r>
          </w:p>
        </w:tc>
        <w:tc>
          <w:tcPr>
            <w:tcW w:w="1419" w:type="dxa"/>
            <w:tcBorders>
              <w:tl2br w:val="nil"/>
              <w:tr2bl w:val="nil"/>
            </w:tcBorders>
            <w:shd w:val="clear" w:color="auto" w:fill="FFFFFF"/>
            <w:vAlign w:val="center"/>
          </w:tcPr>
          <w:p w14:paraId="095ACD19">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临时性工作完成率</w:t>
            </w:r>
          </w:p>
        </w:tc>
        <w:tc>
          <w:tcPr>
            <w:tcW w:w="2789" w:type="dxa"/>
            <w:tcBorders>
              <w:tl2br w:val="nil"/>
              <w:tr2bl w:val="nil"/>
            </w:tcBorders>
            <w:shd w:val="clear" w:color="000000" w:fill="FFFFFF"/>
            <w:vAlign w:val="center"/>
          </w:tcPr>
          <w:p w14:paraId="7B7AF29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36B9D27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11CBF4E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2F60C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42" w:hRule="atLeast"/>
          <w:jc w:val="center"/>
        </w:trPr>
        <w:tc>
          <w:tcPr>
            <w:tcW w:w="1155" w:type="dxa"/>
            <w:vMerge w:val="continue"/>
            <w:tcBorders>
              <w:tl2br w:val="nil"/>
              <w:tr2bl w:val="nil"/>
            </w:tcBorders>
            <w:shd w:val="clear" w:color="auto" w:fill="FFFFFF"/>
            <w:vAlign w:val="center"/>
          </w:tcPr>
          <w:p w14:paraId="74E43C20">
            <w:pPr>
              <w:ind w:firstLine="0" w:firstLineChars="0"/>
              <w:jc w:val="center"/>
              <w:rPr>
                <w:rFonts w:ascii="宋体" w:hAnsi="宋体" w:eastAsia="宋体" w:cs="宋体"/>
                <w:color w:val="000000"/>
                <w:kern w:val="0"/>
                <w:sz w:val="22"/>
                <w:highlight w:val="none"/>
              </w:rPr>
            </w:pPr>
          </w:p>
        </w:tc>
        <w:tc>
          <w:tcPr>
            <w:tcW w:w="1191" w:type="dxa"/>
            <w:tcBorders>
              <w:tl2br w:val="nil"/>
              <w:tr2bl w:val="nil"/>
            </w:tcBorders>
            <w:shd w:val="clear" w:color="auto" w:fill="FFFFFF"/>
            <w:vAlign w:val="center"/>
          </w:tcPr>
          <w:p w14:paraId="72E39D98">
            <w:pPr>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产出时效</w:t>
            </w:r>
          </w:p>
        </w:tc>
        <w:tc>
          <w:tcPr>
            <w:tcW w:w="1419" w:type="dxa"/>
            <w:tcBorders>
              <w:tl2br w:val="nil"/>
              <w:tr2bl w:val="nil"/>
            </w:tcBorders>
            <w:shd w:val="clear" w:color="auto" w:fill="FFFFFF"/>
            <w:vAlign w:val="center"/>
          </w:tcPr>
          <w:p w14:paraId="2121C7B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项目完成及时率</w:t>
            </w:r>
          </w:p>
        </w:tc>
        <w:tc>
          <w:tcPr>
            <w:tcW w:w="2789" w:type="dxa"/>
            <w:tcBorders>
              <w:tl2br w:val="nil"/>
              <w:tr2bl w:val="nil"/>
            </w:tcBorders>
            <w:shd w:val="clear" w:color="000000" w:fill="FFFFFF"/>
            <w:vAlign w:val="center"/>
          </w:tcPr>
          <w:p w14:paraId="27F81FFC">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74EFD23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实际完成时间：项目实施单位完成该项目实际所耗用的时间。</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计划完成时间：按照项目实施计划或相关规定完成该项目所需的时间。</w:t>
            </w:r>
          </w:p>
        </w:tc>
      </w:tr>
      <w:tr w14:paraId="622FB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2DB5A458">
            <w:pPr>
              <w:widowControl/>
              <w:ind w:firstLine="0" w:firstLineChars="0"/>
              <w:jc w:val="center"/>
              <w:rPr>
                <w:rFonts w:ascii="宋体" w:hAnsi="宋体" w:eastAsia="宋体" w:cs="宋体"/>
                <w:color w:val="000000"/>
                <w:kern w:val="0"/>
                <w:sz w:val="22"/>
              </w:rPr>
            </w:pPr>
          </w:p>
        </w:tc>
        <w:tc>
          <w:tcPr>
            <w:tcW w:w="1191" w:type="dxa"/>
            <w:vMerge w:val="restart"/>
            <w:tcBorders>
              <w:tl2br w:val="nil"/>
              <w:tr2bl w:val="nil"/>
            </w:tcBorders>
            <w:shd w:val="clear" w:color="auto" w:fill="FFFFFF"/>
            <w:vAlign w:val="center"/>
          </w:tcPr>
          <w:p w14:paraId="2C6E9F15">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产出成本</w:t>
            </w:r>
          </w:p>
        </w:tc>
        <w:tc>
          <w:tcPr>
            <w:tcW w:w="1419" w:type="dxa"/>
            <w:tcBorders>
              <w:tl2br w:val="nil"/>
              <w:tr2bl w:val="nil"/>
            </w:tcBorders>
            <w:shd w:val="clear" w:color="auto" w:fill="FFFFFF"/>
            <w:vAlign w:val="center"/>
          </w:tcPr>
          <w:p w14:paraId="2AD9BDAD">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一类重症危重症病区工作人员补助</w:t>
            </w:r>
          </w:p>
        </w:tc>
        <w:tc>
          <w:tcPr>
            <w:tcW w:w="2789" w:type="dxa"/>
            <w:vMerge w:val="restart"/>
            <w:tcBorders>
              <w:tl2br w:val="nil"/>
              <w:tr2bl w:val="nil"/>
            </w:tcBorders>
            <w:shd w:val="clear" w:color="000000" w:fill="FFFFFF"/>
            <w:vAlign w:val="center"/>
          </w:tcPr>
          <w:p w14:paraId="7E4E4F8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1D4E5C18">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33BFF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5C2762EC">
            <w:pPr>
              <w:widowControl/>
              <w:ind w:firstLine="0" w:firstLineChars="0"/>
              <w:jc w:val="center"/>
            </w:pPr>
          </w:p>
        </w:tc>
        <w:tc>
          <w:tcPr>
            <w:tcW w:w="1191" w:type="dxa"/>
            <w:vMerge w:val="continue"/>
            <w:tcBorders>
              <w:tl2br w:val="nil"/>
              <w:tr2bl w:val="nil"/>
            </w:tcBorders>
            <w:shd w:val="clear" w:color="auto" w:fill="FFFFFF"/>
            <w:vAlign w:val="center"/>
          </w:tcPr>
          <w:p w14:paraId="6E0ACDF9">
            <w:pPr>
              <w:widowControl/>
              <w:ind w:firstLine="0" w:firstLineChars="0"/>
              <w:jc w:val="center"/>
            </w:pPr>
          </w:p>
        </w:tc>
        <w:tc>
          <w:tcPr>
            <w:tcW w:w="1419" w:type="dxa"/>
            <w:tcBorders>
              <w:tl2br w:val="nil"/>
              <w:tr2bl w:val="nil"/>
            </w:tcBorders>
            <w:shd w:val="clear" w:color="auto" w:fill="FFFFFF"/>
            <w:vAlign w:val="center"/>
          </w:tcPr>
          <w:p w14:paraId="2F8CCC4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一类普通病区工作人员补助</w:t>
            </w:r>
          </w:p>
        </w:tc>
        <w:tc>
          <w:tcPr>
            <w:tcW w:w="2789" w:type="dxa"/>
            <w:vMerge w:val="continue"/>
            <w:tcBorders>
              <w:tl2br w:val="nil"/>
              <w:tr2bl w:val="nil"/>
            </w:tcBorders>
            <w:shd w:val="clear" w:color="000000" w:fill="FFFFFF"/>
            <w:vAlign w:val="center"/>
          </w:tcPr>
          <w:p w14:paraId="4785C5B1">
            <w:pPr>
              <w:widowControl/>
              <w:ind w:firstLine="0" w:firstLineChars="0"/>
              <w:jc w:val="center"/>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71FDE17A">
            <w:pPr>
              <w:widowControl/>
              <w:ind w:firstLine="0" w:firstLineChars="0"/>
              <w:jc w:val="center"/>
              <w:rPr>
                <w:rFonts w:ascii="宋体" w:hAnsi="宋体" w:eastAsia="宋体" w:cs="宋体"/>
                <w:color w:val="000000"/>
                <w:kern w:val="0"/>
                <w:sz w:val="22"/>
              </w:rPr>
            </w:pPr>
          </w:p>
        </w:tc>
      </w:tr>
      <w:tr w14:paraId="67CEE7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55" w:hRule="atLeast"/>
          <w:jc w:val="center"/>
        </w:trPr>
        <w:tc>
          <w:tcPr>
            <w:tcW w:w="1155" w:type="dxa"/>
            <w:vMerge w:val="continue"/>
            <w:tcBorders>
              <w:tl2br w:val="nil"/>
              <w:tr2bl w:val="nil"/>
            </w:tcBorders>
            <w:shd w:val="clear" w:color="auto" w:fill="FFFFFF"/>
            <w:vAlign w:val="center"/>
          </w:tcPr>
          <w:p w14:paraId="679E0310">
            <w:pPr>
              <w:widowControl/>
              <w:ind w:firstLine="0" w:firstLineChars="0"/>
              <w:jc w:val="center"/>
              <w:rPr>
                <w:rFonts w:ascii="宋体" w:hAnsi="宋体" w:eastAsia="宋体" w:cs="宋体"/>
                <w:color w:val="000000"/>
                <w:kern w:val="0"/>
                <w:sz w:val="22"/>
              </w:rPr>
            </w:pPr>
          </w:p>
        </w:tc>
        <w:tc>
          <w:tcPr>
            <w:tcW w:w="1191" w:type="dxa"/>
            <w:vMerge w:val="continue"/>
            <w:tcBorders>
              <w:tl2br w:val="nil"/>
              <w:tr2bl w:val="nil"/>
            </w:tcBorders>
            <w:shd w:val="clear" w:color="auto" w:fill="FFFFFF"/>
            <w:vAlign w:val="center"/>
          </w:tcPr>
          <w:p w14:paraId="33E876CC">
            <w:pPr>
              <w:widowControl/>
              <w:ind w:firstLine="0" w:firstLineChars="0"/>
              <w:jc w:val="center"/>
              <w:rPr>
                <w:rFonts w:ascii="宋体" w:hAnsi="宋体" w:eastAsia="宋体" w:cs="宋体"/>
                <w:color w:val="000000"/>
                <w:kern w:val="0"/>
                <w:sz w:val="22"/>
              </w:rPr>
            </w:pPr>
          </w:p>
        </w:tc>
        <w:tc>
          <w:tcPr>
            <w:tcW w:w="1419" w:type="dxa"/>
            <w:tcBorders>
              <w:tl2br w:val="nil"/>
              <w:tr2bl w:val="nil"/>
            </w:tcBorders>
            <w:shd w:val="clear" w:color="auto" w:fill="FFFFFF"/>
            <w:vAlign w:val="center"/>
          </w:tcPr>
          <w:p w14:paraId="78223ED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二类工作人员补助</w:t>
            </w:r>
          </w:p>
        </w:tc>
        <w:tc>
          <w:tcPr>
            <w:tcW w:w="2789" w:type="dxa"/>
            <w:vMerge w:val="continue"/>
            <w:tcBorders>
              <w:tl2br w:val="nil"/>
              <w:tr2bl w:val="nil"/>
            </w:tcBorders>
            <w:shd w:val="clear" w:color="000000" w:fill="FFFFFF"/>
            <w:vAlign w:val="center"/>
          </w:tcPr>
          <w:p w14:paraId="54D25417">
            <w:pPr>
              <w:widowControl/>
              <w:ind w:firstLine="0" w:firstLineChars="0"/>
              <w:jc w:val="center"/>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23F0CC00">
            <w:pPr>
              <w:widowControl/>
              <w:ind w:firstLine="0" w:firstLineChars="0"/>
              <w:jc w:val="center"/>
              <w:rPr>
                <w:rFonts w:ascii="宋体" w:hAnsi="宋体" w:eastAsia="宋体" w:cs="宋体"/>
                <w:color w:val="000000"/>
                <w:kern w:val="0"/>
                <w:sz w:val="22"/>
              </w:rPr>
            </w:pPr>
          </w:p>
        </w:tc>
      </w:tr>
      <w:tr w14:paraId="4C82DB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0783C442">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效益</w:t>
            </w:r>
          </w:p>
        </w:tc>
        <w:tc>
          <w:tcPr>
            <w:tcW w:w="1191" w:type="dxa"/>
            <w:tcBorders>
              <w:tl2br w:val="nil"/>
              <w:tr2bl w:val="nil"/>
            </w:tcBorders>
            <w:shd w:val="clear" w:color="auto" w:fill="FFFFFF"/>
            <w:vAlign w:val="center"/>
          </w:tcPr>
          <w:p w14:paraId="650CD138">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社会效益指标</w:t>
            </w:r>
          </w:p>
        </w:tc>
        <w:tc>
          <w:tcPr>
            <w:tcW w:w="1419" w:type="dxa"/>
            <w:tcBorders>
              <w:tl2br w:val="nil"/>
              <w:tr2bl w:val="nil"/>
            </w:tcBorders>
            <w:shd w:val="clear" w:color="auto" w:fill="FFFFFF"/>
            <w:vAlign w:val="center"/>
          </w:tcPr>
          <w:p w14:paraId="37C348DB">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提升新阶段疫情防控工作能力</w:t>
            </w:r>
          </w:p>
        </w:tc>
        <w:tc>
          <w:tcPr>
            <w:tcW w:w="2789" w:type="dxa"/>
            <w:tcBorders>
              <w:tl2br w:val="nil"/>
              <w:tr2bl w:val="nil"/>
            </w:tcBorders>
            <w:shd w:val="clear" w:color="auto" w:fill="FFFFFF"/>
            <w:vAlign w:val="center"/>
          </w:tcPr>
          <w:p w14:paraId="59CEC888">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6CEFF47A">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658EF9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73EBBAF8">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w:t>
            </w:r>
          </w:p>
        </w:tc>
        <w:tc>
          <w:tcPr>
            <w:tcW w:w="1191" w:type="dxa"/>
            <w:tcBorders>
              <w:tl2br w:val="nil"/>
              <w:tr2bl w:val="nil"/>
            </w:tcBorders>
            <w:shd w:val="clear" w:color="auto" w:fill="FFFFFF"/>
            <w:vAlign w:val="center"/>
          </w:tcPr>
          <w:p w14:paraId="3570B7E0">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满意度</w:t>
            </w:r>
          </w:p>
        </w:tc>
        <w:tc>
          <w:tcPr>
            <w:tcW w:w="1419" w:type="dxa"/>
            <w:tcBorders>
              <w:tl2br w:val="nil"/>
              <w:tr2bl w:val="nil"/>
            </w:tcBorders>
            <w:shd w:val="clear" w:color="auto" w:fill="FFFFFF"/>
            <w:vAlign w:val="center"/>
          </w:tcPr>
          <w:p w14:paraId="404AE8E9">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补贴对象满意度</w:t>
            </w:r>
          </w:p>
        </w:tc>
        <w:tc>
          <w:tcPr>
            <w:tcW w:w="2789" w:type="dxa"/>
            <w:tcBorders>
              <w:tl2br w:val="nil"/>
              <w:tr2bl w:val="nil"/>
            </w:tcBorders>
            <w:shd w:val="clear" w:color="auto" w:fill="FFFFFF"/>
            <w:vAlign w:val="center"/>
          </w:tcPr>
          <w:p w14:paraId="14D61900">
            <w:pPr>
              <w:widowControl/>
              <w:ind w:firstLine="0" w:firstLineChars="0"/>
              <w:jc w:val="left"/>
              <w:rPr>
                <w:rFonts w:hint="eastAsia" w:ascii="宋体" w:hAnsi="宋体" w:eastAsia="宋体" w:cs="宋体"/>
                <w:color w:val="000000"/>
                <w:kern w:val="0"/>
                <w:sz w:val="22"/>
              </w:rPr>
            </w:pPr>
            <w:r>
              <w:rPr>
                <w:rFonts w:hint="eastAsia" w:ascii="宋体" w:hAnsi="宋体" w:eastAsia="宋体" w:cs="宋体"/>
                <w:color w:val="000000"/>
                <w:kern w:val="0"/>
                <w:sz w:val="22"/>
              </w:rPr>
              <w:t>服务对象满意程度</w:t>
            </w:r>
          </w:p>
        </w:tc>
        <w:tc>
          <w:tcPr>
            <w:tcW w:w="7341" w:type="dxa"/>
            <w:tcBorders>
              <w:tl2br w:val="nil"/>
              <w:tr2bl w:val="nil"/>
            </w:tcBorders>
            <w:shd w:val="clear" w:color="auto" w:fill="FFFFFF"/>
            <w:vAlign w:val="center"/>
          </w:tcPr>
          <w:p w14:paraId="7489CD1E">
            <w:pPr>
              <w:widowControl/>
              <w:ind w:firstLine="0" w:firstLineChars="0"/>
              <w:rPr>
                <w:rFonts w:hint="eastAsia" w:ascii="宋体" w:hAnsi="宋体" w:eastAsia="宋体" w:cs="宋体"/>
                <w:color w:val="000000"/>
                <w:kern w:val="0"/>
                <w:sz w:val="22"/>
              </w:rPr>
            </w:pPr>
            <w:r>
              <w:rPr>
                <w:rFonts w:hint="eastAsia" w:ascii="宋体" w:hAnsi="宋体" w:eastAsia="宋体" w:cs="宋体"/>
                <w:color w:val="000000"/>
                <w:kern w:val="0"/>
                <w:sz w:val="22"/>
              </w:rPr>
              <w:t>该项目实施对象的满意程度。</w:t>
            </w:r>
          </w:p>
        </w:tc>
      </w:tr>
    </w:tbl>
    <w:p w14:paraId="53379F31">
      <w:pPr>
        <w:ind w:firstLine="0" w:firstLineChars="0"/>
        <w:jc w:val="center"/>
        <w:rPr>
          <w:rFonts w:ascii="仿宋_GB2312"/>
        </w:rPr>
      </w:pPr>
    </w:p>
    <w:p w14:paraId="17E2F278">
      <w:pPr>
        <w:ind w:firstLine="0" w:firstLineChars="0"/>
        <w:jc w:val="center"/>
        <w:rPr>
          <w:rFonts w:ascii="仿宋_GB2312"/>
        </w:rPr>
      </w:pPr>
    </w:p>
    <w:p w14:paraId="787CACFF">
      <w:pPr>
        <w:ind w:firstLine="0" w:firstLineChars="0"/>
        <w:jc w:val="center"/>
        <w:rPr>
          <w:rFonts w:ascii="仿宋_GB2312"/>
        </w:rPr>
      </w:pPr>
    </w:p>
    <w:p w14:paraId="10430CED">
      <w:pPr>
        <w:ind w:firstLine="0" w:firstLineChars="0"/>
        <w:jc w:val="center"/>
        <w:rPr>
          <w:rFonts w:ascii="仿宋_GB2312"/>
        </w:rPr>
      </w:pPr>
    </w:p>
    <w:p w14:paraId="56D2AED4">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5E034C8B">
      <w:pPr>
        <w:pStyle w:val="4"/>
        <w:ind w:firstLine="643"/>
      </w:pPr>
      <w:bookmarkStart w:id="22" w:name="_Toc165277234"/>
      <w:bookmarkStart w:id="23" w:name="_Hlk67586038"/>
      <w:r>
        <w:t>3.</w:t>
      </w:r>
      <w:r>
        <w:rPr>
          <w:rFonts w:hint="eastAsia"/>
        </w:rPr>
        <w:t>评价方法</w:t>
      </w:r>
      <w:bookmarkEnd w:id="22"/>
    </w:p>
    <w:bookmarkEnd w:id="23"/>
    <w:p w14:paraId="3F9C67DB">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6E4923F5">
      <w:pPr>
        <w:spacing w:line="360" w:lineRule="auto"/>
        <w:ind w:firstLine="560"/>
        <w:rPr>
          <w:rFonts w:ascii="仿宋_GB2312"/>
        </w:rPr>
      </w:pPr>
      <w:r>
        <w:rPr>
          <w:rFonts w:hint="eastAsia" w:ascii="仿宋_GB2312"/>
        </w:rPr>
        <w:t>（1）成本效益分析法。是指将投入与产出、效益进行关联性分析的方法。</w:t>
      </w:r>
    </w:p>
    <w:p w14:paraId="06F56153">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0EA34F40">
      <w:pPr>
        <w:spacing w:line="360" w:lineRule="auto"/>
        <w:ind w:firstLine="560"/>
        <w:rPr>
          <w:rFonts w:ascii="仿宋_GB2312"/>
        </w:rPr>
      </w:pPr>
      <w:r>
        <w:rPr>
          <w:rFonts w:hint="eastAsia" w:ascii="仿宋_GB2312"/>
        </w:rPr>
        <w:t>（3）因素分析法。是指综合分析影响绩效目标实现、实施效果的内外部因素的方法。</w:t>
      </w:r>
    </w:p>
    <w:p w14:paraId="2A23F02A">
      <w:pPr>
        <w:spacing w:line="360" w:lineRule="auto"/>
        <w:ind w:firstLine="560"/>
        <w:rPr>
          <w:rFonts w:ascii="仿宋_GB2312"/>
        </w:rPr>
      </w:pPr>
      <w:r>
        <w:rPr>
          <w:rFonts w:hint="eastAsia" w:ascii="仿宋_GB2312"/>
        </w:rPr>
        <w:t>（4）最低成本法。是指在绩效目标确定的前提下，成本最小者为优的方法。</w:t>
      </w:r>
    </w:p>
    <w:p w14:paraId="3FC151A7">
      <w:pPr>
        <w:spacing w:line="360" w:lineRule="auto"/>
        <w:ind w:firstLine="560"/>
        <w:rPr>
          <w:rFonts w:ascii="仿宋_GB2312"/>
        </w:rPr>
      </w:pPr>
      <w:r>
        <w:rPr>
          <w:rFonts w:hint="eastAsia" w:ascii="仿宋_GB2312"/>
        </w:rPr>
        <w:t>（5）公众评判法。是指通过专家评估、公众问卷及抽样调查等方式进行评判的方法。</w:t>
      </w:r>
    </w:p>
    <w:p w14:paraId="766637B3">
      <w:pPr>
        <w:spacing w:line="360" w:lineRule="auto"/>
        <w:ind w:firstLine="560"/>
        <w:rPr>
          <w:rFonts w:ascii="仿宋_GB2312"/>
        </w:rPr>
      </w:pPr>
      <w:r>
        <w:rPr>
          <w:rFonts w:hint="eastAsia" w:ascii="仿宋_GB2312"/>
        </w:rPr>
        <w:t>（6）标杆管理法。是指以国内外同行业中较高的绩效水平为标杆进行评判的方法。</w:t>
      </w:r>
    </w:p>
    <w:p w14:paraId="4A73CB88">
      <w:pPr>
        <w:spacing w:line="360" w:lineRule="auto"/>
        <w:ind w:firstLine="560"/>
        <w:rPr>
          <w:rFonts w:ascii="仿宋_GB2312"/>
        </w:rPr>
      </w:pPr>
      <w:r>
        <w:rPr>
          <w:rFonts w:hint="eastAsia" w:ascii="仿宋_GB2312"/>
        </w:rPr>
        <w:t>（7）其他评价方法。</w:t>
      </w:r>
    </w:p>
    <w:p w14:paraId="575403D6">
      <w:pPr>
        <w:spacing w:line="360" w:lineRule="auto"/>
        <w:ind w:firstLine="560"/>
        <w:rPr>
          <w:rFonts w:ascii="仿宋_GB2312"/>
        </w:rPr>
      </w:pPr>
      <w:r>
        <w:rPr>
          <w:rFonts w:hint="eastAsia" w:ascii="仿宋_GB2312"/>
        </w:rPr>
        <w:t>根据本项目的特点，本次评价主要采用比较法</w:t>
      </w:r>
      <w:r>
        <w:rPr>
          <w:rFonts w:ascii="仿宋_GB2312"/>
        </w:rPr>
        <w:t>和</w:t>
      </w:r>
      <w:r>
        <w:rPr>
          <w:rFonts w:hint="eastAsia" w:ascii="仿宋_GB2312"/>
        </w:rPr>
        <w:t>公众评判法，对项目总预算和明细预算的内容、标准、计划是否经济合理进行深入分析，以考察实际产出和效益是否达到预期。</w:t>
      </w:r>
    </w:p>
    <w:p w14:paraId="79BA7D57">
      <w:pPr>
        <w:pStyle w:val="4"/>
        <w:ind w:firstLine="643"/>
      </w:pPr>
      <w:bookmarkStart w:id="24" w:name="_Toc165277235"/>
      <w:r>
        <w:t>4.</w:t>
      </w:r>
      <w:r>
        <w:rPr>
          <w:rFonts w:hint="eastAsia"/>
        </w:rPr>
        <w:t>评价标准</w:t>
      </w:r>
      <w:bookmarkEnd w:id="24"/>
    </w:p>
    <w:p w14:paraId="026770CA">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555EA45D">
      <w:pPr>
        <w:spacing w:line="360" w:lineRule="auto"/>
        <w:ind w:firstLine="560"/>
        <w:rPr>
          <w:rFonts w:ascii="仿宋_GB2312"/>
        </w:rPr>
      </w:pPr>
      <w:r>
        <w:rPr>
          <w:rFonts w:hint="eastAsia" w:ascii="仿宋_GB2312"/>
        </w:rPr>
        <w:t>（1）计划标准。指以预先制定的目标、计划、预算、定额等作为评价标准。</w:t>
      </w:r>
    </w:p>
    <w:p w14:paraId="2AD4595B">
      <w:pPr>
        <w:spacing w:line="360" w:lineRule="auto"/>
        <w:ind w:firstLine="560"/>
        <w:rPr>
          <w:rFonts w:ascii="仿宋_GB2312"/>
        </w:rPr>
      </w:pPr>
      <w:r>
        <w:rPr>
          <w:rFonts w:hint="eastAsia" w:ascii="仿宋_GB2312"/>
        </w:rPr>
        <w:t>（2）行业标准。指参照国家公布的行业指标数据制定的评价标准。</w:t>
      </w:r>
    </w:p>
    <w:p w14:paraId="2F74D32C">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2FD61408">
      <w:pPr>
        <w:spacing w:line="360" w:lineRule="auto"/>
        <w:ind w:firstLine="560"/>
        <w:rPr>
          <w:rFonts w:ascii="仿宋_GB2312"/>
        </w:rPr>
      </w:pPr>
      <w:r>
        <w:rPr>
          <w:rFonts w:hint="eastAsia" w:ascii="仿宋_GB2312"/>
        </w:rPr>
        <w:t>在上述评价标准的基础上，本次评价依据以下文件为重要指导和准绳：</w:t>
      </w:r>
    </w:p>
    <w:p w14:paraId="42CB309A">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0814588B">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0F9582BF">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75C5A057">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39A52A55">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《关于拨付2023年自治区医务人员临时性工作补助资金（第一批）的通知》（新财社〔2023〕8号）</w:t>
      </w:r>
    </w:p>
    <w:p w14:paraId="1055DB1E">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《关于完善自治区医务人员临时性工作补助有关政策的通知》（新财社〔2023〕9号）</w:t>
      </w:r>
    </w:p>
    <w:p w14:paraId="1C50C9D9">
      <w:pPr>
        <w:spacing w:line="360" w:lineRule="auto"/>
        <w:ind w:firstLine="560"/>
        <w:rPr>
          <w:rFonts w:ascii="仿宋_GB2312"/>
        </w:rPr>
      </w:pPr>
      <w:r>
        <w:rPr>
          <w:rFonts w:hint="eastAsia" w:ascii="黑体" w:hAnsi="黑体" w:eastAsia="黑体" w:cs="Times New Roman"/>
          <w:szCs w:val="28"/>
        </w:rPr>
        <w:t>·《</w:t>
      </w:r>
      <w:r>
        <w:rPr>
          <w:rFonts w:hint="eastAsia" w:ascii="仿宋_GB2312"/>
        </w:rPr>
        <w:t>国务院应对新型冠状病毒感染肺炎疫情联防联控机制关于聚焦一线贯彻落实保护关心爱护医务人员措施的通知》（国发明电〔2020〕10号）</w:t>
      </w:r>
    </w:p>
    <w:p w14:paraId="625C3DAE">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关于报送疫情防控一线医务人员工作补助的通知》</w:t>
      </w:r>
      <w:r>
        <w:rPr>
          <w:rFonts w:ascii="仿宋_GB2312"/>
        </w:rPr>
        <w:t xml:space="preserve"> </w:t>
      </w:r>
    </w:p>
    <w:p w14:paraId="07B730BA">
      <w:pPr>
        <w:pStyle w:val="3"/>
        <w:ind w:firstLine="643"/>
        <w:rPr>
          <w:rFonts w:ascii="仿宋" w:hAnsi="仿宋" w:eastAsia="仿宋"/>
          <w:lang w:bidi="en-US"/>
        </w:rPr>
      </w:pPr>
      <w:bookmarkStart w:id="25" w:name="_Toc165277236"/>
      <w:bookmarkStart w:id="26" w:name="_Toc67911607"/>
      <w:r>
        <w:rPr>
          <w:rFonts w:hint="eastAsia" w:ascii="仿宋" w:hAnsi="仿宋" w:eastAsia="仿宋"/>
          <w:lang w:bidi="en-US"/>
        </w:rPr>
        <w:t>（三）绩效评价工作过程</w:t>
      </w:r>
      <w:bookmarkEnd w:id="25"/>
      <w:bookmarkEnd w:id="26"/>
    </w:p>
    <w:p w14:paraId="19D5145B">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1"/>
          <w:rFonts w:ascii="仿宋_GB2312"/>
        </w:rPr>
        <w:footnoteReference w:id="0"/>
      </w:r>
      <w:r>
        <w:rPr>
          <w:rFonts w:hint="eastAsia" w:ascii="仿宋_GB2312"/>
        </w:rPr>
        <w:t>、材料审核分析、现场核查评价、综合分析评价及报告撰写，评价项目实施情况，展现资金使用效益。</w:t>
      </w:r>
    </w:p>
    <w:p w14:paraId="4E7809AC">
      <w:pPr>
        <w:pStyle w:val="2"/>
        <w:ind w:firstLine="0" w:firstLineChars="0"/>
        <w:jc w:val="left"/>
        <w:rPr>
          <w:rFonts w:ascii="仿宋" w:hAnsi="仿宋" w:eastAsia="仿宋"/>
          <w:sz w:val="36"/>
          <w:szCs w:val="36"/>
          <w:lang w:bidi="en-US"/>
        </w:rPr>
      </w:pPr>
      <w:bookmarkStart w:id="27" w:name="_Toc165277237"/>
      <w:bookmarkStart w:id="28" w:name="_Toc67911608"/>
      <w:r>
        <w:rPr>
          <w:rFonts w:hint="eastAsia" w:ascii="仿宋" w:hAnsi="仿宋" w:eastAsia="仿宋"/>
          <w:sz w:val="36"/>
          <w:szCs w:val="36"/>
          <w:lang w:bidi="en-US"/>
        </w:rPr>
        <w:t>三、综合评价情况及评价结论</w:t>
      </w:r>
      <w:bookmarkEnd w:id="27"/>
      <w:bookmarkEnd w:id="28"/>
    </w:p>
    <w:p w14:paraId="6E17F5BB">
      <w:pPr>
        <w:pStyle w:val="3"/>
        <w:ind w:firstLine="643"/>
        <w:rPr>
          <w:rFonts w:ascii="仿宋" w:hAnsi="仿宋" w:eastAsia="仿宋"/>
          <w:lang w:bidi="en-US"/>
        </w:rPr>
      </w:pPr>
      <w:bookmarkStart w:id="29" w:name="_Toc165277238"/>
      <w:bookmarkStart w:id="30" w:name="_Toc67911609"/>
      <w:r>
        <w:rPr>
          <w:rFonts w:hint="eastAsia" w:ascii="仿宋" w:hAnsi="仿宋" w:eastAsia="仿宋"/>
          <w:lang w:bidi="en-US"/>
        </w:rPr>
        <w:t>（一）评价结论</w:t>
      </w:r>
      <w:bookmarkEnd w:id="29"/>
      <w:bookmarkEnd w:id="30"/>
    </w:p>
    <w:p w14:paraId="283AF681">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w:t>
      </w:r>
      <w:r>
        <w:rPr>
          <w:rFonts w:hint="eastAsia" w:ascii="仿宋_GB2312"/>
        </w:rPr>
        <w:t>关于拨付2023年第九批疫情防控补助资金（第一批医务人员临时性工作补助资金）的通知</w:t>
      </w:r>
      <w:r>
        <w:rPr>
          <w:rFonts w:hint="eastAsia" w:ascii="仿宋_GB2312"/>
          <w:szCs w:val="28"/>
        </w:rPr>
        <w:t>进行客观评价，最终评分结果为：总分为100分，绩效评级为“优”</w:t>
      </w:r>
      <w:r>
        <w:rPr>
          <w:rStyle w:val="21"/>
          <w:rFonts w:ascii="仿宋_GB2312"/>
          <w:szCs w:val="28"/>
        </w:rPr>
        <w:footnoteReference w:id="1"/>
      </w:r>
      <w:r>
        <w:rPr>
          <w:rFonts w:hint="eastAsia" w:ascii="仿宋_GB2312"/>
          <w:szCs w:val="28"/>
        </w:rPr>
        <w:t>。</w:t>
      </w:r>
    </w:p>
    <w:p w14:paraId="61820A7F">
      <w:pPr>
        <w:spacing w:line="360" w:lineRule="auto"/>
        <w:ind w:firstLine="560"/>
        <w:rPr>
          <w:rFonts w:ascii="仿宋_GB2312"/>
          <w:szCs w:val="28"/>
          <w:highlight w:val="none"/>
        </w:rPr>
      </w:pPr>
      <w:r>
        <w:rPr>
          <w:rFonts w:hint="eastAsia" w:ascii="仿宋_GB2312"/>
          <w:szCs w:val="28"/>
          <w:highlight w:val="none"/>
        </w:rPr>
        <w:t>项目各部分权重和绩效分值如附表所示：</w:t>
      </w:r>
    </w:p>
    <w:p w14:paraId="3A15C38F">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6"/>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14:paraId="4A41C6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14:paraId="34F9CB48">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一级指标</w:t>
            </w:r>
          </w:p>
        </w:tc>
        <w:tc>
          <w:tcPr>
            <w:tcW w:w="1984" w:type="dxa"/>
            <w:tcBorders>
              <w:tl2br w:val="nil"/>
              <w:tr2bl w:val="nil"/>
            </w:tcBorders>
            <w:shd w:val="clear" w:color="auto" w:fill="D0CECE" w:themeFill="background2" w:themeFillShade="E6"/>
            <w:vAlign w:val="center"/>
          </w:tcPr>
          <w:p w14:paraId="6DF85B80">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二级指标</w:t>
            </w:r>
          </w:p>
        </w:tc>
        <w:tc>
          <w:tcPr>
            <w:tcW w:w="2693" w:type="dxa"/>
            <w:tcBorders>
              <w:tl2br w:val="nil"/>
              <w:tr2bl w:val="nil"/>
            </w:tcBorders>
            <w:shd w:val="clear" w:color="auto" w:fill="D0CECE" w:themeFill="background2" w:themeFillShade="E6"/>
            <w:vAlign w:val="center"/>
          </w:tcPr>
          <w:p w14:paraId="6BDB2F3D">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三级指标</w:t>
            </w:r>
          </w:p>
        </w:tc>
        <w:tc>
          <w:tcPr>
            <w:tcW w:w="898" w:type="dxa"/>
            <w:tcBorders>
              <w:tl2br w:val="nil"/>
              <w:tr2bl w:val="nil"/>
            </w:tcBorders>
            <w:shd w:val="clear" w:color="auto" w:fill="D0CECE" w:themeFill="background2" w:themeFillShade="E6"/>
            <w:vAlign w:val="center"/>
          </w:tcPr>
          <w:p w14:paraId="52B02D2C">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分值</w:t>
            </w:r>
          </w:p>
        </w:tc>
        <w:tc>
          <w:tcPr>
            <w:tcW w:w="898" w:type="dxa"/>
            <w:tcBorders>
              <w:tl2br w:val="nil"/>
              <w:tr2bl w:val="nil"/>
            </w:tcBorders>
            <w:shd w:val="clear" w:color="auto" w:fill="D0CECE" w:themeFill="background2" w:themeFillShade="E6"/>
            <w:vAlign w:val="center"/>
          </w:tcPr>
          <w:p w14:paraId="4BC1CE1F">
            <w:pPr>
              <w:widowControl/>
              <w:ind w:firstLine="0" w:firstLineChars="0"/>
              <w:jc w:val="center"/>
              <w:rPr>
                <w:rFonts w:ascii="仿宋_GB2312" w:hAnsi="宋体" w:cs="宋体"/>
                <w:b/>
                <w:bCs/>
                <w:kern w:val="0"/>
                <w:sz w:val="24"/>
                <w:szCs w:val="24"/>
              </w:rPr>
            </w:pPr>
            <w:r>
              <w:rPr>
                <w:rFonts w:hint="eastAsia" w:ascii="仿宋_GB2312" w:hAnsi="宋体" w:cs="宋体"/>
                <w:b/>
                <w:bCs/>
                <w:kern w:val="0"/>
                <w:sz w:val="24"/>
                <w:szCs w:val="24"/>
              </w:rPr>
              <w:t>得分</w:t>
            </w:r>
          </w:p>
        </w:tc>
        <w:tc>
          <w:tcPr>
            <w:tcW w:w="1039" w:type="dxa"/>
            <w:tcBorders>
              <w:tl2br w:val="nil"/>
              <w:tr2bl w:val="nil"/>
            </w:tcBorders>
            <w:shd w:val="clear" w:color="auto" w:fill="D0CECE" w:themeFill="background2" w:themeFillShade="E6"/>
            <w:vAlign w:val="center"/>
          </w:tcPr>
          <w:p w14:paraId="650D4CA2">
            <w:pPr>
              <w:widowControl/>
              <w:ind w:firstLine="0" w:firstLineChars="0"/>
              <w:jc w:val="center"/>
              <w:rPr>
                <w:rFonts w:ascii="仿宋_GB2312" w:hAnsi="Gungsuh" w:cs="宋体"/>
                <w:b/>
                <w:bCs/>
                <w:kern w:val="0"/>
                <w:sz w:val="24"/>
                <w:szCs w:val="24"/>
              </w:rPr>
            </w:pPr>
            <w:r>
              <w:rPr>
                <w:rFonts w:hint="eastAsia" w:ascii="仿宋_GB2312" w:hAnsi="Gungsuh" w:cs="宋体"/>
                <w:b/>
                <w:bCs/>
                <w:kern w:val="0"/>
                <w:sz w:val="24"/>
                <w:szCs w:val="24"/>
              </w:rPr>
              <w:t>得分率</w:t>
            </w:r>
          </w:p>
        </w:tc>
      </w:tr>
      <w:tr w14:paraId="3643CA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5871D2A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决策</w:t>
            </w:r>
          </w:p>
        </w:tc>
        <w:tc>
          <w:tcPr>
            <w:tcW w:w="1984" w:type="dxa"/>
            <w:vMerge w:val="restart"/>
            <w:tcBorders>
              <w:tl2br w:val="nil"/>
              <w:tr2bl w:val="nil"/>
            </w:tcBorders>
            <w:shd w:val="clear" w:color="auto" w:fill="FFFFFF"/>
            <w:vAlign w:val="center"/>
          </w:tcPr>
          <w:p w14:paraId="21AACE3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项目立项</w:t>
            </w:r>
          </w:p>
        </w:tc>
        <w:tc>
          <w:tcPr>
            <w:tcW w:w="2693" w:type="dxa"/>
            <w:tcBorders>
              <w:tl2br w:val="nil"/>
              <w:tr2bl w:val="nil"/>
            </w:tcBorders>
            <w:shd w:val="clear" w:color="auto" w:fill="FFFFFF"/>
            <w:vAlign w:val="center"/>
          </w:tcPr>
          <w:p w14:paraId="30B52E3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立项依据充分性</w:t>
            </w:r>
          </w:p>
        </w:tc>
        <w:tc>
          <w:tcPr>
            <w:tcW w:w="898" w:type="dxa"/>
            <w:tcBorders>
              <w:tl2br w:val="nil"/>
              <w:tr2bl w:val="nil"/>
            </w:tcBorders>
            <w:shd w:val="clear" w:color="auto" w:fill="FFFFFF"/>
            <w:vAlign w:val="center"/>
          </w:tcPr>
          <w:p w14:paraId="31BB4DA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799EA65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565FDA3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6D8EDD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1C3F085">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34EF00B3">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FFA997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立项程序规范性</w:t>
            </w:r>
          </w:p>
        </w:tc>
        <w:tc>
          <w:tcPr>
            <w:tcW w:w="898" w:type="dxa"/>
            <w:tcBorders>
              <w:tl2br w:val="nil"/>
              <w:tr2bl w:val="nil"/>
            </w:tcBorders>
            <w:shd w:val="clear" w:color="auto" w:fill="FFFFFF"/>
            <w:vAlign w:val="center"/>
          </w:tcPr>
          <w:p w14:paraId="5BDE13D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auto" w:fill="FFFFFF"/>
            <w:vAlign w:val="center"/>
          </w:tcPr>
          <w:p w14:paraId="71AB0B7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auto" w:fill="FFFFFF"/>
            <w:vAlign w:val="center"/>
          </w:tcPr>
          <w:p w14:paraId="49E4E76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BFE1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CD235A2">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47604BD0">
            <w:pPr>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w:t>
            </w:r>
          </w:p>
        </w:tc>
        <w:tc>
          <w:tcPr>
            <w:tcW w:w="2693" w:type="dxa"/>
            <w:tcBorders>
              <w:tl2br w:val="nil"/>
              <w:tr2bl w:val="nil"/>
            </w:tcBorders>
            <w:shd w:val="clear" w:color="auto" w:fill="FFFFFF"/>
            <w:vAlign w:val="center"/>
          </w:tcPr>
          <w:p w14:paraId="54493AB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绩效目标合理性</w:t>
            </w:r>
          </w:p>
        </w:tc>
        <w:tc>
          <w:tcPr>
            <w:tcW w:w="898" w:type="dxa"/>
            <w:tcBorders>
              <w:tl2br w:val="nil"/>
              <w:tr2bl w:val="nil"/>
            </w:tcBorders>
            <w:shd w:val="clear" w:color="000000" w:fill="FFFFFF"/>
            <w:vAlign w:val="center"/>
          </w:tcPr>
          <w:p w14:paraId="185F25C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1538F0D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447C9F7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203CF4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CE6356E">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69C9275">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3FAB4FA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绩效指标明确性</w:t>
            </w:r>
          </w:p>
        </w:tc>
        <w:tc>
          <w:tcPr>
            <w:tcW w:w="898" w:type="dxa"/>
            <w:tcBorders>
              <w:tl2br w:val="nil"/>
              <w:tr2bl w:val="nil"/>
            </w:tcBorders>
            <w:shd w:val="clear" w:color="000000" w:fill="FFFFFF"/>
            <w:vAlign w:val="center"/>
          </w:tcPr>
          <w:p w14:paraId="2A1B4F2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74B929D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7E871BA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15E88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D74A940">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F8DEB7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资金投入</w:t>
            </w:r>
          </w:p>
        </w:tc>
        <w:tc>
          <w:tcPr>
            <w:tcW w:w="2693" w:type="dxa"/>
            <w:tcBorders>
              <w:tl2br w:val="nil"/>
              <w:tr2bl w:val="nil"/>
            </w:tcBorders>
            <w:shd w:val="clear" w:color="auto" w:fill="FFFFFF"/>
            <w:vAlign w:val="center"/>
          </w:tcPr>
          <w:p w14:paraId="628E3D2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预算编制科学性</w:t>
            </w:r>
          </w:p>
        </w:tc>
        <w:tc>
          <w:tcPr>
            <w:tcW w:w="898" w:type="dxa"/>
            <w:tcBorders>
              <w:tl2br w:val="nil"/>
              <w:tr2bl w:val="nil"/>
            </w:tcBorders>
            <w:shd w:val="clear" w:color="auto" w:fill="FFFFFF"/>
            <w:vAlign w:val="center"/>
          </w:tcPr>
          <w:p w14:paraId="05CD82C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381EABD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0BB31CA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39FFF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52AC8C83">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0975987">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9526504">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资金分配合理性</w:t>
            </w:r>
          </w:p>
        </w:tc>
        <w:tc>
          <w:tcPr>
            <w:tcW w:w="898" w:type="dxa"/>
            <w:tcBorders>
              <w:tl2br w:val="nil"/>
              <w:tr2bl w:val="nil"/>
            </w:tcBorders>
            <w:shd w:val="clear" w:color="auto" w:fill="FFFFFF"/>
            <w:vAlign w:val="center"/>
          </w:tcPr>
          <w:p w14:paraId="38F9FD2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auto" w:fill="FFFFFF"/>
            <w:vAlign w:val="center"/>
          </w:tcPr>
          <w:p w14:paraId="6972A66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auto" w:fill="FFFFFF"/>
            <w:vAlign w:val="center"/>
          </w:tcPr>
          <w:p w14:paraId="6E677FD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67BE4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14:paraId="7C0EF676">
            <w:pPr>
              <w:ind w:firstLine="0" w:firstLineChars="0"/>
              <w:jc w:val="center"/>
              <w:rPr>
                <w:rFonts w:ascii="仿宋_GB2312" w:hAnsi="宋体" w:cs="宋体"/>
                <w:kern w:val="0"/>
                <w:sz w:val="24"/>
                <w:szCs w:val="24"/>
              </w:rPr>
            </w:pPr>
            <w:r>
              <w:rPr>
                <w:rFonts w:hint="eastAsia" w:ascii="仿宋_GB2312" w:hAnsi="宋体" w:cs="宋体"/>
                <w:kern w:val="0"/>
                <w:sz w:val="24"/>
                <w:szCs w:val="24"/>
              </w:rPr>
              <w:t>过程</w:t>
            </w:r>
          </w:p>
        </w:tc>
        <w:tc>
          <w:tcPr>
            <w:tcW w:w="1984" w:type="dxa"/>
            <w:vMerge w:val="restart"/>
            <w:tcBorders>
              <w:tl2br w:val="nil"/>
              <w:tr2bl w:val="nil"/>
            </w:tcBorders>
            <w:shd w:val="clear" w:color="auto" w:fill="FFFFFF"/>
            <w:vAlign w:val="center"/>
          </w:tcPr>
          <w:p w14:paraId="6511F504">
            <w:pPr>
              <w:ind w:firstLine="0" w:firstLineChars="0"/>
              <w:jc w:val="center"/>
              <w:rPr>
                <w:rFonts w:ascii="仿宋_GB2312" w:hAnsi="宋体" w:cs="宋体"/>
                <w:kern w:val="0"/>
                <w:sz w:val="24"/>
                <w:szCs w:val="24"/>
              </w:rPr>
            </w:pPr>
            <w:r>
              <w:rPr>
                <w:rFonts w:hint="eastAsia" w:ascii="仿宋_GB2312" w:hAnsi="宋体" w:cs="宋体"/>
                <w:kern w:val="0"/>
                <w:sz w:val="24"/>
                <w:szCs w:val="24"/>
              </w:rPr>
              <w:t>资金管理</w:t>
            </w:r>
          </w:p>
        </w:tc>
        <w:tc>
          <w:tcPr>
            <w:tcW w:w="2693" w:type="dxa"/>
            <w:tcBorders>
              <w:tl2br w:val="nil"/>
              <w:tr2bl w:val="nil"/>
            </w:tcBorders>
            <w:shd w:val="clear" w:color="auto" w:fill="FFFFFF"/>
            <w:vAlign w:val="center"/>
          </w:tcPr>
          <w:p w14:paraId="7CF186D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资金到位率</w:t>
            </w:r>
          </w:p>
        </w:tc>
        <w:tc>
          <w:tcPr>
            <w:tcW w:w="898" w:type="dxa"/>
            <w:tcBorders>
              <w:tl2br w:val="nil"/>
              <w:tr2bl w:val="nil"/>
            </w:tcBorders>
            <w:shd w:val="clear" w:color="000000" w:fill="FFFFFF"/>
            <w:vAlign w:val="center"/>
          </w:tcPr>
          <w:p w14:paraId="58D012D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416FCFC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79838B17">
            <w:pPr>
              <w:widowControl/>
              <w:ind w:firstLine="240" w:firstLineChars="100"/>
              <w:rPr>
                <w:rFonts w:ascii="仿宋_GB2312" w:hAnsi="宋体" w:cs="宋体"/>
                <w:kern w:val="0"/>
                <w:sz w:val="24"/>
                <w:szCs w:val="24"/>
              </w:rPr>
            </w:pPr>
            <w:r>
              <w:rPr>
                <w:rFonts w:hint="eastAsia" w:ascii="仿宋_GB2312" w:hAnsi="宋体" w:cs="宋体"/>
                <w:kern w:val="0"/>
                <w:sz w:val="24"/>
                <w:szCs w:val="24"/>
              </w:rPr>
              <w:t>100%</w:t>
            </w:r>
          </w:p>
        </w:tc>
      </w:tr>
      <w:tr w14:paraId="36E176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19EF23B8">
            <w:pPr>
              <w:ind w:firstLine="48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063A087D">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7B64513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预算执行率</w:t>
            </w:r>
          </w:p>
        </w:tc>
        <w:tc>
          <w:tcPr>
            <w:tcW w:w="898" w:type="dxa"/>
            <w:tcBorders>
              <w:tl2br w:val="nil"/>
              <w:tr2bl w:val="nil"/>
            </w:tcBorders>
            <w:shd w:val="clear" w:color="auto" w:fill="FFFFFF"/>
            <w:vAlign w:val="center"/>
          </w:tcPr>
          <w:p w14:paraId="528B9DF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auto" w:fill="FFFFFF"/>
            <w:vAlign w:val="center"/>
          </w:tcPr>
          <w:p w14:paraId="5137EC9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auto" w:fill="FFFFFF"/>
            <w:vAlign w:val="center"/>
          </w:tcPr>
          <w:p w14:paraId="697B365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84AA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0295DCAD">
            <w:pPr>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A3F976A">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04A08AB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资金使用合规性</w:t>
            </w:r>
          </w:p>
        </w:tc>
        <w:tc>
          <w:tcPr>
            <w:tcW w:w="898" w:type="dxa"/>
            <w:tcBorders>
              <w:tl2br w:val="nil"/>
              <w:tr2bl w:val="nil"/>
            </w:tcBorders>
            <w:shd w:val="clear" w:color="000000" w:fill="FFFFFF"/>
            <w:vAlign w:val="center"/>
          </w:tcPr>
          <w:p w14:paraId="1DF54FDE">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6705A78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5EF8C28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72A78C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340B897E">
            <w:pPr>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39A6821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组织实施</w:t>
            </w:r>
          </w:p>
        </w:tc>
        <w:tc>
          <w:tcPr>
            <w:tcW w:w="2693" w:type="dxa"/>
            <w:tcBorders>
              <w:tl2br w:val="nil"/>
              <w:tr2bl w:val="nil"/>
            </w:tcBorders>
            <w:shd w:val="clear" w:color="auto" w:fill="FFFFFF"/>
            <w:vAlign w:val="center"/>
          </w:tcPr>
          <w:p w14:paraId="43DA561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管理制度健全性</w:t>
            </w:r>
          </w:p>
        </w:tc>
        <w:tc>
          <w:tcPr>
            <w:tcW w:w="898" w:type="dxa"/>
            <w:tcBorders>
              <w:tl2br w:val="nil"/>
              <w:tr2bl w:val="nil"/>
            </w:tcBorders>
            <w:shd w:val="clear" w:color="000000" w:fill="FFFFFF"/>
            <w:vAlign w:val="center"/>
          </w:tcPr>
          <w:p w14:paraId="2A26B6F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898" w:type="dxa"/>
            <w:tcBorders>
              <w:tl2br w:val="nil"/>
              <w:tr2bl w:val="nil"/>
            </w:tcBorders>
            <w:shd w:val="clear" w:color="000000" w:fill="FFFFFF"/>
            <w:vAlign w:val="center"/>
          </w:tcPr>
          <w:p w14:paraId="2A45AAB9">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3</w:t>
            </w:r>
          </w:p>
        </w:tc>
        <w:tc>
          <w:tcPr>
            <w:tcW w:w="1039" w:type="dxa"/>
            <w:tcBorders>
              <w:tl2br w:val="nil"/>
              <w:tr2bl w:val="nil"/>
            </w:tcBorders>
            <w:shd w:val="clear" w:color="000000" w:fill="FFFFFF"/>
            <w:vAlign w:val="center"/>
          </w:tcPr>
          <w:p w14:paraId="4DB34D41">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036A48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20C52AAB">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4702AFD2">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vAlign w:val="center"/>
          </w:tcPr>
          <w:p w14:paraId="4D1FF2FD">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制度执行有效性</w:t>
            </w:r>
          </w:p>
        </w:tc>
        <w:tc>
          <w:tcPr>
            <w:tcW w:w="898" w:type="dxa"/>
            <w:tcBorders>
              <w:tl2br w:val="nil"/>
              <w:tr2bl w:val="nil"/>
            </w:tcBorders>
            <w:shd w:val="clear" w:color="000000" w:fill="FFFFFF"/>
            <w:vAlign w:val="center"/>
          </w:tcPr>
          <w:p w14:paraId="5DB9BCBC">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898" w:type="dxa"/>
            <w:tcBorders>
              <w:tl2br w:val="nil"/>
              <w:tr2bl w:val="nil"/>
            </w:tcBorders>
            <w:shd w:val="clear" w:color="000000" w:fill="FFFFFF"/>
            <w:vAlign w:val="center"/>
          </w:tcPr>
          <w:p w14:paraId="398A568F">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4</w:t>
            </w:r>
          </w:p>
        </w:tc>
        <w:tc>
          <w:tcPr>
            <w:tcW w:w="1039" w:type="dxa"/>
            <w:tcBorders>
              <w:tl2br w:val="nil"/>
              <w:tr2bl w:val="nil"/>
            </w:tcBorders>
            <w:shd w:val="clear" w:color="000000" w:fill="FFFFFF"/>
            <w:vAlign w:val="center"/>
          </w:tcPr>
          <w:p w14:paraId="0B2772C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17D657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14:paraId="1F7BAA40">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w:t>
            </w:r>
          </w:p>
        </w:tc>
        <w:tc>
          <w:tcPr>
            <w:tcW w:w="1984" w:type="dxa"/>
            <w:vMerge w:val="restart"/>
            <w:tcBorders>
              <w:tl2br w:val="nil"/>
              <w:tr2bl w:val="nil"/>
            </w:tcBorders>
            <w:shd w:val="clear" w:color="auto" w:fill="FFFFFF"/>
            <w:vAlign w:val="center"/>
          </w:tcPr>
          <w:p w14:paraId="663F150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产出数量</w:t>
            </w:r>
          </w:p>
        </w:tc>
        <w:tc>
          <w:tcPr>
            <w:tcW w:w="2693" w:type="dxa"/>
            <w:tcBorders>
              <w:tl2br w:val="nil"/>
              <w:tr2bl w:val="nil"/>
            </w:tcBorders>
            <w:shd w:val="clear" w:color="auto" w:fill="FFFFFF"/>
          </w:tcPr>
          <w:p w14:paraId="1D171EE4">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一类重症危重症病区工作人员人数</w:t>
            </w:r>
          </w:p>
        </w:tc>
        <w:tc>
          <w:tcPr>
            <w:tcW w:w="898" w:type="dxa"/>
            <w:tcBorders>
              <w:tl2br w:val="nil"/>
              <w:tr2bl w:val="nil"/>
            </w:tcBorders>
            <w:shd w:val="clear" w:color="000000" w:fill="FFFFFF"/>
            <w:vAlign w:val="center"/>
          </w:tcPr>
          <w:p w14:paraId="1B08C6C7">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898" w:type="dxa"/>
            <w:tcBorders>
              <w:tl2br w:val="nil"/>
              <w:tr2bl w:val="nil"/>
            </w:tcBorders>
            <w:shd w:val="clear" w:color="000000" w:fill="FFFFFF"/>
            <w:vAlign w:val="center"/>
          </w:tcPr>
          <w:p w14:paraId="3ABE91BE">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vMerge w:val="restart"/>
            <w:tcBorders>
              <w:tl2br w:val="nil"/>
              <w:tr2bl w:val="nil"/>
            </w:tcBorders>
            <w:shd w:val="clear" w:color="000000" w:fill="FFFFFF"/>
            <w:vAlign w:val="center"/>
          </w:tcPr>
          <w:p w14:paraId="3BE9EA8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11C6B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14F3B78F">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4D59920">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716058F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一类普通病区工作人员人数</w:t>
            </w:r>
          </w:p>
        </w:tc>
        <w:tc>
          <w:tcPr>
            <w:tcW w:w="898" w:type="dxa"/>
            <w:tcBorders>
              <w:tl2br w:val="nil"/>
              <w:tr2bl w:val="nil"/>
            </w:tcBorders>
            <w:shd w:val="clear" w:color="000000" w:fill="FFFFFF"/>
            <w:vAlign w:val="center"/>
          </w:tcPr>
          <w:p w14:paraId="1841A445">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2947A8E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vMerge w:val="continue"/>
            <w:tcBorders>
              <w:tl2br w:val="nil"/>
              <w:tr2bl w:val="nil"/>
            </w:tcBorders>
            <w:shd w:val="clear" w:color="000000" w:fill="FFFFFF"/>
            <w:vAlign w:val="center"/>
          </w:tcPr>
          <w:p w14:paraId="3D26BA52">
            <w:pPr>
              <w:widowControl/>
              <w:ind w:firstLine="0" w:firstLineChars="0"/>
              <w:jc w:val="center"/>
              <w:rPr>
                <w:rFonts w:ascii="仿宋_GB2312" w:hAnsi="宋体" w:cs="宋体"/>
                <w:kern w:val="0"/>
                <w:sz w:val="24"/>
                <w:szCs w:val="24"/>
              </w:rPr>
            </w:pPr>
          </w:p>
        </w:tc>
      </w:tr>
      <w:tr w14:paraId="5BEE8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14:paraId="1024284D">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562AC419">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41B1E0C7">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二类工作人员人数</w:t>
            </w:r>
          </w:p>
        </w:tc>
        <w:tc>
          <w:tcPr>
            <w:tcW w:w="898" w:type="dxa"/>
            <w:tcBorders>
              <w:tl2br w:val="nil"/>
              <w:tr2bl w:val="nil"/>
            </w:tcBorders>
            <w:shd w:val="clear" w:color="000000" w:fill="FFFFFF"/>
            <w:vAlign w:val="center"/>
          </w:tcPr>
          <w:p w14:paraId="6009092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55B04B3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vMerge w:val="continue"/>
            <w:tcBorders>
              <w:tl2br w:val="nil"/>
              <w:tr2bl w:val="nil"/>
            </w:tcBorders>
            <w:shd w:val="clear" w:color="000000" w:fill="FFFFFF"/>
            <w:vAlign w:val="center"/>
          </w:tcPr>
          <w:p w14:paraId="6741A1F1">
            <w:pPr>
              <w:widowControl/>
              <w:ind w:firstLine="0" w:firstLineChars="0"/>
              <w:jc w:val="center"/>
              <w:rPr>
                <w:rFonts w:ascii="仿宋_GB2312" w:hAnsi="宋体" w:cs="宋体"/>
                <w:kern w:val="0"/>
                <w:sz w:val="24"/>
                <w:szCs w:val="24"/>
              </w:rPr>
            </w:pPr>
          </w:p>
        </w:tc>
      </w:tr>
      <w:tr w14:paraId="3C53F2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14:paraId="67B73DB2">
            <w:pPr>
              <w:widowControl/>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7BC6B43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产出质量</w:t>
            </w:r>
          </w:p>
        </w:tc>
        <w:tc>
          <w:tcPr>
            <w:tcW w:w="2693" w:type="dxa"/>
            <w:tcBorders>
              <w:tl2br w:val="nil"/>
              <w:tr2bl w:val="nil"/>
            </w:tcBorders>
            <w:shd w:val="clear" w:color="auto" w:fill="FFFFFF"/>
            <w:vAlign w:val="center"/>
          </w:tcPr>
          <w:p w14:paraId="10FCD164">
            <w:pPr>
              <w:widowControl/>
              <w:ind w:firstLine="0" w:firstLineChars="0"/>
              <w:jc w:val="center"/>
              <w:rPr>
                <w:rFonts w:ascii="仿宋_GB2312" w:hAnsi="宋体" w:cs="宋体"/>
                <w:kern w:val="0"/>
                <w:sz w:val="24"/>
                <w:szCs w:val="24"/>
              </w:rPr>
            </w:pPr>
            <w:r>
              <w:rPr>
                <w:rFonts w:hint="eastAsia" w:ascii="宋体" w:hAnsi="宋体" w:eastAsia="宋体" w:cs="宋体"/>
                <w:color w:val="000000"/>
                <w:kern w:val="0"/>
                <w:sz w:val="22"/>
              </w:rPr>
              <w:t>临时性工作完成率</w:t>
            </w:r>
          </w:p>
        </w:tc>
        <w:tc>
          <w:tcPr>
            <w:tcW w:w="898" w:type="dxa"/>
            <w:tcBorders>
              <w:tl2br w:val="nil"/>
              <w:tr2bl w:val="nil"/>
            </w:tcBorders>
            <w:shd w:val="clear" w:color="000000" w:fill="FFFFFF"/>
            <w:vAlign w:val="center"/>
          </w:tcPr>
          <w:p w14:paraId="4DF9A55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898" w:type="dxa"/>
            <w:tcBorders>
              <w:tl2br w:val="nil"/>
              <w:tr2bl w:val="nil"/>
            </w:tcBorders>
            <w:shd w:val="clear" w:color="000000" w:fill="FFFFFF"/>
            <w:vAlign w:val="center"/>
          </w:tcPr>
          <w:p w14:paraId="7D490DC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5</w:t>
            </w:r>
          </w:p>
        </w:tc>
        <w:tc>
          <w:tcPr>
            <w:tcW w:w="1039" w:type="dxa"/>
            <w:tcBorders>
              <w:tl2br w:val="nil"/>
              <w:tr2bl w:val="nil"/>
            </w:tcBorders>
            <w:shd w:val="clear" w:color="000000" w:fill="FFFFFF"/>
            <w:vAlign w:val="center"/>
          </w:tcPr>
          <w:p w14:paraId="76A1E826">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8FCB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14:paraId="7B96FCE3">
            <w:pPr>
              <w:ind w:firstLine="0" w:firstLineChars="0"/>
              <w:jc w:val="center"/>
              <w:rPr>
                <w:rFonts w:ascii="仿宋_GB2312" w:hAnsi="宋体" w:cs="宋体"/>
                <w:kern w:val="0"/>
                <w:sz w:val="24"/>
                <w:szCs w:val="24"/>
              </w:rPr>
            </w:pPr>
          </w:p>
        </w:tc>
        <w:tc>
          <w:tcPr>
            <w:tcW w:w="1984" w:type="dxa"/>
            <w:tcBorders>
              <w:tl2br w:val="nil"/>
              <w:tr2bl w:val="nil"/>
            </w:tcBorders>
            <w:shd w:val="clear" w:color="auto" w:fill="FFFFFF"/>
            <w:vAlign w:val="center"/>
          </w:tcPr>
          <w:p w14:paraId="6A707CCF">
            <w:pPr>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产出时效</w:t>
            </w:r>
          </w:p>
        </w:tc>
        <w:tc>
          <w:tcPr>
            <w:tcW w:w="2693" w:type="dxa"/>
            <w:tcBorders>
              <w:tl2br w:val="nil"/>
              <w:tr2bl w:val="nil"/>
            </w:tcBorders>
            <w:shd w:val="clear" w:color="auto" w:fill="FFFFFF"/>
            <w:vAlign w:val="center"/>
          </w:tcPr>
          <w:p w14:paraId="78710436">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项目完成及时率</w:t>
            </w:r>
          </w:p>
        </w:tc>
        <w:tc>
          <w:tcPr>
            <w:tcW w:w="898" w:type="dxa"/>
            <w:tcBorders>
              <w:tl2br w:val="nil"/>
              <w:tr2bl w:val="nil"/>
            </w:tcBorders>
            <w:shd w:val="clear" w:color="000000" w:fill="FFFFFF"/>
            <w:vAlign w:val="center"/>
          </w:tcPr>
          <w:p w14:paraId="22BB84DA">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5</w:t>
            </w:r>
          </w:p>
        </w:tc>
        <w:tc>
          <w:tcPr>
            <w:tcW w:w="898" w:type="dxa"/>
            <w:tcBorders>
              <w:tl2br w:val="nil"/>
              <w:tr2bl w:val="nil"/>
            </w:tcBorders>
            <w:shd w:val="clear" w:color="000000" w:fill="FFFFFF"/>
            <w:vAlign w:val="center"/>
          </w:tcPr>
          <w:p w14:paraId="0EE47524">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5</w:t>
            </w:r>
          </w:p>
        </w:tc>
        <w:tc>
          <w:tcPr>
            <w:tcW w:w="1039" w:type="dxa"/>
            <w:tcBorders>
              <w:tl2br w:val="nil"/>
              <w:tr2bl w:val="nil"/>
            </w:tcBorders>
            <w:shd w:val="clear" w:color="000000" w:fill="FFFFFF"/>
            <w:vAlign w:val="center"/>
          </w:tcPr>
          <w:p w14:paraId="6D6EA6AA">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491CFD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221D564F">
            <w:pPr>
              <w:widowControl/>
              <w:ind w:firstLine="0" w:firstLineChars="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14:paraId="5A84DEBA">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产出成本</w:t>
            </w:r>
          </w:p>
        </w:tc>
        <w:tc>
          <w:tcPr>
            <w:tcW w:w="2693" w:type="dxa"/>
            <w:tcBorders>
              <w:tl2br w:val="nil"/>
              <w:tr2bl w:val="nil"/>
            </w:tcBorders>
            <w:shd w:val="clear" w:color="auto" w:fill="FFFFFF"/>
          </w:tcPr>
          <w:p w14:paraId="36617118">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一类重症危重症病区工作人员补助</w:t>
            </w:r>
          </w:p>
        </w:tc>
        <w:tc>
          <w:tcPr>
            <w:tcW w:w="898" w:type="dxa"/>
            <w:vMerge w:val="restart"/>
            <w:tcBorders>
              <w:tl2br w:val="nil"/>
              <w:tr2bl w:val="nil"/>
            </w:tcBorders>
            <w:shd w:val="clear" w:color="000000" w:fill="FFFFFF"/>
            <w:vAlign w:val="center"/>
          </w:tcPr>
          <w:p w14:paraId="533C724B">
            <w:pPr>
              <w:widowControl/>
              <w:ind w:firstLine="0" w:firstLineChars="0"/>
              <w:jc w:val="center"/>
              <w:rPr>
                <w:rFonts w:ascii="仿宋_GB2312" w:hAnsi="宋体" w:cs="宋体"/>
                <w:kern w:val="0"/>
                <w:sz w:val="24"/>
                <w:szCs w:val="24"/>
              </w:rPr>
            </w:pPr>
            <w:r>
              <w:rPr>
                <w:rFonts w:ascii="仿宋_GB2312" w:hAnsi="宋体" w:cs="宋体"/>
                <w:kern w:val="0"/>
                <w:sz w:val="24"/>
                <w:szCs w:val="24"/>
              </w:rPr>
              <w:t>1</w:t>
            </w:r>
            <w:r>
              <w:rPr>
                <w:rFonts w:hint="eastAsia" w:ascii="仿宋_GB2312" w:hAnsi="宋体" w:cs="宋体"/>
                <w:kern w:val="0"/>
                <w:sz w:val="24"/>
                <w:szCs w:val="24"/>
              </w:rPr>
              <w:t>5</w:t>
            </w:r>
          </w:p>
        </w:tc>
        <w:tc>
          <w:tcPr>
            <w:tcW w:w="898" w:type="dxa"/>
            <w:vMerge w:val="restart"/>
            <w:tcBorders>
              <w:tl2br w:val="nil"/>
              <w:tr2bl w:val="nil"/>
            </w:tcBorders>
            <w:shd w:val="clear" w:color="000000" w:fill="FFFFFF"/>
            <w:vAlign w:val="center"/>
          </w:tcPr>
          <w:p w14:paraId="50F9998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15</w:t>
            </w:r>
          </w:p>
        </w:tc>
        <w:tc>
          <w:tcPr>
            <w:tcW w:w="1039" w:type="dxa"/>
            <w:vMerge w:val="restart"/>
            <w:tcBorders>
              <w:tl2br w:val="nil"/>
              <w:tr2bl w:val="nil"/>
            </w:tcBorders>
            <w:shd w:val="clear" w:color="000000" w:fill="FFFFFF"/>
            <w:vAlign w:val="center"/>
          </w:tcPr>
          <w:p w14:paraId="1283108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100%</w:t>
            </w:r>
          </w:p>
        </w:tc>
      </w:tr>
      <w:tr w14:paraId="4F90A6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78361321">
            <w:pPr>
              <w:widowControl/>
              <w:ind w:firstLine="0" w:firstLineChars="0"/>
              <w:jc w:val="center"/>
            </w:pPr>
          </w:p>
        </w:tc>
        <w:tc>
          <w:tcPr>
            <w:tcW w:w="1984" w:type="dxa"/>
            <w:vMerge w:val="continue"/>
            <w:tcBorders>
              <w:tl2br w:val="nil"/>
              <w:tr2bl w:val="nil"/>
            </w:tcBorders>
            <w:shd w:val="clear" w:color="auto" w:fill="FFFFFF"/>
            <w:vAlign w:val="center"/>
          </w:tcPr>
          <w:p w14:paraId="4D88CDF3">
            <w:pPr>
              <w:widowControl/>
              <w:ind w:firstLine="0" w:firstLineChars="0"/>
              <w:jc w:val="center"/>
            </w:pPr>
          </w:p>
        </w:tc>
        <w:tc>
          <w:tcPr>
            <w:tcW w:w="2693" w:type="dxa"/>
            <w:tcBorders>
              <w:tl2br w:val="nil"/>
              <w:tr2bl w:val="nil"/>
            </w:tcBorders>
            <w:shd w:val="clear" w:color="auto" w:fill="FFFFFF"/>
          </w:tcPr>
          <w:p w14:paraId="1451D1F3">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一类普通病区工作人员补助</w:t>
            </w:r>
          </w:p>
        </w:tc>
        <w:tc>
          <w:tcPr>
            <w:tcW w:w="898" w:type="dxa"/>
            <w:vMerge w:val="continue"/>
            <w:tcBorders>
              <w:tl2br w:val="nil"/>
              <w:tr2bl w:val="nil"/>
            </w:tcBorders>
            <w:shd w:val="clear" w:color="000000" w:fill="FFFFFF"/>
            <w:vAlign w:val="center"/>
          </w:tcPr>
          <w:p w14:paraId="21F0159F">
            <w:pPr>
              <w:widowControl/>
              <w:ind w:firstLine="0" w:firstLineChars="0"/>
              <w:jc w:val="center"/>
              <w:rPr>
                <w:rFonts w:ascii="仿宋_GB2312" w:hAnsi="宋体" w:cs="宋体"/>
                <w:kern w:val="0"/>
                <w:sz w:val="24"/>
                <w:szCs w:val="24"/>
              </w:rPr>
            </w:pPr>
          </w:p>
        </w:tc>
        <w:tc>
          <w:tcPr>
            <w:tcW w:w="898" w:type="dxa"/>
            <w:vMerge w:val="continue"/>
            <w:tcBorders>
              <w:tl2br w:val="nil"/>
              <w:tr2bl w:val="nil"/>
            </w:tcBorders>
            <w:shd w:val="clear" w:color="000000" w:fill="FFFFFF"/>
            <w:vAlign w:val="center"/>
          </w:tcPr>
          <w:p w14:paraId="127A2D09">
            <w:pPr>
              <w:widowControl/>
              <w:ind w:firstLine="0" w:firstLineChars="0"/>
              <w:jc w:val="center"/>
              <w:rPr>
                <w:rFonts w:ascii="仿宋_GB2312" w:hAnsi="宋体" w:cs="宋体"/>
                <w:kern w:val="0"/>
                <w:sz w:val="24"/>
                <w:szCs w:val="24"/>
              </w:rPr>
            </w:pPr>
          </w:p>
        </w:tc>
        <w:tc>
          <w:tcPr>
            <w:tcW w:w="1039" w:type="dxa"/>
            <w:vMerge w:val="continue"/>
            <w:tcBorders>
              <w:tl2br w:val="nil"/>
              <w:tr2bl w:val="nil"/>
            </w:tcBorders>
            <w:shd w:val="clear" w:color="000000" w:fill="FFFFFF"/>
            <w:vAlign w:val="center"/>
          </w:tcPr>
          <w:p w14:paraId="741E758D">
            <w:pPr>
              <w:widowControl/>
              <w:ind w:firstLine="0" w:firstLineChars="0"/>
              <w:jc w:val="center"/>
              <w:rPr>
                <w:rFonts w:ascii="仿宋_GB2312" w:hAnsi="宋体" w:cs="宋体"/>
                <w:kern w:val="0"/>
                <w:sz w:val="24"/>
                <w:szCs w:val="24"/>
              </w:rPr>
            </w:pPr>
          </w:p>
        </w:tc>
      </w:tr>
      <w:tr w14:paraId="2B0F11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0" w:hRule="atLeast"/>
          <w:jc w:val="center"/>
        </w:trPr>
        <w:tc>
          <w:tcPr>
            <w:tcW w:w="1550" w:type="dxa"/>
            <w:vMerge w:val="continue"/>
            <w:tcBorders>
              <w:tl2br w:val="nil"/>
              <w:tr2bl w:val="nil"/>
            </w:tcBorders>
            <w:shd w:val="clear" w:color="auto" w:fill="FFFFFF"/>
            <w:vAlign w:val="center"/>
          </w:tcPr>
          <w:p w14:paraId="7B5AB9D7">
            <w:pPr>
              <w:widowControl/>
              <w:ind w:firstLine="0" w:firstLineChars="0"/>
              <w:jc w:val="center"/>
              <w:rPr>
                <w:rFonts w:ascii="仿宋_GB2312" w:hAnsi="宋体" w:cs="宋体"/>
                <w:kern w:val="0"/>
                <w:sz w:val="24"/>
                <w:szCs w:val="24"/>
              </w:rPr>
            </w:pPr>
          </w:p>
        </w:tc>
        <w:tc>
          <w:tcPr>
            <w:tcW w:w="1984" w:type="dxa"/>
            <w:vMerge w:val="continue"/>
            <w:tcBorders>
              <w:tl2br w:val="nil"/>
              <w:tr2bl w:val="nil"/>
            </w:tcBorders>
            <w:shd w:val="clear" w:color="auto" w:fill="FFFFFF"/>
            <w:vAlign w:val="center"/>
          </w:tcPr>
          <w:p w14:paraId="62986AFC">
            <w:pPr>
              <w:widowControl/>
              <w:ind w:firstLine="0" w:firstLineChars="0"/>
              <w:jc w:val="center"/>
              <w:rPr>
                <w:rFonts w:ascii="仿宋_GB2312" w:hAnsi="宋体" w:cs="宋体"/>
                <w:kern w:val="0"/>
                <w:sz w:val="24"/>
                <w:szCs w:val="24"/>
              </w:rPr>
            </w:pPr>
          </w:p>
        </w:tc>
        <w:tc>
          <w:tcPr>
            <w:tcW w:w="2693" w:type="dxa"/>
            <w:tcBorders>
              <w:tl2br w:val="nil"/>
              <w:tr2bl w:val="nil"/>
            </w:tcBorders>
            <w:shd w:val="clear" w:color="auto" w:fill="FFFFFF"/>
          </w:tcPr>
          <w:p w14:paraId="0C4D2562">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二类工作人员补助</w:t>
            </w:r>
          </w:p>
        </w:tc>
        <w:tc>
          <w:tcPr>
            <w:tcW w:w="898" w:type="dxa"/>
            <w:vMerge w:val="continue"/>
            <w:tcBorders>
              <w:tl2br w:val="nil"/>
              <w:tr2bl w:val="nil"/>
            </w:tcBorders>
            <w:shd w:val="clear" w:color="000000" w:fill="FFFFFF"/>
            <w:vAlign w:val="center"/>
          </w:tcPr>
          <w:p w14:paraId="069FE04B">
            <w:pPr>
              <w:widowControl/>
              <w:ind w:firstLine="0" w:firstLineChars="0"/>
              <w:jc w:val="center"/>
              <w:rPr>
                <w:rFonts w:ascii="仿宋_GB2312" w:hAnsi="宋体" w:cs="宋体"/>
                <w:kern w:val="0"/>
                <w:sz w:val="24"/>
                <w:szCs w:val="24"/>
              </w:rPr>
            </w:pPr>
          </w:p>
        </w:tc>
        <w:tc>
          <w:tcPr>
            <w:tcW w:w="898" w:type="dxa"/>
            <w:vMerge w:val="continue"/>
            <w:tcBorders>
              <w:tl2br w:val="nil"/>
              <w:tr2bl w:val="nil"/>
            </w:tcBorders>
            <w:shd w:val="clear" w:color="000000" w:fill="FFFFFF"/>
            <w:vAlign w:val="center"/>
          </w:tcPr>
          <w:p w14:paraId="3E6C5FDC">
            <w:pPr>
              <w:widowControl/>
              <w:ind w:firstLine="0" w:firstLineChars="0"/>
              <w:jc w:val="center"/>
              <w:rPr>
                <w:rFonts w:ascii="仿宋_GB2312" w:hAnsi="宋体" w:cs="宋体"/>
                <w:kern w:val="0"/>
                <w:sz w:val="24"/>
                <w:szCs w:val="24"/>
              </w:rPr>
            </w:pPr>
          </w:p>
        </w:tc>
        <w:tc>
          <w:tcPr>
            <w:tcW w:w="1039" w:type="dxa"/>
            <w:vMerge w:val="continue"/>
            <w:tcBorders>
              <w:tl2br w:val="nil"/>
              <w:tr2bl w:val="nil"/>
            </w:tcBorders>
            <w:shd w:val="clear" w:color="000000" w:fill="FFFFFF"/>
            <w:vAlign w:val="center"/>
          </w:tcPr>
          <w:p w14:paraId="5EA640C1">
            <w:pPr>
              <w:widowControl/>
              <w:ind w:firstLine="0" w:firstLineChars="0"/>
              <w:jc w:val="center"/>
              <w:rPr>
                <w:rFonts w:ascii="仿宋_GB2312" w:hAnsi="宋体" w:cs="宋体"/>
                <w:kern w:val="0"/>
                <w:sz w:val="24"/>
                <w:szCs w:val="24"/>
              </w:rPr>
            </w:pPr>
          </w:p>
        </w:tc>
      </w:tr>
      <w:tr w14:paraId="7EB2C6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7C0DA02B">
            <w:pPr>
              <w:widowControl/>
              <w:ind w:firstLine="0" w:firstLineChars="0"/>
              <w:jc w:val="center"/>
              <w:rPr>
                <w:rFonts w:ascii="仿宋_GB2312" w:hAnsi="宋体" w:cs="宋体"/>
                <w:kern w:val="0"/>
                <w:sz w:val="24"/>
                <w:szCs w:val="24"/>
              </w:rPr>
            </w:pPr>
            <w:r>
              <w:rPr>
                <w:rFonts w:hint="eastAsia" w:ascii="仿宋_GB2312" w:hAnsi="宋体" w:cs="宋体"/>
                <w:kern w:val="0"/>
                <w:sz w:val="24"/>
                <w:szCs w:val="24"/>
              </w:rPr>
              <w:t>效益</w:t>
            </w:r>
          </w:p>
        </w:tc>
        <w:tc>
          <w:tcPr>
            <w:tcW w:w="1984" w:type="dxa"/>
            <w:tcBorders>
              <w:tl2br w:val="nil"/>
              <w:tr2bl w:val="nil"/>
            </w:tcBorders>
            <w:shd w:val="clear" w:color="auto" w:fill="FFFFFF"/>
            <w:vAlign w:val="center"/>
          </w:tcPr>
          <w:p w14:paraId="31C69545">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项目效益</w:t>
            </w:r>
          </w:p>
        </w:tc>
        <w:tc>
          <w:tcPr>
            <w:tcW w:w="2693" w:type="dxa"/>
            <w:tcBorders>
              <w:tl2br w:val="nil"/>
              <w:tr2bl w:val="nil"/>
            </w:tcBorders>
            <w:shd w:val="clear" w:color="auto" w:fill="FFFFFF"/>
            <w:vAlign w:val="center"/>
          </w:tcPr>
          <w:p w14:paraId="2A595774">
            <w:pPr>
              <w:widowControl/>
              <w:ind w:firstLine="0" w:firstLineChars="0"/>
              <w:jc w:val="center"/>
              <w:rPr>
                <w:rFonts w:ascii="仿宋_GB2312" w:hAnsi="宋体" w:cs="宋体"/>
                <w:kern w:val="0"/>
                <w:sz w:val="24"/>
                <w:szCs w:val="24"/>
                <w:highlight w:val="none"/>
              </w:rPr>
            </w:pPr>
            <w:r>
              <w:rPr>
                <w:rFonts w:hint="eastAsia" w:ascii="宋体" w:hAnsi="宋体" w:eastAsia="宋体" w:cs="宋体"/>
                <w:color w:val="000000"/>
                <w:kern w:val="0"/>
                <w:sz w:val="22"/>
                <w:highlight w:val="none"/>
              </w:rPr>
              <w:t>提升新阶段疫情防控工作能力</w:t>
            </w:r>
          </w:p>
        </w:tc>
        <w:tc>
          <w:tcPr>
            <w:tcW w:w="898" w:type="dxa"/>
            <w:tcBorders>
              <w:tl2br w:val="nil"/>
              <w:tr2bl w:val="nil"/>
            </w:tcBorders>
            <w:shd w:val="clear" w:color="auto" w:fill="FFFFFF"/>
            <w:vAlign w:val="center"/>
          </w:tcPr>
          <w:p w14:paraId="407CB962">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10</w:t>
            </w:r>
          </w:p>
        </w:tc>
        <w:tc>
          <w:tcPr>
            <w:tcW w:w="898" w:type="dxa"/>
            <w:tcBorders>
              <w:tl2br w:val="nil"/>
              <w:tr2bl w:val="nil"/>
            </w:tcBorders>
            <w:shd w:val="clear" w:color="auto" w:fill="FFFFFF"/>
            <w:vAlign w:val="center"/>
          </w:tcPr>
          <w:p w14:paraId="0BE0BFF1">
            <w:pPr>
              <w:widowControl/>
              <w:ind w:firstLine="0" w:firstLineChars="0"/>
              <w:jc w:val="center"/>
              <w:rPr>
                <w:rFonts w:ascii="仿宋_GB2312" w:hAnsi="宋体" w:cs="宋体"/>
                <w:kern w:val="0"/>
                <w:sz w:val="24"/>
                <w:szCs w:val="24"/>
                <w:highlight w:val="none"/>
              </w:rPr>
            </w:pPr>
            <w:r>
              <w:rPr>
                <w:rFonts w:ascii="仿宋_GB2312" w:hAnsi="宋体" w:cs="宋体"/>
                <w:kern w:val="0"/>
                <w:sz w:val="24"/>
                <w:szCs w:val="24"/>
                <w:highlight w:val="none"/>
              </w:rPr>
              <w:t>1</w:t>
            </w:r>
            <w:r>
              <w:rPr>
                <w:rFonts w:hint="eastAsia" w:ascii="仿宋_GB2312" w:hAnsi="宋体" w:cs="宋体"/>
                <w:kern w:val="0"/>
                <w:sz w:val="24"/>
                <w:szCs w:val="24"/>
                <w:highlight w:val="none"/>
              </w:rPr>
              <w:t>0</w:t>
            </w:r>
          </w:p>
        </w:tc>
        <w:tc>
          <w:tcPr>
            <w:tcW w:w="1039" w:type="dxa"/>
            <w:tcBorders>
              <w:tl2br w:val="nil"/>
              <w:tr2bl w:val="nil"/>
            </w:tcBorders>
            <w:shd w:val="clear" w:color="auto" w:fill="FFFFFF"/>
            <w:vAlign w:val="center"/>
          </w:tcPr>
          <w:p w14:paraId="48304423">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100%</w:t>
            </w:r>
          </w:p>
        </w:tc>
      </w:tr>
      <w:tr w14:paraId="16BBCD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14:paraId="3ED1FD65">
            <w:pPr>
              <w:widowControl/>
              <w:ind w:firstLine="0" w:firstLineChars="0"/>
              <w:jc w:val="center"/>
              <w:rPr>
                <w:rFonts w:hint="eastAsia" w:ascii="仿宋_GB2312" w:hAnsi="宋体" w:cs="宋体"/>
                <w:kern w:val="0"/>
                <w:sz w:val="24"/>
                <w:szCs w:val="24"/>
              </w:rPr>
            </w:pPr>
            <w:r>
              <w:rPr>
                <w:rFonts w:hint="eastAsia" w:ascii="仿宋_GB2312" w:hAnsi="宋体" w:cs="宋体"/>
                <w:kern w:val="0"/>
                <w:sz w:val="24"/>
                <w:szCs w:val="24"/>
              </w:rPr>
              <w:t>满意度</w:t>
            </w:r>
          </w:p>
        </w:tc>
        <w:tc>
          <w:tcPr>
            <w:tcW w:w="1984" w:type="dxa"/>
            <w:tcBorders>
              <w:tl2br w:val="nil"/>
              <w:tr2bl w:val="nil"/>
            </w:tcBorders>
            <w:shd w:val="clear" w:color="auto" w:fill="FFFFFF"/>
            <w:vAlign w:val="center"/>
          </w:tcPr>
          <w:p w14:paraId="18F2F292">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满意度</w:t>
            </w:r>
          </w:p>
        </w:tc>
        <w:tc>
          <w:tcPr>
            <w:tcW w:w="2693" w:type="dxa"/>
            <w:tcBorders>
              <w:tl2br w:val="nil"/>
              <w:tr2bl w:val="nil"/>
            </w:tcBorders>
            <w:shd w:val="clear" w:color="auto" w:fill="FFFFFF"/>
            <w:vAlign w:val="center"/>
          </w:tcPr>
          <w:p w14:paraId="3B508D93">
            <w:pPr>
              <w:widowControl/>
              <w:ind w:firstLine="0" w:firstLineChars="0"/>
              <w:jc w:val="center"/>
              <w:rPr>
                <w:rFonts w:hint="eastAsia" w:ascii="宋体" w:hAnsi="宋体" w:eastAsia="宋体" w:cs="宋体"/>
                <w:color w:val="000000"/>
                <w:kern w:val="0"/>
                <w:sz w:val="22"/>
                <w:highlight w:val="none"/>
              </w:rPr>
            </w:pPr>
            <w:r>
              <w:rPr>
                <w:rFonts w:hint="eastAsia" w:ascii="宋体" w:hAnsi="宋体" w:eastAsia="宋体" w:cs="宋体"/>
                <w:color w:val="000000"/>
                <w:kern w:val="0"/>
                <w:sz w:val="22"/>
                <w:highlight w:val="none"/>
              </w:rPr>
              <w:t>补贴对象满意度</w:t>
            </w:r>
          </w:p>
        </w:tc>
        <w:tc>
          <w:tcPr>
            <w:tcW w:w="898" w:type="dxa"/>
            <w:tcBorders>
              <w:tl2br w:val="nil"/>
              <w:tr2bl w:val="nil"/>
            </w:tcBorders>
            <w:shd w:val="clear" w:color="auto" w:fill="FFFFFF"/>
            <w:vAlign w:val="center"/>
          </w:tcPr>
          <w:p w14:paraId="1C5425A2">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w:t>
            </w:r>
          </w:p>
        </w:tc>
        <w:tc>
          <w:tcPr>
            <w:tcW w:w="898" w:type="dxa"/>
            <w:tcBorders>
              <w:tl2br w:val="nil"/>
              <w:tr2bl w:val="nil"/>
            </w:tcBorders>
            <w:shd w:val="clear" w:color="auto" w:fill="FFFFFF"/>
            <w:vAlign w:val="center"/>
          </w:tcPr>
          <w:p w14:paraId="63347A89">
            <w:pPr>
              <w:widowControl/>
              <w:ind w:firstLine="0" w:firstLineChars="0"/>
              <w:jc w:val="center"/>
              <w:rPr>
                <w:rFonts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w:t>
            </w:r>
          </w:p>
        </w:tc>
        <w:tc>
          <w:tcPr>
            <w:tcW w:w="1039" w:type="dxa"/>
            <w:tcBorders>
              <w:tl2br w:val="nil"/>
              <w:tr2bl w:val="nil"/>
            </w:tcBorders>
            <w:shd w:val="clear" w:color="auto" w:fill="FFFFFF"/>
            <w:vAlign w:val="center"/>
          </w:tcPr>
          <w:p w14:paraId="6F4DCCEF">
            <w:pPr>
              <w:widowControl/>
              <w:ind w:firstLine="0" w:firstLineChars="0"/>
              <w:jc w:val="center"/>
              <w:rPr>
                <w:rFonts w:hint="eastAsia" w:ascii="仿宋_GB2312" w:hAnsi="宋体" w:cs="宋体"/>
                <w:kern w:val="0"/>
                <w:sz w:val="24"/>
                <w:szCs w:val="24"/>
                <w:highlight w:val="none"/>
              </w:rPr>
            </w:pPr>
            <w:r>
              <w:rPr>
                <w:rFonts w:hint="eastAsia" w:ascii="仿宋_GB2312" w:hAnsi="宋体" w:cs="宋体"/>
                <w:kern w:val="0"/>
                <w:sz w:val="24"/>
                <w:szCs w:val="24"/>
                <w:highlight w:val="none"/>
              </w:rPr>
              <w:t>1</w:t>
            </w:r>
            <w:r>
              <w:rPr>
                <w:rFonts w:ascii="仿宋_GB2312" w:hAnsi="宋体" w:cs="宋体"/>
                <w:kern w:val="0"/>
                <w:sz w:val="24"/>
                <w:szCs w:val="24"/>
                <w:highlight w:val="none"/>
              </w:rPr>
              <w:t>00%</w:t>
            </w:r>
          </w:p>
        </w:tc>
      </w:tr>
    </w:tbl>
    <w:p w14:paraId="2B727FDD">
      <w:pPr>
        <w:pStyle w:val="3"/>
        <w:ind w:firstLine="643"/>
        <w:rPr>
          <w:rFonts w:ascii="仿宋" w:hAnsi="仿宋" w:eastAsia="仿宋"/>
          <w:lang w:bidi="en-US"/>
        </w:rPr>
      </w:pPr>
      <w:bookmarkStart w:id="31" w:name="_Toc67911610"/>
      <w:bookmarkStart w:id="32" w:name="_Toc165277239"/>
      <w:r>
        <w:rPr>
          <w:rFonts w:hint="eastAsia" w:ascii="仿宋" w:hAnsi="仿宋" w:eastAsia="仿宋"/>
          <w:lang w:bidi="en-US"/>
        </w:rPr>
        <w:t>（二）主要绩效</w:t>
      </w:r>
      <w:bookmarkEnd w:id="31"/>
      <w:bookmarkEnd w:id="32"/>
    </w:p>
    <w:p w14:paraId="321279BF">
      <w:pPr>
        <w:spacing w:line="360" w:lineRule="auto"/>
        <w:ind w:firstLine="548" w:firstLineChars="196"/>
        <w:rPr>
          <w:rFonts w:ascii="仿宋_GB2312"/>
          <w:bCs/>
          <w:szCs w:val="28"/>
          <w:highlight w:val="yellow"/>
        </w:rPr>
      </w:pPr>
      <w:r>
        <w:rPr>
          <w:rFonts w:hint="eastAsia" w:ascii="仿宋_GB2312"/>
          <w:bCs/>
          <w:szCs w:val="28"/>
        </w:rPr>
        <w:t>该项目资金区财政及时拨付，单位在此次评价期间内，有序完成设定目标的工作任务，</w:t>
      </w:r>
      <w:r>
        <w:rPr>
          <w:rFonts w:hint="eastAsia" w:ascii="仿宋_GB2312"/>
        </w:rPr>
        <w:t>我院医护人员已完成参与疫情防控救治的工作，其中</w:t>
      </w:r>
      <w:r>
        <w:rPr>
          <w:rFonts w:ascii="仿宋_GB2312"/>
        </w:rPr>
        <w:t>重症危重症患者病区</w:t>
      </w:r>
      <w:r>
        <w:rPr>
          <w:rFonts w:hint="eastAsia" w:ascii="仿宋_GB2312"/>
        </w:rPr>
        <w:t>参与疫情防控救治</w:t>
      </w:r>
      <w:r>
        <w:rPr>
          <w:rFonts w:ascii="仿宋_GB2312"/>
        </w:rPr>
        <w:t>工作的一线医务人员</w:t>
      </w:r>
      <w:r>
        <w:rPr>
          <w:rFonts w:hint="eastAsia" w:ascii="仿宋_GB2312"/>
        </w:rPr>
        <w:t>共98人，直接接触天数共2395天；发热门诊、急诊、呼吸科病房、120急救人员、临床和门诊科室内相关医护人员参与疫情防控救治的</w:t>
      </w:r>
      <w:r>
        <w:rPr>
          <w:rFonts w:hint="eastAsia" w:ascii="仿宋_GB2312" w:hAnsi="仿宋"/>
          <w:szCs w:val="28"/>
        </w:rPr>
        <w:t>工作的医务人员38人，直接接触共530天;参与其他医疗病区救治的医务人员有303人，直接接触共6952.5天，并按照文件规定的标准已发放补助共262.725万元。</w:t>
      </w:r>
    </w:p>
    <w:p w14:paraId="09D57460">
      <w:pPr>
        <w:pStyle w:val="2"/>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14:paraId="5CDE2E23">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14:paraId="529CD572">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14:paraId="7AB19E4E">
      <w:pPr>
        <w:pStyle w:val="4"/>
        <w:ind w:firstLine="643"/>
      </w:pPr>
      <w:bookmarkStart w:id="37" w:name="_Toc165277242"/>
      <w:r>
        <w:t>1.</w:t>
      </w:r>
      <w:r>
        <w:rPr>
          <w:rFonts w:hint="eastAsia"/>
        </w:rPr>
        <w:t>项目立项</w:t>
      </w:r>
      <w:bookmarkEnd w:id="37"/>
    </w:p>
    <w:p w14:paraId="74017892">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项目立项符合</w:t>
      </w:r>
      <w:r>
        <w:rPr>
          <w:rFonts w:hint="eastAsia" w:ascii="仿宋_GB2312"/>
        </w:rPr>
        <w:t>《关于改善一线医务人员工作条件切实关心医务人员身心健康的若干措施》（国办发〔2020〕4号）、《关于拨付2023年自治区医务人员临时性工作补助资金（第一批）的通知》（新财社〔2023〕8号）</w:t>
      </w:r>
      <w:r>
        <w:rPr>
          <w:rFonts w:hint="eastAsia" w:ascii="仿宋_GB2312"/>
          <w:szCs w:val="28"/>
        </w:rPr>
        <w:t>政策要求。同时，项目与部门职责范围相符，属于部门履职所需。因此，立项依据充分，得4分。</w:t>
      </w:r>
    </w:p>
    <w:p w14:paraId="777B81DB">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w:t>
      </w:r>
      <w:r>
        <w:rPr>
          <w:rFonts w:hint="eastAsia" w:ascii="仿宋_GB2312"/>
          <w:szCs w:val="28"/>
        </w:rPr>
        <w:t>项目按照</w:t>
      </w:r>
      <w:r>
        <w:rPr>
          <w:rFonts w:hint="eastAsia" w:ascii="仿宋_GB2312" w:hAnsi="仿宋"/>
          <w:szCs w:val="28"/>
        </w:rPr>
        <w:t>上级管理部门安排和我院各医疗科室的人员统计，经上级管理部门审核，对</w:t>
      </w:r>
      <w:r>
        <w:rPr>
          <w:rFonts w:ascii="仿宋_GB2312"/>
        </w:rPr>
        <w:t>直接参与新冠肺炎防疫和救治一线工作</w:t>
      </w:r>
      <w:r>
        <w:rPr>
          <w:rFonts w:hint="eastAsia" w:ascii="仿宋_GB2312"/>
        </w:rPr>
        <w:t>的</w:t>
      </w:r>
      <w:r>
        <w:rPr>
          <w:rFonts w:hint="eastAsia" w:ascii="仿宋_GB2312" w:hAnsi="仿宋"/>
          <w:szCs w:val="28"/>
        </w:rPr>
        <w:t>医护人员的临时性工作补助进行发放，</w:t>
      </w:r>
      <w:r>
        <w:rPr>
          <w:rFonts w:hint="eastAsia" w:ascii="仿宋_GB2312"/>
          <w:szCs w:val="28"/>
        </w:rPr>
        <w:t>审批文件、材料符合相关要求，故立项程序规范，得4分。</w:t>
      </w:r>
    </w:p>
    <w:p w14:paraId="5831A279">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14:paraId="0332D5CD">
      <w:pPr>
        <w:pStyle w:val="4"/>
        <w:ind w:firstLine="643"/>
      </w:pPr>
      <w:bookmarkStart w:id="38" w:name="_Toc165277243"/>
      <w:r>
        <w:rPr>
          <w:rFonts w:hint="eastAsia"/>
        </w:rPr>
        <w:t>2</w:t>
      </w:r>
      <w:r>
        <w:t>.</w:t>
      </w:r>
      <w:r>
        <w:rPr>
          <w:rFonts w:hint="eastAsia"/>
        </w:rPr>
        <w:t>绩效目标</w:t>
      </w:r>
      <w:bookmarkEnd w:id="38"/>
    </w:p>
    <w:p w14:paraId="5FCA060C">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6456DF96">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其中，目标已细化为具体的绩效三级指标，可通过数量指标、质量指标、时效指标和成本指标予以量化，</w:t>
      </w:r>
      <w:r>
        <w:rPr>
          <w:rFonts w:ascii="仿宋_GB2312" w:hAnsi="仿宋" w:cs="宋体"/>
          <w:kern w:val="0"/>
          <w:szCs w:val="28"/>
        </w:rPr>
        <w:t>和绩效目标框架保持一致，</w:t>
      </w:r>
      <w:r>
        <w:rPr>
          <w:rFonts w:hint="eastAsia" w:ascii="仿宋_GB2312" w:hAnsi="仿宋" w:cs="宋体"/>
          <w:kern w:val="0"/>
          <w:szCs w:val="28"/>
        </w:rPr>
        <w:t>围绕项目的总体目标，</w:t>
      </w:r>
      <w:r>
        <w:rPr>
          <w:rFonts w:hint="eastAsia" w:ascii="仿宋_GB2312" w:hAnsi="仿宋"/>
          <w:szCs w:val="28"/>
        </w:rPr>
        <w:t>将</w:t>
      </w:r>
      <w:r>
        <w:rPr>
          <w:rFonts w:hint="eastAsia" w:ascii="仿宋_GB2312"/>
        </w:rPr>
        <w:t>2022年12月7日至2023年3月31日过渡期内直接参与疫情防控救治的发热门诊、急诊、呼吸科病房、感染科病房、重症病房内的相关医护人员，120急救人员，以及一线采血人员的临时性工作补助资金及时发放到医务人员手中，这一目标任务设置绩效指标，</w:t>
      </w:r>
      <w:r>
        <w:rPr>
          <w:rFonts w:hint="eastAsia" w:ascii="仿宋_GB2312" w:hAnsi="仿宋" w:cs="宋体"/>
          <w:kern w:val="0"/>
          <w:szCs w:val="28"/>
        </w:rPr>
        <w:t>并具有确切的评价标准，且指标设定均与目标相关。各项指标均能在现实条件下收集到相关数据进行佐证，通过单位人事科向上级主管部门上报审批的表单以及财务科的发放凭证作为佐证材料，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73CC668A">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0386AF4D">
      <w:pPr>
        <w:pStyle w:val="4"/>
        <w:ind w:firstLine="643"/>
      </w:pPr>
      <w:bookmarkStart w:id="39" w:name="_Toc165277244"/>
      <w:r>
        <w:rPr>
          <w:rFonts w:hint="eastAsia"/>
        </w:rPr>
        <w:t>3.资金投入</w:t>
      </w:r>
      <w:bookmarkEnd w:id="39"/>
    </w:p>
    <w:p w14:paraId="60FFD77D">
      <w:pPr>
        <w:autoSpaceDE w:val="0"/>
        <w:spacing w:line="600" w:lineRule="exact"/>
        <w:ind w:firstLine="562"/>
        <w:rPr>
          <w:rFonts w:ascii="仿宋_GB2312" w:hAnsi="仿宋" w:cs="宋体"/>
          <w:bCs/>
          <w:kern w:val="0"/>
          <w:szCs w:val="28"/>
        </w:rPr>
      </w:pPr>
      <w:r>
        <w:rPr>
          <w:rFonts w:hint="eastAsia" w:ascii="仿宋_GB2312" w:hAnsi="仿宋" w:cs="宋体"/>
          <w:b/>
          <w:kern w:val="0"/>
          <w:szCs w:val="28"/>
        </w:rPr>
        <w:t>预算编制科学性：</w:t>
      </w:r>
      <w:r>
        <w:rPr>
          <w:rFonts w:hint="eastAsia"/>
        </w:rPr>
        <w:t>医务人员在</w:t>
      </w:r>
      <w:r>
        <w:rPr>
          <w:rFonts w:ascii="仿宋_GB2312"/>
        </w:rPr>
        <w:t>重症危重症患者病区</w:t>
      </w:r>
      <w:r>
        <w:rPr>
          <w:rFonts w:hint="eastAsia" w:ascii="仿宋_GB2312"/>
        </w:rPr>
        <w:t>参与疫情防控救治</w:t>
      </w:r>
      <w:r>
        <w:rPr>
          <w:rFonts w:ascii="仿宋_GB2312"/>
        </w:rPr>
        <w:t>工作的一线医务人员</w:t>
      </w:r>
      <w:r>
        <w:rPr>
          <w:rFonts w:hint="eastAsia" w:ascii="仿宋_GB2312"/>
        </w:rPr>
        <w:t>共98人，直接接触天数共2395天，按文件标准，2395×450（300×1.5）=107.775万元；发热门诊、急诊、呼吸科病房、120急救人员、临床和门诊科室内相关医护人员参与疫情防控救治的</w:t>
      </w:r>
      <w:r>
        <w:rPr>
          <w:rFonts w:hint="eastAsia" w:ascii="仿宋_GB2312" w:hAnsi="仿宋"/>
          <w:szCs w:val="28"/>
        </w:rPr>
        <w:t>工作的医务人员38人，直接接触共530天，530</w:t>
      </w:r>
      <w:r>
        <w:rPr>
          <w:rFonts w:hint="eastAsia" w:ascii="仿宋_GB2312"/>
        </w:rPr>
        <w:t>×300=15.9万元</w:t>
      </w:r>
      <w:r>
        <w:rPr>
          <w:rFonts w:hint="eastAsia" w:ascii="仿宋_GB2312" w:hAnsi="仿宋"/>
          <w:szCs w:val="28"/>
        </w:rPr>
        <w:t>;参与其他医疗病区救治的医务人员有303人，直接接触共6952.5天，</w:t>
      </w:r>
      <w:r>
        <w:rPr>
          <w:rFonts w:hint="eastAsia" w:ascii="仿宋_GB2312"/>
        </w:rPr>
        <w:t>6952.5×200=139.0500万元,共</w:t>
      </w:r>
      <w:r>
        <w:rPr>
          <w:rFonts w:hint="eastAsia" w:ascii="仿宋_GB2312" w:hAnsi="仿宋"/>
          <w:szCs w:val="28"/>
        </w:rPr>
        <w:t>262.725万元。</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p>
    <w:p w14:paraId="1E3BFFE4">
      <w:pPr>
        <w:autoSpaceDE w:val="0"/>
        <w:spacing w:line="600" w:lineRule="exact"/>
        <w:ind w:firstLine="0" w:firstLineChars="0"/>
        <w:rPr>
          <w:rFonts w:ascii="仿宋_GB2312" w:hAnsi="仿宋" w:cs="宋体"/>
          <w:bCs/>
          <w:kern w:val="0"/>
          <w:szCs w:val="28"/>
        </w:rPr>
      </w:pPr>
    </w:p>
    <w:p w14:paraId="7ED498E7">
      <w:pPr>
        <w:spacing w:line="360" w:lineRule="auto"/>
        <w:ind w:firstLine="562"/>
      </w:pPr>
      <w:r>
        <w:rPr>
          <w:rFonts w:hint="eastAsia"/>
          <w:b/>
          <w:bCs/>
        </w:rPr>
        <w:t>资金分配合理性</w:t>
      </w:r>
      <w:r>
        <w:rPr>
          <w:rFonts w:hint="eastAsia"/>
        </w:rPr>
        <w:t>：</w:t>
      </w:r>
      <w:r>
        <w:t xml:space="preserve"> </w:t>
      </w:r>
      <w:r>
        <w:rPr>
          <w:rFonts w:hint="eastAsia" w:ascii="仿宋_GB2312"/>
        </w:rPr>
        <w:t>根据《关于完善自治区医务人员临时性工作补助有关政策的通知》（新财社〔2023〕9号）文件要求,</w:t>
      </w:r>
      <w:r>
        <w:rPr>
          <w:rFonts w:hint="eastAsia" w:ascii="仿宋_GB2312" w:hAnsi="Times New Roman" w:cs="Times New Roman"/>
          <w:bCs/>
          <w:kern w:val="0"/>
          <w:szCs w:val="28"/>
          <w:lang w:bidi="en-US"/>
        </w:rPr>
        <w:t>该资金适合使用医务人员临时性工作补助资金。</w:t>
      </w:r>
      <w:r>
        <w:rPr>
          <w:rFonts w:hint="eastAsia"/>
        </w:rPr>
        <w:t>我院各科室提供参与疫情防控救治工作的医务人员信息，建立工作台账，据实按日记录，按月汇总并及时公开公示后，向卫生健康部门报送应当领取临时性工作补助的人员名单、标准、工作天数、发放金额。</w:t>
      </w:r>
      <w:r>
        <w:rPr>
          <w:rFonts w:hint="eastAsia" w:ascii="仿宋_GB2312" w:hAnsi="仿宋" w:cs="宋体"/>
          <w:kern w:val="0"/>
          <w:szCs w:val="28"/>
        </w:rPr>
        <w:t>为体现党中央、国务院和自治区党委、人民政府对医务人员的关心关爱，适当延长“乙类甲管”期间对医务人员的临时性工作补助政策实施期限。将2022年12月7日至2023年3月31日设为过渡期，过渡期内，对直接参与疫情防控救治的发热门诊、急诊、呼吸科病房、感染科病房、重症病房内的相关医护人员，120急救人员，以及血站一线采血人员，每人每天补助300元（对在重症病房内工作的医护人员，按实际工作天数的1.5倍计算）；对其他按照当地政府统一部署，卫生健康部门调派或者医疗卫生机构要求参与疫情防控救治的相关医务人员，每人每天补助200元。根据2020年《乌鲁木齐市新型冠状病毒感染肺炎疫情防控临时补助发放办法》各区县、各单位、各部门要按岗位建立周考勤制度，依据每周实际出勤天数计发补助，工作人员当日累计工作超过4小时，按一天计算；在4小时及以下，按半天计算。故资金分配合理性指标得分</w:t>
      </w:r>
      <w:r>
        <w:rPr>
          <w:rFonts w:ascii="仿宋_GB2312" w:hAnsi="仿宋" w:cs="宋体"/>
          <w:kern w:val="0"/>
          <w:szCs w:val="28"/>
        </w:rPr>
        <w:t>3</w:t>
      </w:r>
      <w:r>
        <w:rPr>
          <w:rFonts w:hint="eastAsia" w:ascii="仿宋_GB2312" w:hAnsi="仿宋" w:cs="宋体"/>
          <w:kern w:val="0"/>
          <w:szCs w:val="28"/>
        </w:rPr>
        <w:t>分。</w:t>
      </w:r>
    </w:p>
    <w:p w14:paraId="1F8C41DE">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62C7AC80">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14:paraId="213195F3">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分，实际得分20分。</w:t>
      </w:r>
    </w:p>
    <w:p w14:paraId="065250E4">
      <w:pPr>
        <w:pStyle w:val="4"/>
        <w:ind w:firstLine="643"/>
      </w:pPr>
      <w:bookmarkStart w:id="42" w:name="_Toc165277246"/>
      <w:r>
        <w:t>1.</w:t>
      </w:r>
      <w:r>
        <w:rPr>
          <w:rFonts w:hint="eastAsia"/>
        </w:rPr>
        <w:t>资金管理</w:t>
      </w:r>
      <w:bookmarkEnd w:id="42"/>
    </w:p>
    <w:p w14:paraId="1EF5E47E">
      <w:pPr>
        <w:pStyle w:val="5"/>
        <w:spacing w:line="360" w:lineRule="auto"/>
        <w:ind w:firstLine="562"/>
        <w:rPr>
          <w:rFonts w:ascii="仿宋_GB2312"/>
          <w:szCs w:val="28"/>
        </w:rPr>
      </w:pPr>
      <w:r>
        <w:rPr>
          <w:rFonts w:hint="eastAsia" w:ascii="仿宋_GB2312"/>
          <w:b/>
          <w:bCs/>
          <w:szCs w:val="28"/>
        </w:rPr>
        <w:t>资金到位率：</w:t>
      </w:r>
      <w:r>
        <w:rPr>
          <w:rFonts w:hint="eastAsia" w:ascii="仿宋_GB2312"/>
          <w:szCs w:val="28"/>
        </w:rPr>
        <w:t>该项目资金由财政拨付，在2023年2月19日到位，故资金到位率指标得分5分。</w:t>
      </w:r>
    </w:p>
    <w:p w14:paraId="7564C88F">
      <w:pPr>
        <w:spacing w:line="360" w:lineRule="auto"/>
        <w:ind w:firstLine="560"/>
        <w:rPr>
          <w:rFonts w:ascii="仿宋_GB2312"/>
          <w:szCs w:val="28"/>
        </w:rPr>
      </w:pPr>
    </w:p>
    <w:p w14:paraId="366F090A">
      <w:pPr>
        <w:spacing w:line="360" w:lineRule="auto"/>
        <w:ind w:firstLine="562"/>
        <w:rPr>
          <w:rFonts w:ascii="仿宋_GB2312"/>
          <w:szCs w:val="28"/>
        </w:rPr>
      </w:pPr>
      <w:r>
        <w:rPr>
          <w:rFonts w:hint="eastAsia" w:ascii="仿宋_GB2312"/>
          <w:b/>
          <w:bCs/>
          <w:szCs w:val="28"/>
        </w:rPr>
        <w:t>预算执行率：</w:t>
      </w:r>
      <w:r>
        <w:rPr>
          <w:rFonts w:hint="eastAsia" w:ascii="仿宋_GB2312"/>
          <w:szCs w:val="28"/>
        </w:rPr>
        <w:t>我单位在2023年4月将资金直接支付到医护人员银行卡，资金全部支付完毕，故预算执行率得分为5分。</w:t>
      </w:r>
    </w:p>
    <w:p w14:paraId="7E5E59A0">
      <w:pPr>
        <w:spacing w:line="360" w:lineRule="auto"/>
        <w:ind w:firstLine="562"/>
        <w:rPr>
          <w:rFonts w:ascii="仿宋_GB2312"/>
          <w:b/>
          <w:bCs/>
          <w:szCs w:val="28"/>
        </w:rPr>
      </w:pPr>
    </w:p>
    <w:p w14:paraId="04A14EE2">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的使用符合《关于拨付2023年第九批疫情防控补助资金（第一批医务人员临时性工作补助资金）的通知》（乌财社〔2023〕37号）和《乌鲁木齐市新型冠状病毒感染肺炎疫情防控临时补助发放办法》管理制度以及有关《乌鲁木齐市财政专项资金使用跟踪反馈管理暂行办法》（乌财预〔2018〕41号）专项资金管理办法的规定。同时，资金的拨付有计划的申请和资金支付的审批程序，需要项目负责人、项目管理科室、分管院领导、财务科长、分管财务院领导签批手续，符合项目预算批复或合同规定的用途，不存在截留、挤占、挪用、虚列支出等情况。故资金使用合规性得分为3分。</w:t>
      </w:r>
    </w:p>
    <w:p w14:paraId="4E153E5A">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分，得分13分。</w:t>
      </w:r>
    </w:p>
    <w:p w14:paraId="2005F0EB">
      <w:pPr>
        <w:pStyle w:val="4"/>
        <w:ind w:firstLine="643"/>
      </w:pPr>
      <w:bookmarkStart w:id="43" w:name="_Toc165277247"/>
      <w:r>
        <w:t>2.</w:t>
      </w:r>
      <w:r>
        <w:rPr>
          <w:rFonts w:hint="eastAsia"/>
        </w:rPr>
        <w:t>组织实施</w:t>
      </w:r>
      <w:bookmarkEnd w:id="43"/>
    </w:p>
    <w:p w14:paraId="1EF82244">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乌鲁木齐市中医医院已制定相应的《乌鲁木齐市新型冠状病毒感染肺炎疫情防控临时补助发放办法》和《财政专项资金使用制度》管理制度，且制度合法、合规、完整，为项目顺利实施提供重要保障。故管理制度健全性得分为3分。</w:t>
      </w:r>
    </w:p>
    <w:p w14:paraId="3C95C96E">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乌鲁木齐市中医医院严格遵守相关法律法规和相关管理规定，整体管理合理有序，项目完成后，及时将会计凭证、医务人员临时性补助发放等相关资料分类归档，制度执行有效。故制度执行有效性指标得分</w:t>
      </w:r>
      <w:r>
        <w:rPr>
          <w:rFonts w:ascii="仿宋_GB2312"/>
          <w:szCs w:val="28"/>
        </w:rPr>
        <w:t>4</w:t>
      </w:r>
      <w:r>
        <w:rPr>
          <w:rFonts w:hint="eastAsia" w:ascii="仿宋_GB2312"/>
          <w:szCs w:val="28"/>
        </w:rPr>
        <w:t>分。</w:t>
      </w:r>
    </w:p>
    <w:p w14:paraId="6B82D263">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14CE0BA4">
      <w:pPr>
        <w:pStyle w:val="3"/>
        <w:ind w:firstLine="643"/>
        <w:rPr>
          <w:rFonts w:ascii="仿宋" w:hAnsi="仿宋" w:eastAsia="仿宋"/>
          <w:lang w:bidi="en-US"/>
        </w:rPr>
      </w:pPr>
      <w:bookmarkStart w:id="45" w:name="_Toc165277248"/>
      <w:bookmarkStart w:id="46" w:name="_Toc67911614"/>
      <w:r>
        <w:rPr>
          <w:rFonts w:hint="eastAsia" w:ascii="仿宋" w:hAnsi="仿宋" w:eastAsia="仿宋"/>
          <w:lang w:bidi="en-US"/>
        </w:rPr>
        <w:t>（三）项目产出情况</w:t>
      </w:r>
      <w:bookmarkEnd w:id="45"/>
      <w:bookmarkEnd w:id="46"/>
    </w:p>
    <w:p w14:paraId="29261777">
      <w:pPr>
        <w:spacing w:line="360" w:lineRule="auto"/>
        <w:ind w:firstLine="560"/>
        <w:rPr>
          <w:rFonts w:ascii="仿宋_GB2312"/>
          <w:szCs w:val="28"/>
        </w:rPr>
      </w:pPr>
      <w:r>
        <w:rPr>
          <w:rFonts w:hint="eastAsia" w:ascii="仿宋_GB2312"/>
          <w:szCs w:val="28"/>
        </w:rPr>
        <w:t>项目产出指标由3个二级指标和5个三级指标构成，权重为</w:t>
      </w:r>
      <w:r>
        <w:rPr>
          <w:rFonts w:ascii="仿宋_GB2312"/>
          <w:szCs w:val="28"/>
        </w:rPr>
        <w:t>40</w:t>
      </w:r>
      <w:r>
        <w:rPr>
          <w:rFonts w:hint="eastAsia" w:ascii="仿宋_GB2312"/>
          <w:szCs w:val="28"/>
        </w:rPr>
        <w:t>分，实际得分40分。</w:t>
      </w:r>
    </w:p>
    <w:p w14:paraId="355F06C6">
      <w:pPr>
        <w:pStyle w:val="4"/>
        <w:ind w:firstLine="643"/>
      </w:pPr>
      <w:bookmarkStart w:id="47" w:name="_Toc165277249"/>
      <w:r>
        <w:rPr>
          <w:rFonts w:hint="eastAsia"/>
        </w:rPr>
        <w:t>1</w:t>
      </w:r>
      <w:r>
        <w:t>.</w:t>
      </w:r>
      <w:r>
        <w:rPr>
          <w:rFonts w:hint="eastAsia"/>
        </w:rPr>
        <w:t>产出数量</w:t>
      </w:r>
      <w:bookmarkEnd w:id="47"/>
    </w:p>
    <w:p w14:paraId="1993ABE7">
      <w:pPr>
        <w:spacing w:line="360" w:lineRule="auto"/>
        <w:ind w:firstLine="560"/>
        <w:rPr>
          <w:rFonts w:ascii="仿宋_GB2312"/>
          <w:bCs/>
          <w:szCs w:val="28"/>
        </w:rPr>
      </w:pPr>
      <w:r>
        <w:rPr>
          <w:rFonts w:hint="eastAsia" w:ascii="仿宋_GB2312"/>
          <w:bCs/>
          <w:szCs w:val="28"/>
        </w:rPr>
        <w:t>数量指标“一类重症危重症病区工作人员人数”的目标值是98人，根据各医疗相关科室统计上报和上级部门审核的数据，2023</w:t>
      </w:r>
      <w:r>
        <w:rPr>
          <w:rFonts w:ascii="仿宋_GB2312"/>
          <w:bCs/>
          <w:szCs w:val="28"/>
        </w:rPr>
        <w:t>年度我单位实际完成发放</w:t>
      </w:r>
      <w:r>
        <w:rPr>
          <w:rFonts w:hint="eastAsia" w:ascii="仿宋_GB2312"/>
          <w:bCs/>
          <w:szCs w:val="28"/>
        </w:rPr>
        <w:t>98人。</w:t>
      </w:r>
    </w:p>
    <w:p w14:paraId="51368BD1">
      <w:pPr>
        <w:spacing w:line="360" w:lineRule="auto"/>
        <w:ind w:firstLine="560"/>
        <w:rPr>
          <w:rFonts w:ascii="仿宋_GB2312"/>
          <w:bCs/>
          <w:szCs w:val="28"/>
        </w:rPr>
      </w:pPr>
      <w:r>
        <w:rPr>
          <w:rFonts w:hint="eastAsia" w:ascii="仿宋_GB2312"/>
          <w:bCs/>
          <w:szCs w:val="28"/>
        </w:rPr>
        <w:t>数量指标“一类普通病区工作人员人数”的目标值是38人，根据各医疗相关科室统计上报和上级部门审核的数据，</w:t>
      </w:r>
      <w:r>
        <w:rPr>
          <w:rFonts w:ascii="仿宋_GB2312"/>
          <w:bCs/>
          <w:szCs w:val="28"/>
        </w:rPr>
        <w:t>2023年度我单位</w:t>
      </w:r>
      <w:r>
        <w:rPr>
          <w:rFonts w:hint="eastAsia" w:ascii="仿宋_GB2312"/>
          <w:bCs/>
          <w:szCs w:val="28"/>
        </w:rPr>
        <w:t>实际完成</w:t>
      </w:r>
      <w:r>
        <w:rPr>
          <w:rFonts w:ascii="仿宋_GB2312"/>
          <w:bCs/>
          <w:szCs w:val="28"/>
        </w:rPr>
        <w:t>发放</w:t>
      </w:r>
      <w:r>
        <w:rPr>
          <w:rFonts w:hint="eastAsia" w:ascii="仿宋_GB2312"/>
          <w:bCs/>
          <w:szCs w:val="28"/>
        </w:rPr>
        <w:t>38人。</w:t>
      </w:r>
    </w:p>
    <w:p w14:paraId="349EB508">
      <w:pPr>
        <w:spacing w:line="360" w:lineRule="auto"/>
        <w:ind w:firstLine="560"/>
        <w:rPr>
          <w:rFonts w:ascii="仿宋_GB2312"/>
          <w:bCs/>
          <w:szCs w:val="28"/>
        </w:rPr>
      </w:pPr>
      <w:r>
        <w:rPr>
          <w:rFonts w:hint="eastAsia" w:ascii="仿宋_GB2312"/>
          <w:bCs/>
          <w:szCs w:val="28"/>
        </w:rPr>
        <w:t>数量指标“二类工作人员人数”的目标值是303人，根据各医疗相关科室统计上报和上级部门审核的数据，</w:t>
      </w:r>
      <w:r>
        <w:rPr>
          <w:rFonts w:ascii="仿宋_GB2312"/>
          <w:bCs/>
          <w:szCs w:val="28"/>
        </w:rPr>
        <w:t>2023年度我单位</w:t>
      </w:r>
      <w:r>
        <w:rPr>
          <w:rFonts w:hint="eastAsia" w:ascii="仿宋_GB2312"/>
          <w:bCs/>
          <w:szCs w:val="28"/>
        </w:rPr>
        <w:t>实际完成</w:t>
      </w:r>
      <w:r>
        <w:rPr>
          <w:rFonts w:ascii="仿宋_GB2312"/>
          <w:bCs/>
          <w:szCs w:val="28"/>
        </w:rPr>
        <w:t>发放</w:t>
      </w:r>
      <w:r>
        <w:rPr>
          <w:rFonts w:hint="eastAsia" w:ascii="仿宋_GB2312"/>
          <w:bCs/>
          <w:szCs w:val="28"/>
        </w:rPr>
        <w:t>303人。</w:t>
      </w:r>
    </w:p>
    <w:p w14:paraId="4793C128">
      <w:pPr>
        <w:spacing w:line="360" w:lineRule="auto"/>
        <w:ind w:firstLine="562"/>
        <w:rPr>
          <w:rFonts w:ascii="仿宋_GB2312"/>
          <w:szCs w:val="28"/>
        </w:rPr>
      </w:pPr>
      <w:r>
        <w:rPr>
          <w:rFonts w:hint="eastAsia" w:ascii="仿宋_GB2312"/>
          <w:b/>
          <w:bCs/>
          <w:szCs w:val="28"/>
        </w:rPr>
        <w:t>实际完成率：</w:t>
      </w:r>
      <w:r>
        <w:rPr>
          <w:rFonts w:hint="eastAsia" w:ascii="仿宋_GB2312"/>
          <w:szCs w:val="28"/>
        </w:rPr>
        <w:t>100%，故实际完成率得分为15分。</w:t>
      </w:r>
    </w:p>
    <w:p w14:paraId="06129D36">
      <w:pPr>
        <w:pStyle w:val="4"/>
        <w:ind w:firstLine="643"/>
      </w:pPr>
      <w:bookmarkStart w:id="48" w:name="_Toc165277250"/>
      <w:r>
        <w:rPr>
          <w:rFonts w:hint="eastAsia"/>
        </w:rPr>
        <w:t>2</w:t>
      </w:r>
      <w:r>
        <w:t>.</w:t>
      </w:r>
      <w:r>
        <w:rPr>
          <w:rFonts w:hint="eastAsia"/>
        </w:rPr>
        <w:t>产出质量</w:t>
      </w:r>
      <w:bookmarkEnd w:id="48"/>
    </w:p>
    <w:p w14:paraId="563F9FAE">
      <w:pPr>
        <w:spacing w:line="360" w:lineRule="auto"/>
        <w:ind w:firstLine="420"/>
        <w:rPr>
          <w:rFonts w:ascii="仿宋_GB2312"/>
        </w:rPr>
      </w:pPr>
      <w:r>
        <w:rPr>
          <w:rStyle w:val="20"/>
          <w:rFonts w:hint="eastAsia"/>
        </w:rPr>
        <w:t xml:space="preserve"> </w:t>
      </w:r>
      <w:r>
        <w:rPr>
          <w:rFonts w:hint="eastAsia" w:ascii="仿宋_GB2312"/>
          <w:szCs w:val="28"/>
        </w:rPr>
        <w:t>质量指标“临时性工作完成率”的目标值是≥90%，2023年度我单位实际完成100%。我单位</w:t>
      </w:r>
      <w:r>
        <w:rPr>
          <w:rFonts w:ascii="仿宋_GB2312"/>
        </w:rPr>
        <w:t>医</w:t>
      </w:r>
      <w:r>
        <w:rPr>
          <w:rFonts w:hint="eastAsia" w:ascii="仿宋_GB2312"/>
        </w:rPr>
        <w:t>护</w:t>
      </w:r>
      <w:r>
        <w:rPr>
          <w:rFonts w:ascii="仿宋_GB2312"/>
        </w:rPr>
        <w:t>人员直接参与新冠肺炎防疫和救治一线工作，且与确诊或疑似病例直接接触的接诊、筛查、检查、检测、转运、治疗、护理、流行病学调查、医学观察，以及直接进行病例标本采集、病原检测、病理检查、病理解剖;</w:t>
      </w:r>
      <w:r>
        <w:rPr>
          <w:rFonts w:hint="eastAsia" w:ascii="仿宋_GB2312"/>
        </w:rPr>
        <w:t>并</w:t>
      </w:r>
      <w:r>
        <w:rPr>
          <w:rFonts w:ascii="仿宋_GB2312"/>
        </w:rPr>
        <w:t>在卫生健康部门确定的定点医院、方舱医院的隔离区或其他收治确诊病例的医疗卫生机构的隔离区直接参与患者救治，直接进行病例标本采集、病原检测和病理检查，顺利完成工作</w:t>
      </w:r>
      <w:r>
        <w:rPr>
          <w:rFonts w:hint="eastAsia" w:ascii="仿宋_GB2312"/>
        </w:rPr>
        <w:t>。</w:t>
      </w:r>
    </w:p>
    <w:p w14:paraId="7FFFCA8B">
      <w:pPr>
        <w:pStyle w:val="5"/>
        <w:spacing w:line="360" w:lineRule="auto"/>
        <w:ind w:firstLine="560"/>
        <w:rPr>
          <w:rFonts w:ascii="仿宋_GB2312"/>
          <w:szCs w:val="28"/>
        </w:rPr>
      </w:pPr>
      <w:r>
        <w:rPr>
          <w:rFonts w:hint="eastAsia" w:ascii="仿宋_GB2312"/>
          <w:szCs w:val="28"/>
        </w:rPr>
        <w:t>质量达标率得分为5分。</w:t>
      </w:r>
    </w:p>
    <w:p w14:paraId="130A35F4">
      <w:pPr>
        <w:pStyle w:val="4"/>
        <w:ind w:firstLine="643"/>
      </w:pPr>
      <w:bookmarkStart w:id="49" w:name="_Toc165277251"/>
      <w:r>
        <w:rPr>
          <w:rFonts w:hint="eastAsia"/>
        </w:rPr>
        <w:t>3</w:t>
      </w:r>
      <w:r>
        <w:t>.</w:t>
      </w:r>
      <w:r>
        <w:rPr>
          <w:rFonts w:hint="eastAsia"/>
        </w:rPr>
        <w:t>产出时效</w:t>
      </w:r>
      <w:bookmarkEnd w:id="49"/>
    </w:p>
    <w:p w14:paraId="09C48412">
      <w:pPr>
        <w:spacing w:line="360" w:lineRule="auto"/>
        <w:ind w:firstLine="560"/>
        <w:rPr>
          <w:rFonts w:ascii="仿宋_GB2312"/>
          <w:b/>
          <w:bCs/>
          <w:szCs w:val="28"/>
        </w:rPr>
      </w:pPr>
      <w:r>
        <w:rPr>
          <w:rFonts w:hint="eastAsia" w:ascii="仿宋_GB2312"/>
          <w:szCs w:val="28"/>
        </w:rPr>
        <w:t>时效指标“项目完成及时率”的目标值是≥90%，2023年度我单位实际完成100%。我单位在项目指标到位后，及时向主管单位和财政局申请相关款项，并于2023年4月3日将资金支付到医护人员银行卡。</w:t>
      </w:r>
    </w:p>
    <w:p w14:paraId="530B6361">
      <w:pPr>
        <w:spacing w:line="360" w:lineRule="auto"/>
        <w:ind w:firstLine="560"/>
        <w:rPr>
          <w:rFonts w:ascii="仿宋_GB2312"/>
          <w:szCs w:val="28"/>
        </w:rPr>
      </w:pPr>
      <w:r>
        <w:rPr>
          <w:rFonts w:hint="eastAsia" w:ascii="仿宋_GB2312"/>
          <w:szCs w:val="28"/>
        </w:rPr>
        <w:t>故完成及时性得分为5分。</w:t>
      </w:r>
    </w:p>
    <w:p w14:paraId="76F06CF5">
      <w:pPr>
        <w:pStyle w:val="4"/>
        <w:ind w:firstLine="643"/>
      </w:pPr>
      <w:bookmarkStart w:id="50" w:name="_Toc165277252"/>
      <w:r>
        <w:rPr>
          <w:rFonts w:hint="eastAsia"/>
        </w:rPr>
        <w:t>4</w:t>
      </w:r>
      <w:r>
        <w:t>.</w:t>
      </w:r>
      <w:r>
        <w:rPr>
          <w:rFonts w:hint="eastAsia"/>
        </w:rPr>
        <w:t>产出成本</w:t>
      </w:r>
      <w:bookmarkEnd w:id="50"/>
    </w:p>
    <w:p w14:paraId="0090E25A">
      <w:pPr>
        <w:spacing w:line="360" w:lineRule="auto"/>
        <w:ind w:firstLine="562"/>
        <w:rPr>
          <w:rFonts w:ascii="仿宋_GB2312"/>
          <w:b/>
          <w:bCs/>
          <w:szCs w:val="28"/>
        </w:rPr>
      </w:pPr>
      <w:r>
        <w:rPr>
          <w:rFonts w:hint="eastAsia" w:ascii="仿宋_GB2312"/>
          <w:b/>
          <w:bCs/>
          <w:szCs w:val="28"/>
        </w:rPr>
        <w:t>项目预算控制率：</w:t>
      </w:r>
      <w:r>
        <w:rPr>
          <w:rFonts w:hint="eastAsia" w:ascii="仿宋_GB2312"/>
          <w:bCs/>
          <w:szCs w:val="28"/>
        </w:rPr>
        <w:t>本项目实际支出262.73万元，无超支情况，项目资金全部完成，得分为15分</w:t>
      </w:r>
      <w:r>
        <w:rPr>
          <w:rFonts w:ascii="仿宋_GB2312"/>
          <w:bCs/>
          <w:szCs w:val="28"/>
        </w:rPr>
        <w:t>。</w:t>
      </w:r>
    </w:p>
    <w:p w14:paraId="7E2CC541">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hint="eastAsia" w:ascii="仿宋_GB2312"/>
          <w:szCs w:val="28"/>
        </w:rPr>
        <w:t>40</w:t>
      </w:r>
      <w:r>
        <w:rPr>
          <w:rFonts w:hint="eastAsia" w:ascii="仿宋_GB2312" w:hAnsi="仿宋" w:cs="宋体"/>
          <w:b/>
          <w:kern w:val="0"/>
          <w:szCs w:val="28"/>
        </w:rPr>
        <w:t>分。</w:t>
      </w:r>
    </w:p>
    <w:p w14:paraId="16985291">
      <w:pPr>
        <w:pStyle w:val="3"/>
        <w:ind w:firstLine="643"/>
        <w:rPr>
          <w:rFonts w:ascii="仿宋" w:hAnsi="仿宋" w:eastAsia="仿宋"/>
          <w:lang w:bidi="en-US"/>
        </w:rPr>
      </w:pPr>
      <w:bookmarkStart w:id="51" w:name="_Toc165277253"/>
      <w:bookmarkStart w:id="52" w:name="_Toc67911615"/>
      <w:r>
        <w:rPr>
          <w:rFonts w:hint="eastAsia" w:ascii="仿宋" w:hAnsi="仿宋" w:eastAsia="仿宋"/>
          <w:lang w:bidi="en-US"/>
        </w:rPr>
        <w:t>（四）项目效益情况</w:t>
      </w:r>
      <w:bookmarkEnd w:id="51"/>
      <w:bookmarkEnd w:id="52"/>
    </w:p>
    <w:p w14:paraId="6CA43334">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个二级指标和1个三级指标构成，权重为</w:t>
      </w:r>
      <w:r>
        <w:rPr>
          <w:rFonts w:ascii="仿宋_GB2312"/>
          <w:szCs w:val="28"/>
        </w:rPr>
        <w:t>10</w:t>
      </w:r>
      <w:r>
        <w:rPr>
          <w:rFonts w:hint="eastAsia" w:ascii="仿宋_GB2312"/>
          <w:szCs w:val="28"/>
        </w:rPr>
        <w:t>分，实际得分</w:t>
      </w:r>
      <w:r>
        <w:rPr>
          <w:rFonts w:ascii="仿宋_GB2312"/>
          <w:szCs w:val="28"/>
        </w:rPr>
        <w:t>1</w:t>
      </w:r>
      <w:r>
        <w:rPr>
          <w:rFonts w:hint="eastAsia" w:ascii="仿宋_GB2312"/>
          <w:szCs w:val="28"/>
        </w:rPr>
        <w:t>0分。</w:t>
      </w:r>
      <w:r>
        <w:rPr>
          <w:rFonts w:ascii="仿宋_GB2312"/>
          <w:szCs w:val="28"/>
        </w:rPr>
        <w:t xml:space="preserve"> </w:t>
      </w:r>
    </w:p>
    <w:p w14:paraId="1A2B21B7">
      <w:pPr>
        <w:pStyle w:val="4"/>
        <w:ind w:firstLine="643"/>
      </w:pPr>
      <w:bookmarkStart w:id="53" w:name="_Toc165277254"/>
      <w:r>
        <w:rPr>
          <w:rFonts w:hint="eastAsia"/>
        </w:rPr>
        <w:t>1</w:t>
      </w:r>
      <w:r>
        <w:t>.</w:t>
      </w:r>
      <w:r>
        <w:rPr>
          <w:rFonts w:hint="eastAsia"/>
        </w:rPr>
        <w:t>项目效益</w:t>
      </w:r>
      <w:bookmarkEnd w:id="53"/>
    </w:p>
    <w:p w14:paraId="03B91F0F">
      <w:pPr>
        <w:spacing w:line="360" w:lineRule="auto"/>
        <w:ind w:firstLine="562"/>
        <w:rPr>
          <w:rFonts w:ascii="仿宋_GB2312"/>
          <w:b/>
          <w:bCs/>
          <w:szCs w:val="28"/>
        </w:rPr>
      </w:pPr>
      <w:r>
        <w:rPr>
          <w:rFonts w:hint="eastAsia" w:ascii="仿宋_GB2312"/>
          <w:b/>
          <w:bCs/>
          <w:szCs w:val="28"/>
        </w:rPr>
        <w:t>（1）实施效益</w:t>
      </w:r>
    </w:p>
    <w:p w14:paraId="600BBF2D">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3DB1FA23">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提升新阶段疫情防控工作能力”，指标值：有所提升，实际完成值：达成年度指标。本项目的实施医院多次专门研究卫生应急工作，成立了突发公共卫生事件应急处理领导小组，负责突发公共卫生事件应急处置的日常管理和综合协调工作;建立了突发公共卫生事件及疫情报告值班制度，实行24小时值班制。加强线上培训学习，加大了传染病防治知识宣教力度，使传染病防治工作进一步法制化、规范化、科学化。除了对本次疫情进行诊疗系统内培训学习外，还主要对突发公共卫生事件及疫情报告、传染病报告相关知识的培训内容包括报告内容、报告时限和报告程序等，并进行了培训后测试，取得了较好的培训效果，医务人员基本掌握了突发公共卫生事件报告要求和报告时限，并按照要求开展突发公共卫生事件及疫情报告工作。我院对补助绩效进行了全面评价，总体而言，医院在补助资金、管理效率、医疗服务质量和社会效益等方面取得了一定的成绩，提升了医务人员新阶段疫情防控的工作能力。</w:t>
      </w:r>
    </w:p>
    <w:p w14:paraId="7DFB6B17">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314840C6">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w:t>
      </w:r>
      <w:r>
        <w:rPr>
          <w:rFonts w:ascii="仿宋_GB2312" w:hAnsi="仿宋" w:cs="宋体"/>
          <w:b/>
          <w:kern w:val="0"/>
          <w:szCs w:val="28"/>
        </w:rPr>
        <w:t>1</w:t>
      </w:r>
      <w:r>
        <w:rPr>
          <w:rFonts w:hint="eastAsia" w:ascii="仿宋_GB2312" w:hAnsi="仿宋" w:cs="宋体"/>
          <w:b/>
          <w:kern w:val="0"/>
          <w:szCs w:val="28"/>
        </w:rPr>
        <w:t>0分。</w:t>
      </w:r>
    </w:p>
    <w:p w14:paraId="4B63ED1B">
      <w:pPr>
        <w:pStyle w:val="4"/>
        <w:ind w:firstLine="643"/>
      </w:pPr>
      <w:bookmarkStart w:id="54" w:name="_Toc165277255"/>
      <w:r>
        <w:t>2. 满意度指标完成情况分析</w:t>
      </w:r>
      <w:bookmarkEnd w:id="54"/>
    </w:p>
    <w:p w14:paraId="538C14FA">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400D9170">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评价指标“补贴对象满意度”，指标值：</w:t>
      </w:r>
      <w:r>
        <w:rPr>
          <w:rFonts w:hint="eastAsia" w:ascii="华文宋体" w:hAnsi="华文宋体" w:eastAsia="华文宋体"/>
          <w:szCs w:val="28"/>
        </w:rPr>
        <w:t>≥</w:t>
      </w:r>
      <w:r>
        <w:rPr>
          <w:rFonts w:hint="eastAsia" w:ascii="仿宋_GB2312" w:eastAsia="华文宋体"/>
          <w:szCs w:val="28"/>
        </w:rPr>
        <w:t>80</w:t>
      </w:r>
      <w:r>
        <w:rPr>
          <w:rFonts w:hint="eastAsia" w:ascii="仿宋_GB2312"/>
          <w:szCs w:val="28"/>
        </w:rPr>
        <w:t>%，实际完成值：=</w:t>
      </w:r>
      <w:r>
        <w:rPr>
          <w:rFonts w:hint="eastAsia" w:ascii="仿宋_GB2312" w:eastAsia="华文宋体"/>
          <w:szCs w:val="28"/>
        </w:rPr>
        <w:t>100</w:t>
      </w:r>
      <w:r>
        <w:rPr>
          <w:rFonts w:hint="eastAsia" w:ascii="仿宋_GB2312"/>
          <w:szCs w:val="28"/>
        </w:rPr>
        <w:t>%。通过设置问卷调查的方式进行考评评价，共计调查样本总量为</w:t>
      </w:r>
      <w:r>
        <w:rPr>
          <w:rFonts w:ascii="仿宋_GB2312"/>
          <w:szCs w:val="28"/>
        </w:rPr>
        <w:t>30</w:t>
      </w:r>
      <w:r>
        <w:rPr>
          <w:rFonts w:hint="eastAsia" w:ascii="仿宋_GB2312"/>
          <w:szCs w:val="28"/>
        </w:rPr>
        <w:t>个样本，有效调查问卷</w:t>
      </w:r>
      <w:r>
        <w:rPr>
          <w:rFonts w:ascii="仿宋_GB2312"/>
          <w:szCs w:val="28"/>
        </w:rPr>
        <w:t>30</w:t>
      </w:r>
      <w:r>
        <w:rPr>
          <w:rFonts w:hint="eastAsia" w:ascii="仿宋_GB2312"/>
          <w:szCs w:val="28"/>
        </w:rPr>
        <w:t>份。其中，统计“医护人员对疫情工作临时性补助发放资金的满意度”的平均值为100%。故满意度指标得分为10分。</w:t>
      </w:r>
    </w:p>
    <w:p w14:paraId="63914EA0">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667B97EA">
      <w:pPr>
        <w:autoSpaceDE w:val="0"/>
        <w:spacing w:line="600" w:lineRule="exact"/>
        <w:ind w:firstLine="562"/>
        <w:rPr>
          <w:rFonts w:hint="eastAsia" w:ascii="仿宋_GB2312" w:hAnsi="仿宋" w:cs="宋体"/>
          <w:b/>
          <w:kern w:val="0"/>
          <w:szCs w:val="28"/>
        </w:rPr>
      </w:pPr>
    </w:p>
    <w:p w14:paraId="3BE9C9AA">
      <w:pPr>
        <w:pStyle w:val="2"/>
        <w:ind w:firstLine="0" w:firstLineChars="0"/>
        <w:jc w:val="left"/>
        <w:rPr>
          <w:rFonts w:ascii="仿宋" w:hAnsi="仿宋" w:eastAsia="仿宋"/>
          <w:sz w:val="36"/>
          <w:szCs w:val="36"/>
          <w:lang w:bidi="en-US"/>
        </w:rPr>
      </w:pPr>
      <w:bookmarkStart w:id="55" w:name="_Toc67911617"/>
      <w:bookmarkStart w:id="56" w:name="_Toc165277256"/>
      <w:r>
        <w:rPr>
          <w:rFonts w:hint="eastAsia" w:ascii="仿宋" w:hAnsi="仿宋" w:eastAsia="仿宋"/>
          <w:sz w:val="36"/>
          <w:szCs w:val="36"/>
          <w:lang w:bidi="en-US"/>
        </w:rPr>
        <w:t>五、主要经验及做法、存在的问题及原因分析</w:t>
      </w:r>
      <w:bookmarkEnd w:id="55"/>
      <w:bookmarkEnd w:id="56"/>
    </w:p>
    <w:p w14:paraId="12EA6184">
      <w:pPr>
        <w:pStyle w:val="3"/>
        <w:ind w:firstLine="643"/>
        <w:rPr>
          <w:rFonts w:ascii="仿宋" w:hAnsi="仿宋" w:eastAsia="仿宋"/>
          <w:lang w:bidi="en-US"/>
        </w:rPr>
      </w:pPr>
      <w:bookmarkStart w:id="57" w:name="_Toc165277257"/>
      <w:bookmarkStart w:id="58" w:name="_Toc67911618"/>
      <w:r>
        <w:rPr>
          <w:rFonts w:hint="eastAsia" w:ascii="仿宋" w:hAnsi="仿宋" w:eastAsia="仿宋"/>
          <w:lang w:bidi="en-US"/>
        </w:rPr>
        <w:t>（一）主要经验及做法</w:t>
      </w:r>
      <w:bookmarkEnd w:id="57"/>
      <w:bookmarkEnd w:id="58"/>
    </w:p>
    <w:p w14:paraId="44ABC7DD">
      <w:pPr>
        <w:spacing w:line="276" w:lineRule="auto"/>
        <w:ind w:firstLine="562"/>
        <w:rPr>
          <w:rFonts w:ascii="仿宋_GB2312"/>
          <w:szCs w:val="28"/>
        </w:rPr>
      </w:pPr>
      <w:r>
        <w:rPr>
          <w:rFonts w:hint="eastAsia" w:ascii="仿宋_GB2312" w:hAnsi="仿宋" w:cs="宋体"/>
          <w:b/>
          <w:kern w:val="0"/>
          <w:szCs w:val="28"/>
        </w:rPr>
        <w:t>1.</w:t>
      </w:r>
      <w:r>
        <w:rPr>
          <w:rFonts w:hint="eastAsia" w:ascii="仿宋_GB2312"/>
          <w:szCs w:val="28"/>
        </w:rPr>
        <w:t>保护关心爱护措施向一线医务人员倾斜</w:t>
      </w:r>
    </w:p>
    <w:p w14:paraId="27B04F85">
      <w:pPr>
        <w:pStyle w:val="14"/>
        <w:spacing w:before="0" w:beforeAutospacing="0" w:after="0" w:afterAutospacing="0" w:line="360" w:lineRule="auto"/>
        <w:ind w:firstLine="560"/>
        <w:jc w:val="both"/>
        <w:rPr>
          <w:rFonts w:ascii="仿宋_GB2312" w:hAnsi="Calibri" w:eastAsia="仿宋_GB2312" w:cs="黑体"/>
          <w:kern w:val="2"/>
          <w:sz w:val="28"/>
          <w:szCs w:val="28"/>
        </w:rPr>
      </w:pPr>
      <w:r>
        <w:rPr>
          <w:rFonts w:hint="eastAsia" w:ascii="仿宋_GB2312" w:hAnsi="Calibri" w:eastAsia="仿宋_GB2312" w:cs="黑体"/>
          <w:kern w:val="2"/>
          <w:sz w:val="28"/>
          <w:szCs w:val="28"/>
        </w:rPr>
        <w:t>按照人力资源社会保障部、财政部相关规定，一线医务人员领取临时性工作补助的天数，按其直接接触确诊或疑似病例的天数计算。对在重症危重症患者病区工作的一线医务人员，按实际工作天数的1.5倍计算应发工作天数。对直接参与疫情防控救治的发热门诊、急诊、呼吸科病房、感染科病房、重症病房内的相关医护人员，120急救人员，以及血站一线采血人员，每人每天补助300元；对其他按照要求参与疫情防控救治的相关医务人员，每人每天补助200元。对一线医务人员在轮休、隔离期间，工资福利待遇按出勤对待，原正常发放的基本工资、岗位津贴（含卫生防疫津贴）、绩效工资继续执行。一线医务人员轮休、隔离天数不计入本人带薪年休假假期。加强对一线医务人员的人文关怀，对有实际困难不能坚守一线工作的医务人员及时做人员调整，尽量不安排双职工的医务人员同时到一线工作。及时帮助解决生活、就医、照料等方面实际困难，切实解决他们的后顾之忧。</w:t>
      </w:r>
    </w:p>
    <w:p w14:paraId="31E77084">
      <w:pPr>
        <w:numPr>
          <w:ilvl w:val="0"/>
          <w:numId w:val="1"/>
        </w:numPr>
        <w:spacing w:line="360" w:lineRule="auto"/>
        <w:ind w:firstLine="560"/>
      </w:pPr>
      <w:r>
        <w:rPr>
          <w:rFonts w:hint="eastAsia"/>
        </w:rPr>
        <w:t>加强中医药人才培养</w:t>
      </w:r>
    </w:p>
    <w:p w14:paraId="16D45192">
      <w:pPr>
        <w:autoSpaceDE w:val="0"/>
        <w:spacing w:line="600" w:lineRule="exact"/>
        <w:ind w:firstLine="560"/>
        <w:rPr>
          <w:rFonts w:ascii="仿宋_GB2312" w:hAnsi="仿宋" w:cs="宋体"/>
          <w:b/>
          <w:kern w:val="0"/>
          <w:szCs w:val="28"/>
        </w:rPr>
      </w:pPr>
      <w:r>
        <w:rPr>
          <w:rFonts w:hint="eastAsia"/>
        </w:rPr>
        <w:t>为了实现疫情防控工作的制度化管理，医院制定了培训、演练、组织管理、预案管理、物资管理、监测预警、检验检测、信息报告、等工作制度，通过实现工作的制度化管理，不断提升内涵，完善工作机制，确保应急工作协调有序的开展。各科室各部门积极开展了应急知识版面宣传活动，组织全院职工认真学习了应急安全知识，并通过院委会、院周会（主任护士长会）、行政查房、医德医风查房等形式开展疫情防控等安全知识教育，让全院职工掌握了应急常识和应急措施，增强了防控意识和技能。除了对本次疫情进行诊疗系统内培训学习外，还主要对突发公共卫生事件及疫情报告、传染病报告相关知识的培训，内容包括报告内容、报告时限和报告程序等，并进行了培训后测试，取得了较好的培训效果，医务人员基本掌握了突发公共卫生事件报告要求和报告时限，并按照要求开展突发公共卫生事件及疫情报告工作。</w:t>
      </w:r>
    </w:p>
    <w:p w14:paraId="6A4A0ACE">
      <w:pPr>
        <w:pStyle w:val="3"/>
        <w:ind w:firstLine="643"/>
        <w:rPr>
          <w:rFonts w:ascii="仿宋" w:hAnsi="仿宋" w:eastAsia="仿宋"/>
          <w:lang w:bidi="en-US"/>
        </w:rPr>
      </w:pPr>
      <w:bookmarkStart w:id="59" w:name="_Toc165277258"/>
      <w:r>
        <w:rPr>
          <w:rFonts w:hint="eastAsia" w:ascii="仿宋" w:hAnsi="仿宋" w:eastAsia="仿宋"/>
          <w:lang w:bidi="en-US"/>
        </w:rPr>
        <w:t>（二）存在的问题及原因分析</w:t>
      </w:r>
      <w:bookmarkEnd w:id="59"/>
    </w:p>
    <w:p w14:paraId="358D6697">
      <w:pPr>
        <w:spacing w:line="360" w:lineRule="auto"/>
        <w:ind w:firstLine="560"/>
      </w:pPr>
      <w:r>
        <w:rPr>
          <w:rFonts w:ascii="Times New Roman" w:hAnsi="Times New Roman" w:cs="Times New Roman"/>
          <w:szCs w:val="28"/>
        </w:rPr>
        <w:t>1.</w:t>
      </w:r>
      <w:r>
        <w:t>应急处置能力亟待提高，应急人员素质需要加强。</w:t>
      </w:r>
    </w:p>
    <w:p w14:paraId="0CA57BF6">
      <w:pPr>
        <w:spacing w:line="360" w:lineRule="auto"/>
        <w:ind w:firstLine="560"/>
      </w:pPr>
      <w:r>
        <w:t>一是由于疫情防控时间久，工作头绪繁多，不能主动利用业余时间系统深入学习疫情防控文件。二是由于过渡期病人多，人手不足，多注重接诊、救治等工作。</w:t>
      </w:r>
      <w:r>
        <w:rPr>
          <w:rFonts w:hint="eastAsia"/>
        </w:rPr>
        <w:t>进一步提高突发公共卫生事件应急队伍的整体业务素质以及突发事件的应急能力，加强与上级、同级等相关部门的配合、协作，确保各类突发公共卫生事件得到科学预防、及时处理。</w:t>
      </w:r>
    </w:p>
    <w:p w14:paraId="43913C52">
      <w:pPr>
        <w:spacing w:line="360" w:lineRule="auto"/>
        <w:ind w:left="560" w:leftChars="200" w:firstLine="0" w:firstLineChars="0"/>
      </w:pPr>
      <w:r>
        <w:rPr>
          <w:rFonts w:hint="eastAsia"/>
        </w:rPr>
        <w:t>2.完善的内部管理制度，为补助资金的合理使用提供有力保障。</w:t>
      </w:r>
    </w:p>
    <w:p w14:paraId="35C3F938">
      <w:pPr>
        <w:spacing w:line="360" w:lineRule="auto"/>
        <w:ind w:firstLine="0" w:firstLineChars="0"/>
      </w:pPr>
    </w:p>
    <w:p w14:paraId="3A3CB49B">
      <w:pPr>
        <w:spacing w:line="360" w:lineRule="auto"/>
        <w:ind w:firstLine="560"/>
        <w:rPr>
          <w:rFonts w:ascii="仿宋_GB2312" w:hAnsi="仿宋" w:cs="宋体"/>
          <w:kern w:val="0"/>
          <w:szCs w:val="28"/>
        </w:rPr>
      </w:pPr>
      <w:r>
        <w:rPr>
          <w:rFonts w:hint="eastAsia"/>
        </w:rPr>
        <w:t>部分医护人员对补助政策的分配理解不够深入，政策宣传力度不够，医护人员对补助政策的认知度和执行力需提高，并进一步优化资金分配结构，提高资金使用效率。医院信息化管理有待加强，提高数据质量，促进卫生信息共享，提高医疗人员的工作效率。</w:t>
      </w:r>
      <w:r>
        <w:rPr>
          <w:rFonts w:ascii="仿宋_GB2312" w:hAnsi="仿宋" w:cs="宋体"/>
          <w:kern w:val="0"/>
          <w:szCs w:val="28"/>
        </w:rPr>
        <w:t>突出问题导向，在项目执行过程中遇到的目标设定较高或者较低；项目实施的监督管理力度不够；管理制度不健全，遇到的问题无法解决等，据实修改。</w:t>
      </w:r>
    </w:p>
    <w:p w14:paraId="45E9814A">
      <w:pPr>
        <w:pStyle w:val="2"/>
        <w:numPr>
          <w:ilvl w:val="0"/>
          <w:numId w:val="2"/>
        </w:numPr>
        <w:ind w:firstLine="0" w:firstLineChars="0"/>
        <w:jc w:val="left"/>
        <w:rPr>
          <w:rFonts w:ascii="仿宋" w:hAnsi="仿宋" w:eastAsia="仿宋"/>
          <w:sz w:val="36"/>
          <w:szCs w:val="36"/>
          <w:lang w:bidi="en-US"/>
        </w:rPr>
      </w:pPr>
      <w:bookmarkStart w:id="60" w:name="_Toc165277259"/>
      <w:bookmarkStart w:id="61" w:name="_Toc67911620"/>
      <w:bookmarkStart w:id="62" w:name="_Toc67911619"/>
      <w:r>
        <w:rPr>
          <w:rFonts w:hint="eastAsia" w:ascii="仿宋" w:hAnsi="仿宋" w:eastAsia="仿宋"/>
          <w:sz w:val="36"/>
          <w:szCs w:val="36"/>
          <w:lang w:bidi="en-US"/>
        </w:rPr>
        <w:t>有关建议</w:t>
      </w:r>
      <w:bookmarkEnd w:id="60"/>
      <w:bookmarkEnd w:id="61"/>
    </w:p>
    <w:p w14:paraId="07C06760">
      <w:pPr>
        <w:spacing w:line="360" w:lineRule="auto"/>
        <w:ind w:firstLine="560"/>
      </w:pPr>
      <w: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7B4A7D14">
      <w:pPr>
        <w:spacing w:line="360" w:lineRule="auto"/>
        <w:ind w:firstLine="560"/>
      </w:pPr>
    </w:p>
    <w:p w14:paraId="73AD52BC">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14:paraId="5B4BFAD8">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0CE316C0">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7EEC74E6">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504DA1C0">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4D4328E0">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Gungsuh">
    <w:altName w:val="Malgun Gothic"/>
    <w:panose1 w:val="00000000000000000000"/>
    <w:charset w:val="81"/>
    <w:family w:val="roma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308C7">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FA92B">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1720A">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0E0123EC">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12</w:t>
        </w:r>
        <w:r>
          <w:rPr>
            <w:rFonts w:hint="eastAsia" w:ascii="仿宋_GB2312" w:eastAsia="仿宋_GB2312"/>
            <w:sz w:val="21"/>
            <w:szCs w:val="21"/>
          </w:rPr>
          <w:fldChar w:fldCharType="end"/>
        </w:r>
      </w:p>
    </w:sdtContent>
  </w:sdt>
  <w:p w14:paraId="5CCBD313">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7A095F7D">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27</w:t>
        </w:r>
        <w:r>
          <w:rPr>
            <w:rFonts w:hint="eastAsia" w:ascii="仿宋_GB2312" w:eastAsia="仿宋_GB2312"/>
            <w:sz w:val="21"/>
            <w:szCs w:val="21"/>
          </w:rPr>
          <w:fldChar w:fldCharType="end"/>
        </w:r>
      </w:p>
    </w:sdtContent>
  </w:sdt>
  <w:p w14:paraId="54A12D74">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14:paraId="56EE3203">
      <w:pPr>
        <w:pStyle w:val="12"/>
        <w:ind w:firstLine="0" w:firstLineChars="0"/>
        <w:jc w:val="both"/>
        <w:rPr>
          <w:rFonts w:ascii="仿宋_GB2312"/>
        </w:rPr>
      </w:pPr>
      <w:r>
        <w:rPr>
          <w:rStyle w:val="21"/>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14:paraId="0B0190DC">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83C9B">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57407">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7E03E">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94EC2">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65080">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D94B6E"/>
    <w:multiLevelType w:val="singleLevel"/>
    <w:tmpl w:val="91D94B6E"/>
    <w:lvl w:ilvl="0" w:tentative="0">
      <w:start w:val="2"/>
      <w:numFmt w:val="decimal"/>
      <w:lvlText w:val="%1."/>
      <w:lvlJc w:val="left"/>
      <w:pPr>
        <w:tabs>
          <w:tab w:val="left" w:pos="312"/>
        </w:tabs>
      </w:pPr>
    </w:lvl>
  </w:abstractNum>
  <w:abstractNum w:abstractNumId="1">
    <w:nsid w:val="1CFF3E8E"/>
    <w:multiLevelType w:val="singleLevel"/>
    <w:tmpl w:val="1CFF3E8E"/>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NotDisplayPageBoundaries w:val="1"/>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ODQxNDA0MTcwYWY4NTljNDA0MDliYTkyZTlkYTI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0C12"/>
    <w:rsid w:val="001544E6"/>
    <w:rsid w:val="001645EB"/>
    <w:rsid w:val="00187B13"/>
    <w:rsid w:val="001A3189"/>
    <w:rsid w:val="001A79B9"/>
    <w:rsid w:val="001C50BA"/>
    <w:rsid w:val="001D66B5"/>
    <w:rsid w:val="001E754D"/>
    <w:rsid w:val="001E7E9F"/>
    <w:rsid w:val="00201C55"/>
    <w:rsid w:val="00206D17"/>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865C8"/>
    <w:rsid w:val="003C24DB"/>
    <w:rsid w:val="003C4BD9"/>
    <w:rsid w:val="003D611E"/>
    <w:rsid w:val="003D74DE"/>
    <w:rsid w:val="003E75BD"/>
    <w:rsid w:val="003F61E1"/>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C4D82"/>
    <w:rsid w:val="006E6431"/>
    <w:rsid w:val="006F3315"/>
    <w:rsid w:val="007027A1"/>
    <w:rsid w:val="00705854"/>
    <w:rsid w:val="00722A72"/>
    <w:rsid w:val="0073210F"/>
    <w:rsid w:val="00733402"/>
    <w:rsid w:val="0073417E"/>
    <w:rsid w:val="00737F64"/>
    <w:rsid w:val="00743F96"/>
    <w:rsid w:val="0076734C"/>
    <w:rsid w:val="0078063A"/>
    <w:rsid w:val="00783118"/>
    <w:rsid w:val="00794639"/>
    <w:rsid w:val="00797807"/>
    <w:rsid w:val="007A772C"/>
    <w:rsid w:val="007C3F63"/>
    <w:rsid w:val="007F185A"/>
    <w:rsid w:val="007F6051"/>
    <w:rsid w:val="007F6745"/>
    <w:rsid w:val="007F77F3"/>
    <w:rsid w:val="008123C5"/>
    <w:rsid w:val="00831695"/>
    <w:rsid w:val="008327EB"/>
    <w:rsid w:val="00835535"/>
    <w:rsid w:val="00845BE2"/>
    <w:rsid w:val="00863F65"/>
    <w:rsid w:val="008667B9"/>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B3006"/>
    <w:rsid w:val="009D4C5C"/>
    <w:rsid w:val="009E4B7B"/>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566"/>
    <w:rsid w:val="00C10C79"/>
    <w:rsid w:val="00C20C51"/>
    <w:rsid w:val="00C26737"/>
    <w:rsid w:val="00C409B9"/>
    <w:rsid w:val="00C634EC"/>
    <w:rsid w:val="00C6532C"/>
    <w:rsid w:val="00C66545"/>
    <w:rsid w:val="00C8191C"/>
    <w:rsid w:val="00C927D9"/>
    <w:rsid w:val="00C938A0"/>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410B"/>
    <w:rsid w:val="00DD54BF"/>
    <w:rsid w:val="00DF643F"/>
    <w:rsid w:val="00E00B28"/>
    <w:rsid w:val="00E014DB"/>
    <w:rsid w:val="00E04EC2"/>
    <w:rsid w:val="00E14FE5"/>
    <w:rsid w:val="00E24ACA"/>
    <w:rsid w:val="00E26770"/>
    <w:rsid w:val="00E30B1D"/>
    <w:rsid w:val="00E526C7"/>
    <w:rsid w:val="00E73F9C"/>
    <w:rsid w:val="00E75E83"/>
    <w:rsid w:val="00E953FF"/>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44859E2"/>
    <w:rsid w:val="06254E52"/>
    <w:rsid w:val="067C128F"/>
    <w:rsid w:val="090D6978"/>
    <w:rsid w:val="0A073F5D"/>
    <w:rsid w:val="0ECF757B"/>
    <w:rsid w:val="0EEF1B0D"/>
    <w:rsid w:val="1F3A5DE3"/>
    <w:rsid w:val="21C64706"/>
    <w:rsid w:val="25932D26"/>
    <w:rsid w:val="2CBE03BD"/>
    <w:rsid w:val="30655202"/>
    <w:rsid w:val="30E402A4"/>
    <w:rsid w:val="311B7355"/>
    <w:rsid w:val="348A4CBF"/>
    <w:rsid w:val="39926631"/>
    <w:rsid w:val="3AC802EF"/>
    <w:rsid w:val="3AF31810"/>
    <w:rsid w:val="3CE852A0"/>
    <w:rsid w:val="40DE0554"/>
    <w:rsid w:val="431C6A20"/>
    <w:rsid w:val="44564EE1"/>
    <w:rsid w:val="4C453E95"/>
    <w:rsid w:val="4F822D0B"/>
    <w:rsid w:val="5455279C"/>
    <w:rsid w:val="580441CA"/>
    <w:rsid w:val="5B0E10DD"/>
    <w:rsid w:val="5D8E30FA"/>
    <w:rsid w:val="61641B99"/>
    <w:rsid w:val="61A66D2D"/>
    <w:rsid w:val="6388493C"/>
    <w:rsid w:val="65921AA2"/>
    <w:rsid w:val="68C1373C"/>
    <w:rsid w:val="69081FC0"/>
    <w:rsid w:val="6EFB49FA"/>
    <w:rsid w:val="73656420"/>
    <w:rsid w:val="740A314B"/>
    <w:rsid w:val="7BC260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9"/>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autoRedefine/>
    <w:unhideWhenUsed/>
    <w:qFormat/>
    <w:uiPriority w:val="9"/>
    <w:pPr>
      <w:keepNext/>
      <w:keepLines/>
      <w:spacing w:before="260" w:after="260" w:line="416" w:lineRule="auto"/>
      <w:outlineLvl w:val="2"/>
    </w:pPr>
    <w:rPr>
      <w:b/>
      <w:bCs/>
      <w:sz w:val="32"/>
      <w:szCs w:val="3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1"/>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4"/>
    <w:autoRedefine/>
    <w:semiHidden/>
    <w:unhideWhenUsed/>
    <w:qFormat/>
    <w:uiPriority w:val="99"/>
    <w:pPr>
      <w:ind w:left="100" w:leftChars="2500"/>
    </w:pPr>
  </w:style>
  <w:style w:type="paragraph" w:styleId="8">
    <w:name w:val="Balloon Text"/>
    <w:basedOn w:val="1"/>
    <w:link w:val="33"/>
    <w:autoRedefine/>
    <w:semiHidden/>
    <w:unhideWhenUsed/>
    <w:qFormat/>
    <w:uiPriority w:val="99"/>
    <w:rPr>
      <w:sz w:val="18"/>
      <w:szCs w:val="18"/>
    </w:rPr>
  </w:style>
  <w:style w:type="paragraph" w:styleId="9">
    <w:name w:val="footer"/>
    <w:basedOn w:val="1"/>
    <w:link w:val="23"/>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2"/>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6"/>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5">
    <w:name w:val="annotation subject"/>
    <w:basedOn w:val="5"/>
    <w:next w:val="5"/>
    <w:link w:val="32"/>
    <w:autoRedefine/>
    <w:semiHidden/>
    <w:unhideWhenUsed/>
    <w:qFormat/>
    <w:uiPriority w:val="99"/>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Hyperlink"/>
    <w:basedOn w:val="18"/>
    <w:autoRedefine/>
    <w:unhideWhenUsed/>
    <w:qFormat/>
    <w:uiPriority w:val="99"/>
    <w:rPr>
      <w:color w:val="0563C1" w:themeColor="hyperlink"/>
      <w:u w:val="single"/>
      <w14:textFill>
        <w14:solidFill>
          <w14:schemeClr w14:val="hlink"/>
        </w14:solidFill>
      </w14:textFill>
    </w:rPr>
  </w:style>
  <w:style w:type="character" w:styleId="20">
    <w:name w:val="annotation reference"/>
    <w:basedOn w:val="18"/>
    <w:autoRedefine/>
    <w:semiHidden/>
    <w:unhideWhenUsed/>
    <w:qFormat/>
    <w:uiPriority w:val="99"/>
    <w:rPr>
      <w:sz w:val="21"/>
      <w:szCs w:val="21"/>
    </w:rPr>
  </w:style>
  <w:style w:type="character" w:styleId="21">
    <w:name w:val="footnote reference"/>
    <w:basedOn w:val="18"/>
    <w:autoRedefine/>
    <w:semiHidden/>
    <w:unhideWhenUsed/>
    <w:qFormat/>
    <w:uiPriority w:val="99"/>
    <w:rPr>
      <w:vertAlign w:val="superscript"/>
    </w:rPr>
  </w:style>
  <w:style w:type="character" w:customStyle="1" w:styleId="22">
    <w:name w:val="页眉 Char"/>
    <w:basedOn w:val="18"/>
    <w:link w:val="10"/>
    <w:autoRedefine/>
    <w:qFormat/>
    <w:uiPriority w:val="99"/>
    <w:rPr>
      <w:sz w:val="18"/>
      <w:szCs w:val="18"/>
    </w:rPr>
  </w:style>
  <w:style w:type="character" w:customStyle="1" w:styleId="23">
    <w:name w:val="页脚 Char"/>
    <w:basedOn w:val="18"/>
    <w:link w:val="9"/>
    <w:autoRedefine/>
    <w:qFormat/>
    <w:uiPriority w:val="99"/>
    <w:rPr>
      <w:sz w:val="18"/>
      <w:szCs w:val="18"/>
    </w:rPr>
  </w:style>
  <w:style w:type="character" w:customStyle="1" w:styleId="24">
    <w:name w:val="日期 Char"/>
    <w:basedOn w:val="18"/>
    <w:link w:val="7"/>
    <w:autoRedefine/>
    <w:semiHidden/>
    <w:qFormat/>
    <w:uiPriority w:val="99"/>
    <w:rPr>
      <w:rFonts w:ascii="Calibri" w:hAnsi="Calibri" w:eastAsia="仿宋_GB2312" w:cs="黑体"/>
      <w:sz w:val="28"/>
    </w:rPr>
  </w:style>
  <w:style w:type="character" w:customStyle="1" w:styleId="25">
    <w:name w:val="标题 2 Char"/>
    <w:basedOn w:val="18"/>
    <w:link w:val="3"/>
    <w:autoRedefine/>
    <w:qFormat/>
    <w:uiPriority w:val="9"/>
    <w:rPr>
      <w:rFonts w:asciiTheme="majorHAnsi" w:hAnsiTheme="majorHAnsi" w:eastAsiaTheme="majorEastAsia" w:cstheme="majorBidi"/>
      <w:b/>
      <w:bCs/>
      <w:sz w:val="32"/>
      <w:szCs w:val="32"/>
    </w:rPr>
  </w:style>
  <w:style w:type="character" w:customStyle="1" w:styleId="26">
    <w:name w:val="脚注文本 Char"/>
    <w:basedOn w:val="18"/>
    <w:link w:val="12"/>
    <w:autoRedefine/>
    <w:semiHidden/>
    <w:qFormat/>
    <w:uiPriority w:val="99"/>
    <w:rPr>
      <w:rFonts w:ascii="Calibri" w:hAnsi="Calibri" w:eastAsia="仿宋_GB2312" w:cs="黑体"/>
      <w:sz w:val="18"/>
      <w:szCs w:val="18"/>
    </w:rPr>
  </w:style>
  <w:style w:type="paragraph" w:styleId="27">
    <w:name w:val="List Paragraph"/>
    <w:basedOn w:val="1"/>
    <w:autoRedefine/>
    <w:qFormat/>
    <w:uiPriority w:val="34"/>
    <w:pPr>
      <w:ind w:firstLine="420"/>
    </w:pPr>
  </w:style>
  <w:style w:type="table" w:customStyle="1" w:styleId="28">
    <w:name w:val="网格型1"/>
    <w:basedOn w:val="1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9">
    <w:name w:val="标题 1 Char"/>
    <w:basedOn w:val="18"/>
    <w:link w:val="2"/>
    <w:qFormat/>
    <w:uiPriority w:val="9"/>
    <w:rPr>
      <w:rFonts w:ascii="Calibri" w:hAnsi="Calibri" w:eastAsia="仿宋_GB2312" w:cs="黑体"/>
      <w:b/>
      <w:bCs/>
      <w:kern w:val="44"/>
      <w:sz w:val="44"/>
      <w:szCs w:val="44"/>
    </w:rPr>
  </w:style>
  <w:style w:type="paragraph" w:customStyle="1" w:styleId="30">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1">
    <w:name w:val="批注文字 Char"/>
    <w:basedOn w:val="18"/>
    <w:link w:val="5"/>
    <w:autoRedefine/>
    <w:qFormat/>
    <w:uiPriority w:val="99"/>
    <w:rPr>
      <w:rFonts w:ascii="Calibri" w:hAnsi="Calibri" w:eastAsia="仿宋_GB2312" w:cs="黑体"/>
      <w:sz w:val="28"/>
    </w:rPr>
  </w:style>
  <w:style w:type="character" w:customStyle="1" w:styleId="32">
    <w:name w:val="批注主题 Char"/>
    <w:basedOn w:val="31"/>
    <w:link w:val="15"/>
    <w:semiHidden/>
    <w:qFormat/>
    <w:uiPriority w:val="99"/>
    <w:rPr>
      <w:rFonts w:ascii="Calibri" w:hAnsi="Calibri" w:eastAsia="仿宋_GB2312" w:cs="黑体"/>
      <w:b/>
      <w:bCs/>
      <w:sz w:val="28"/>
    </w:rPr>
  </w:style>
  <w:style w:type="character" w:customStyle="1" w:styleId="33">
    <w:name w:val="批注框文本 Char"/>
    <w:basedOn w:val="18"/>
    <w:link w:val="8"/>
    <w:autoRedefine/>
    <w:semiHidden/>
    <w:qFormat/>
    <w:uiPriority w:val="99"/>
    <w:rPr>
      <w:rFonts w:ascii="Calibri" w:hAnsi="Calibri" w:eastAsia="仿宋_GB2312" w:cs="黑体"/>
      <w:sz w:val="18"/>
      <w:szCs w:val="18"/>
    </w:rPr>
  </w:style>
  <w:style w:type="character" w:customStyle="1" w:styleId="34">
    <w:name w:val="标题 3 Char"/>
    <w:basedOn w:val="18"/>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12437</Words>
  <Characters>12993</Characters>
  <Lines>115</Lines>
  <Paragraphs>32</Paragraphs>
  <TotalTime>55</TotalTime>
  <ScaleCrop>false</ScaleCrop>
  <LinksUpToDate>false</LinksUpToDate>
  <CharactersWithSpaces>13133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  刘文武贝</cp:lastModifiedBy>
  <cp:lastPrinted>2023-04-11T02:57:00Z</cp:lastPrinted>
  <dcterms:modified xsi:type="dcterms:W3CDTF">2024-12-19T03:05:34Z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1DE60121429D41A796E31CED718DA316_12</vt:lpwstr>
  </property>
  <property fmtid="{D5CDD505-2E9C-101B-9397-08002B2CF9AE}" pid="4" name="KSOTemplateDocerSaveRecord">
    <vt:lpwstr>eyJoZGlkIjoiMzYxMjlhNDBmMDQ5M2Q1ZDgyNjFmMGIwZjk4MDk2MzgiLCJ1c2VySWQiOiIzNzI2MDMzNTYifQ==</vt:lpwstr>
  </property>
</Properties>
</file>