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75EF68">
      <w:pPr>
        <w:spacing w:line="480" w:lineRule="auto"/>
        <w:ind w:firstLine="0" w:firstLineChars="0"/>
        <w:rPr>
          <w:rFonts w:ascii="Times New Roman" w:hAnsi="Times New Roman" w:eastAsia="黑体" w:cs="Times New Roman"/>
          <w:b/>
          <w:kern w:val="0"/>
          <w:sz w:val="50"/>
          <w:szCs w:val="50"/>
          <w:lang w:bidi="en-US"/>
        </w:rPr>
      </w:pPr>
    </w:p>
    <w:p w14:paraId="43C402D7">
      <w:pPr>
        <w:spacing w:line="480" w:lineRule="auto"/>
        <w:ind w:firstLine="0" w:firstLineChars="0"/>
        <w:rPr>
          <w:rFonts w:ascii="Times New Roman" w:hAnsi="Times New Roman" w:eastAsia="黑体" w:cs="Times New Roman"/>
          <w:b/>
          <w:kern w:val="0"/>
          <w:sz w:val="50"/>
          <w:szCs w:val="50"/>
          <w:lang w:bidi="en-US"/>
        </w:rPr>
      </w:pPr>
    </w:p>
    <w:p w14:paraId="5048738D">
      <w:pPr>
        <w:spacing w:line="480" w:lineRule="auto"/>
        <w:ind w:firstLine="0" w:firstLineChars="0"/>
        <w:jc w:val="center"/>
        <w:rPr>
          <w:rFonts w:ascii="Times New Roman" w:hAnsi="Times New Roman" w:eastAsia="黑体" w:cs="Times New Roman"/>
          <w:b/>
          <w:kern w:val="0"/>
          <w:sz w:val="50"/>
          <w:szCs w:val="50"/>
          <w:lang w:bidi="en-US"/>
        </w:rPr>
      </w:pPr>
    </w:p>
    <w:p w14:paraId="30094010">
      <w:pPr>
        <w:spacing w:before="120" w:after="120" w:line="480" w:lineRule="auto"/>
        <w:ind w:firstLine="0" w:firstLineChars="0"/>
        <w:jc w:val="center"/>
        <w:rPr>
          <w:rFonts w:ascii="仿宋_GB2312" w:hAnsi="Arial"/>
          <w:b/>
          <w:sz w:val="44"/>
          <w:szCs w:val="44"/>
        </w:rPr>
      </w:pPr>
      <w:r>
        <w:rPr>
          <w:rFonts w:hint="eastAsia" w:ascii="仿宋_GB2312" w:hAnsi="Arial"/>
          <w:b/>
          <w:sz w:val="44"/>
          <w:szCs w:val="44"/>
        </w:rPr>
        <w:t>财政项目支出绩效评价报告</w:t>
      </w:r>
    </w:p>
    <w:p w14:paraId="22D5AE6E">
      <w:pPr>
        <w:spacing w:line="480" w:lineRule="auto"/>
        <w:ind w:firstLine="0" w:firstLineChars="0"/>
        <w:jc w:val="center"/>
        <w:rPr>
          <w:rFonts w:ascii="Times New Roman" w:hAnsi="Times New Roman" w:eastAsia="黑体" w:cs="Times New Roman"/>
          <w:b/>
          <w:kern w:val="0"/>
          <w:sz w:val="50"/>
          <w:szCs w:val="50"/>
          <w:lang w:bidi="en-US"/>
        </w:rPr>
      </w:pPr>
    </w:p>
    <w:p w14:paraId="610A30E0">
      <w:pPr>
        <w:spacing w:line="480" w:lineRule="auto"/>
        <w:ind w:firstLine="0" w:firstLineChars="0"/>
        <w:jc w:val="center"/>
        <w:rPr>
          <w:rFonts w:ascii="Times New Roman" w:hAnsi="Times New Roman" w:eastAsia="黑体" w:cs="Times New Roman"/>
          <w:b/>
          <w:kern w:val="0"/>
          <w:sz w:val="50"/>
          <w:szCs w:val="50"/>
          <w:lang w:bidi="en-US"/>
        </w:rPr>
      </w:pPr>
    </w:p>
    <w:p w14:paraId="27717BD8">
      <w:pPr>
        <w:spacing w:line="480" w:lineRule="auto"/>
        <w:ind w:firstLine="0" w:firstLineChars="0"/>
        <w:jc w:val="center"/>
        <w:rPr>
          <w:rFonts w:ascii="Times New Roman" w:hAnsi="Times New Roman" w:eastAsia="黑体" w:cs="Times New Roman"/>
          <w:b/>
          <w:kern w:val="0"/>
          <w:sz w:val="50"/>
          <w:szCs w:val="50"/>
          <w:lang w:bidi="en-US"/>
        </w:rPr>
      </w:pPr>
    </w:p>
    <w:p w14:paraId="0EA3151D">
      <w:pPr>
        <w:spacing w:line="480" w:lineRule="auto"/>
        <w:ind w:firstLine="0" w:firstLineChars="0"/>
        <w:jc w:val="center"/>
        <w:rPr>
          <w:rFonts w:ascii="Times New Roman" w:hAnsi="Times New Roman" w:eastAsia="黑体" w:cs="Times New Roman"/>
          <w:b/>
          <w:kern w:val="0"/>
          <w:sz w:val="50"/>
          <w:szCs w:val="50"/>
          <w:lang w:bidi="en-US"/>
        </w:rPr>
      </w:pPr>
    </w:p>
    <w:p w14:paraId="4E11AE06">
      <w:pPr>
        <w:spacing w:line="480" w:lineRule="auto"/>
        <w:ind w:firstLine="0" w:firstLineChars="0"/>
        <w:jc w:val="center"/>
        <w:rPr>
          <w:rFonts w:ascii="Times New Roman" w:hAnsi="Times New Roman" w:eastAsia="黑体" w:cs="Times New Roman"/>
          <w:b/>
          <w:kern w:val="0"/>
          <w:sz w:val="50"/>
          <w:szCs w:val="50"/>
          <w:lang w:bidi="en-US"/>
        </w:rPr>
      </w:pPr>
    </w:p>
    <w:p w14:paraId="540D1381">
      <w:pPr>
        <w:spacing w:line="480" w:lineRule="auto"/>
        <w:ind w:firstLine="0" w:firstLineChars="0"/>
        <w:jc w:val="center"/>
        <w:rPr>
          <w:rFonts w:ascii="Times New Roman" w:hAnsi="Times New Roman" w:eastAsia="黑体" w:cs="Times New Roman"/>
          <w:b/>
          <w:kern w:val="0"/>
          <w:sz w:val="50"/>
          <w:szCs w:val="50"/>
          <w:lang w:bidi="en-US"/>
        </w:rPr>
      </w:pPr>
    </w:p>
    <w:p w14:paraId="76E91F74">
      <w:pPr>
        <w:spacing w:line="480" w:lineRule="auto"/>
        <w:ind w:firstLine="0" w:firstLineChars="0"/>
        <w:jc w:val="center"/>
        <w:rPr>
          <w:rFonts w:ascii="仿宋_GB2312" w:hAnsi="Times New Roman" w:cs="Times New Roman"/>
          <w:kern w:val="0"/>
          <w:sz w:val="30"/>
          <w:szCs w:val="30"/>
          <w:lang w:bidi="en-US"/>
        </w:rPr>
      </w:pPr>
    </w:p>
    <w:p w14:paraId="1A4F7C33">
      <w:pPr>
        <w:spacing w:line="480" w:lineRule="auto"/>
        <w:ind w:firstLine="320" w:firstLineChars="100"/>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项目名称：医疗设备、总务后勤保障及信息化建设项目</w:t>
      </w:r>
      <w:r>
        <w:rPr>
          <w:rFonts w:ascii="仿宋_GB2312" w:hAnsi="Times New Roman" w:cs="Times New Roman"/>
          <w:kern w:val="0"/>
          <w:sz w:val="32"/>
          <w:szCs w:val="32"/>
          <w:lang w:bidi="en-US"/>
        </w:rPr>
        <w:t xml:space="preserve"> </w:t>
      </w:r>
    </w:p>
    <w:p w14:paraId="76169FCB">
      <w:pPr>
        <w:spacing w:line="480" w:lineRule="auto"/>
        <w:ind w:left="280" w:leftChars="100" w:firstLine="1091" w:firstLineChars="3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项目单位：乌鲁木齐市中医医院</w:t>
      </w:r>
    </w:p>
    <w:p w14:paraId="0AE60C87">
      <w:pPr>
        <w:spacing w:line="480" w:lineRule="auto"/>
        <w:ind w:left="280" w:leftChars="100" w:firstLine="1091" w:firstLineChars="3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主管部门：乌鲁木齐市卫生健康委员会</w:t>
      </w:r>
    </w:p>
    <w:p w14:paraId="15FC212F">
      <w:pPr>
        <w:spacing w:line="480" w:lineRule="auto"/>
        <w:ind w:firstLine="1411" w:firstLineChars="441"/>
        <w:jc w:val="left"/>
        <w:rPr>
          <w:rFonts w:ascii="仿宋_GB2312" w:hAnsi="Times New Roman" w:cs="Times New Roman"/>
          <w:kern w:val="0"/>
          <w:sz w:val="32"/>
          <w:szCs w:val="32"/>
          <w:lang w:bidi="en-US"/>
        </w:rPr>
      </w:pPr>
    </w:p>
    <w:p w14:paraId="5E69D089">
      <w:pPr>
        <w:spacing w:line="480" w:lineRule="auto"/>
        <w:ind w:firstLine="0" w:firstLineChars="0"/>
        <w:rPr>
          <w:rFonts w:ascii="黑体" w:hAnsi="Times New Roman" w:eastAsia="黑体" w:cs="Times New Roman"/>
          <w:b/>
          <w:kern w:val="0"/>
          <w:sz w:val="32"/>
          <w:szCs w:val="32"/>
          <w:lang w:bidi="en-US"/>
        </w:rPr>
      </w:pPr>
    </w:p>
    <w:p w14:paraId="5E9F5BD3">
      <w:pPr>
        <w:spacing w:line="480" w:lineRule="auto"/>
        <w:ind w:firstLine="0" w:firstLineChars="0"/>
        <w:rPr>
          <w:rFonts w:ascii="黑体" w:hAnsi="Times New Roman" w:eastAsia="黑体" w:cs="Times New Roman"/>
          <w:b/>
          <w:kern w:val="0"/>
          <w:sz w:val="32"/>
          <w:szCs w:val="32"/>
          <w:lang w:bidi="en-US"/>
        </w:rPr>
      </w:pPr>
    </w:p>
    <w:p w14:paraId="1E1E2A58">
      <w:pPr>
        <w:spacing w:line="480" w:lineRule="auto"/>
        <w:ind w:firstLine="0" w:firstLineChars="0"/>
        <w:jc w:val="center"/>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2023年0</w:t>
      </w:r>
      <w:r>
        <w:rPr>
          <w:rFonts w:ascii="仿宋_GB2312" w:hAnsi="Times New Roman" w:cs="Times New Roman"/>
          <w:kern w:val="0"/>
          <w:sz w:val="32"/>
          <w:szCs w:val="32"/>
          <w:lang w:bidi="en-US"/>
        </w:rPr>
        <w:t>4</w:t>
      </w:r>
      <w:r>
        <w:rPr>
          <w:rFonts w:hint="eastAsia" w:ascii="仿宋_GB2312" w:hAnsi="Times New Roman" w:cs="Times New Roman"/>
          <w:kern w:val="0"/>
          <w:sz w:val="32"/>
          <w:szCs w:val="32"/>
          <w:lang w:bidi="en-US"/>
        </w:rPr>
        <w:t>月</w:t>
      </w:r>
    </w:p>
    <w:p w14:paraId="5F05101E">
      <w:pPr>
        <w:spacing w:line="480" w:lineRule="auto"/>
        <w:ind w:firstLine="0" w:firstLineChars="0"/>
        <w:jc w:val="center"/>
        <w:rPr>
          <w:rFonts w:ascii="仿宋_GB2312" w:hAnsi="Times New Roman" w:cs="Times New Roman"/>
          <w:kern w:val="0"/>
          <w:sz w:val="32"/>
          <w:szCs w:val="32"/>
          <w:lang w:bidi="en-US"/>
        </w:rPr>
      </w:pPr>
    </w:p>
    <w:p w14:paraId="4E3DD51F">
      <w:pPr>
        <w:tabs>
          <w:tab w:val="left" w:pos="3324"/>
        </w:tabs>
        <w:spacing w:line="480" w:lineRule="auto"/>
        <w:ind w:firstLine="0" w:firstLineChars="0"/>
        <w:rPr>
          <w:rFonts w:ascii="仿宋_GB2312" w:hAnsi="Times New Roman" w:cs="Times New Roman"/>
          <w:kern w:val="0"/>
          <w:sz w:val="32"/>
          <w:szCs w:val="32"/>
          <w:lang w:bidi="en-US"/>
        </w:rPr>
      </w:pPr>
      <w:r>
        <w:rPr>
          <w:rFonts w:ascii="仿宋_GB2312" w:hAnsi="Times New Roman" w:cs="Times New Roman"/>
          <w:kern w:val="0"/>
          <w:sz w:val="32"/>
          <w:szCs w:val="32"/>
          <w:lang w:bidi="en-US"/>
        </w:rPr>
        <w:tab/>
      </w:r>
    </w:p>
    <w:p w14:paraId="12A8A300">
      <w:pPr>
        <w:ind w:firstLine="640"/>
        <w:rPr>
          <w:rFonts w:ascii="仿宋_GB2312" w:hAnsi="Times New Roman" w:cs="Times New Roman"/>
          <w:kern w:val="0"/>
          <w:sz w:val="32"/>
          <w:szCs w:val="32"/>
          <w:lang w:bidi="en-US"/>
        </w:rPr>
      </w:pPr>
    </w:p>
    <w:p w14:paraId="44065A28">
      <w:pPr>
        <w:pStyle w:val="21"/>
        <w:ind w:firstLine="560"/>
        <w:jc w:val="center"/>
        <w:rPr>
          <w:color w:val="auto"/>
        </w:rPr>
      </w:pPr>
      <w:r>
        <w:rPr>
          <w:color w:val="auto"/>
          <w:lang w:val="zh-CN"/>
        </w:rPr>
        <w:t>目录</w:t>
      </w:r>
    </w:p>
    <w:p w14:paraId="343B7797">
      <w:pPr>
        <w:pStyle w:val="11"/>
        <w:tabs>
          <w:tab w:val="right" w:leader="dot" w:pos="8296"/>
        </w:tabs>
        <w:ind w:firstLine="560"/>
        <w:rPr>
          <w:rFonts w:ascii="等线" w:hAnsi="等线" w:eastAsia="等线"/>
          <w:sz w:val="21"/>
        </w:rPr>
      </w:pPr>
      <w:r>
        <w:fldChar w:fldCharType="begin"/>
      </w:r>
      <w:r>
        <w:instrText xml:space="preserve"> TOC \o "1-3" \h \z \u </w:instrText>
      </w:r>
      <w:r>
        <w:fldChar w:fldCharType="separate"/>
      </w:r>
      <w:r>
        <w:fldChar w:fldCharType="begin"/>
      </w:r>
      <w:r>
        <w:instrText xml:space="preserve"> HYPERLINK \l "_Toc165277220" </w:instrText>
      </w:r>
      <w:r>
        <w:fldChar w:fldCharType="separate"/>
      </w:r>
      <w:r>
        <w:rPr>
          <w:rStyle w:val="17"/>
          <w:rFonts w:hint="eastAsia" w:ascii="仿宋" w:hAnsi="仿宋" w:eastAsia="仿宋"/>
          <w:lang w:bidi="en-US"/>
        </w:rPr>
        <w:t>一、基本情况</w:t>
      </w:r>
      <w:r>
        <w:tab/>
      </w:r>
      <w:r>
        <w:fldChar w:fldCharType="begin"/>
      </w:r>
      <w:r>
        <w:instrText xml:space="preserve"> PAGEREF _Toc165277220 \h </w:instrText>
      </w:r>
      <w:r>
        <w:fldChar w:fldCharType="separate"/>
      </w:r>
      <w:r>
        <w:t>1</w:t>
      </w:r>
      <w:r>
        <w:fldChar w:fldCharType="end"/>
      </w:r>
      <w:r>
        <w:fldChar w:fldCharType="end"/>
      </w:r>
      <w:bookmarkStart w:id="63" w:name="_GoBack"/>
      <w:bookmarkEnd w:id="63"/>
    </w:p>
    <w:p w14:paraId="3E5260F4">
      <w:pPr>
        <w:pStyle w:val="13"/>
        <w:tabs>
          <w:tab w:val="right" w:leader="dot" w:pos="8296"/>
        </w:tabs>
        <w:ind w:left="560" w:firstLine="560"/>
        <w:rPr>
          <w:rFonts w:ascii="等线" w:hAnsi="等线" w:eastAsia="等线"/>
          <w:sz w:val="21"/>
        </w:rPr>
      </w:pPr>
      <w:r>
        <w:fldChar w:fldCharType="begin"/>
      </w:r>
      <w:r>
        <w:instrText xml:space="preserve"> HYPERLINK \l "_Toc165277221" </w:instrText>
      </w:r>
      <w:r>
        <w:fldChar w:fldCharType="separate"/>
      </w:r>
      <w:r>
        <w:rPr>
          <w:rStyle w:val="17"/>
          <w:rFonts w:hint="eastAsia" w:ascii="仿宋" w:hAnsi="仿宋" w:eastAsia="仿宋"/>
          <w:lang w:bidi="en-US"/>
        </w:rPr>
        <w:t>（一）项目概况：</w:t>
      </w:r>
      <w:r>
        <w:tab/>
      </w:r>
      <w:r>
        <w:fldChar w:fldCharType="begin"/>
      </w:r>
      <w:r>
        <w:instrText xml:space="preserve"> PAGEREF _Toc165277221 \h </w:instrText>
      </w:r>
      <w:r>
        <w:fldChar w:fldCharType="separate"/>
      </w:r>
      <w:r>
        <w:t>1</w:t>
      </w:r>
      <w:r>
        <w:fldChar w:fldCharType="end"/>
      </w:r>
      <w:r>
        <w:fldChar w:fldCharType="end"/>
      </w:r>
    </w:p>
    <w:p w14:paraId="0A556888">
      <w:pPr>
        <w:pStyle w:val="6"/>
        <w:tabs>
          <w:tab w:val="right" w:leader="dot" w:pos="8296"/>
        </w:tabs>
        <w:ind w:left="1120" w:firstLine="560"/>
        <w:rPr>
          <w:rFonts w:ascii="等线" w:hAnsi="等线" w:eastAsia="等线"/>
          <w:sz w:val="21"/>
        </w:rPr>
      </w:pPr>
      <w:r>
        <w:fldChar w:fldCharType="begin"/>
      </w:r>
      <w:r>
        <w:instrText xml:space="preserve"> HYPERLINK \l "_Toc165277222" </w:instrText>
      </w:r>
      <w:r>
        <w:fldChar w:fldCharType="separate"/>
      </w:r>
      <w:r>
        <w:rPr>
          <w:rStyle w:val="17"/>
        </w:rPr>
        <w:t>1</w:t>
      </w:r>
      <w:r>
        <w:rPr>
          <w:rStyle w:val="17"/>
          <w:rFonts w:hint="eastAsia"/>
        </w:rPr>
        <w:t>．项目背景、主要内容及实施情况</w:t>
      </w:r>
      <w:r>
        <w:tab/>
      </w:r>
      <w:r>
        <w:fldChar w:fldCharType="begin"/>
      </w:r>
      <w:r>
        <w:instrText xml:space="preserve"> PAGEREF _Toc165277222 \h </w:instrText>
      </w:r>
      <w:r>
        <w:fldChar w:fldCharType="separate"/>
      </w:r>
      <w:r>
        <w:t>1</w:t>
      </w:r>
      <w:r>
        <w:fldChar w:fldCharType="end"/>
      </w:r>
      <w:r>
        <w:fldChar w:fldCharType="end"/>
      </w:r>
    </w:p>
    <w:p w14:paraId="0D29A12A">
      <w:pPr>
        <w:pStyle w:val="6"/>
        <w:tabs>
          <w:tab w:val="right" w:leader="dot" w:pos="8296"/>
        </w:tabs>
        <w:ind w:left="1120" w:firstLine="560"/>
        <w:rPr>
          <w:rFonts w:ascii="等线" w:hAnsi="等线" w:eastAsia="等线"/>
          <w:sz w:val="21"/>
        </w:rPr>
      </w:pPr>
      <w:r>
        <w:fldChar w:fldCharType="begin"/>
      </w:r>
      <w:r>
        <w:instrText xml:space="preserve"> HYPERLINK \l "_Toc165277223" </w:instrText>
      </w:r>
      <w:r>
        <w:fldChar w:fldCharType="separate"/>
      </w:r>
      <w:r>
        <w:rPr>
          <w:rStyle w:val="17"/>
        </w:rPr>
        <w:t>2.</w:t>
      </w:r>
      <w:r>
        <w:rPr>
          <w:rStyle w:val="17"/>
          <w:rFonts w:hint="eastAsia"/>
        </w:rPr>
        <w:t>资金投入和使用情况</w:t>
      </w:r>
      <w:r>
        <w:tab/>
      </w:r>
      <w:r>
        <w:fldChar w:fldCharType="begin"/>
      </w:r>
      <w:r>
        <w:instrText xml:space="preserve"> PAGEREF _Toc165277223 \h </w:instrText>
      </w:r>
      <w:r>
        <w:fldChar w:fldCharType="separate"/>
      </w:r>
      <w:r>
        <w:t>1</w:t>
      </w:r>
      <w:r>
        <w:fldChar w:fldCharType="end"/>
      </w:r>
      <w:r>
        <w:fldChar w:fldCharType="end"/>
      </w:r>
    </w:p>
    <w:p w14:paraId="21BB168B">
      <w:pPr>
        <w:pStyle w:val="13"/>
        <w:tabs>
          <w:tab w:val="right" w:leader="dot" w:pos="8296"/>
        </w:tabs>
        <w:ind w:left="560" w:firstLine="560"/>
        <w:rPr>
          <w:rFonts w:ascii="等线" w:hAnsi="等线" w:eastAsia="等线"/>
          <w:sz w:val="21"/>
        </w:rPr>
      </w:pPr>
      <w:r>
        <w:fldChar w:fldCharType="begin"/>
      </w:r>
      <w:r>
        <w:instrText xml:space="preserve"> HYPERLINK \l "_Toc165277224" </w:instrText>
      </w:r>
      <w:r>
        <w:fldChar w:fldCharType="separate"/>
      </w:r>
      <w:r>
        <w:rPr>
          <w:rStyle w:val="17"/>
          <w:rFonts w:hint="eastAsia" w:ascii="仿宋" w:hAnsi="仿宋" w:eastAsia="仿宋"/>
          <w:lang w:bidi="en-US"/>
        </w:rPr>
        <w:t>（二）项目绩效目标：</w:t>
      </w:r>
      <w:r>
        <w:tab/>
      </w:r>
      <w:r>
        <w:fldChar w:fldCharType="begin"/>
      </w:r>
      <w:r>
        <w:instrText xml:space="preserve"> PAGEREF _Toc165277224 \h </w:instrText>
      </w:r>
      <w:r>
        <w:fldChar w:fldCharType="separate"/>
      </w:r>
      <w:r>
        <w:t>2</w:t>
      </w:r>
      <w:r>
        <w:fldChar w:fldCharType="end"/>
      </w:r>
      <w:r>
        <w:fldChar w:fldCharType="end"/>
      </w:r>
    </w:p>
    <w:p w14:paraId="570E49E4">
      <w:pPr>
        <w:pStyle w:val="11"/>
        <w:tabs>
          <w:tab w:val="right" w:leader="dot" w:pos="8296"/>
        </w:tabs>
        <w:ind w:firstLine="560"/>
        <w:rPr>
          <w:rFonts w:ascii="等线" w:hAnsi="等线" w:eastAsia="等线"/>
          <w:sz w:val="21"/>
        </w:rPr>
      </w:pPr>
      <w:r>
        <w:fldChar w:fldCharType="begin"/>
      </w:r>
      <w:r>
        <w:instrText xml:space="preserve"> HYPERLINK \l "_Toc165277225" </w:instrText>
      </w:r>
      <w:r>
        <w:fldChar w:fldCharType="separate"/>
      </w:r>
      <w:r>
        <w:rPr>
          <w:rStyle w:val="17"/>
          <w:rFonts w:hint="eastAsia" w:ascii="仿宋" w:hAnsi="仿宋" w:eastAsia="仿宋"/>
          <w:lang w:bidi="en-US"/>
        </w:rPr>
        <w:t>二、绩效评价工作开展情况</w:t>
      </w:r>
      <w:r>
        <w:tab/>
      </w:r>
      <w:r>
        <w:fldChar w:fldCharType="begin"/>
      </w:r>
      <w:r>
        <w:instrText xml:space="preserve"> PAGEREF _Toc165277225 \h </w:instrText>
      </w:r>
      <w:r>
        <w:fldChar w:fldCharType="separate"/>
      </w:r>
      <w:r>
        <w:t>3</w:t>
      </w:r>
      <w:r>
        <w:fldChar w:fldCharType="end"/>
      </w:r>
      <w:r>
        <w:fldChar w:fldCharType="end"/>
      </w:r>
    </w:p>
    <w:p w14:paraId="51F4126F">
      <w:pPr>
        <w:pStyle w:val="13"/>
        <w:tabs>
          <w:tab w:val="right" w:leader="dot" w:pos="8296"/>
        </w:tabs>
        <w:ind w:left="560" w:firstLine="560"/>
        <w:rPr>
          <w:rFonts w:ascii="等线" w:hAnsi="等线" w:eastAsia="等线"/>
          <w:sz w:val="21"/>
        </w:rPr>
      </w:pPr>
      <w:r>
        <w:fldChar w:fldCharType="begin"/>
      </w:r>
      <w:r>
        <w:instrText xml:space="preserve"> HYPERLINK \l "_Toc165277226" </w:instrText>
      </w:r>
      <w:r>
        <w:fldChar w:fldCharType="separate"/>
      </w:r>
      <w:r>
        <w:rPr>
          <w:rStyle w:val="17"/>
          <w:rFonts w:hint="eastAsia" w:ascii="仿宋" w:hAnsi="仿宋" w:eastAsia="仿宋"/>
          <w:lang w:bidi="en-US"/>
        </w:rPr>
        <w:t>（一）绩效评价目的、对象和范围</w:t>
      </w:r>
      <w:r>
        <w:tab/>
      </w:r>
      <w:r>
        <w:fldChar w:fldCharType="begin"/>
      </w:r>
      <w:r>
        <w:instrText xml:space="preserve"> PAGEREF _Toc165277226 \h </w:instrText>
      </w:r>
      <w:r>
        <w:fldChar w:fldCharType="separate"/>
      </w:r>
      <w:r>
        <w:t>3</w:t>
      </w:r>
      <w:r>
        <w:fldChar w:fldCharType="end"/>
      </w:r>
      <w:r>
        <w:fldChar w:fldCharType="end"/>
      </w:r>
    </w:p>
    <w:p w14:paraId="2550F87C">
      <w:pPr>
        <w:pStyle w:val="6"/>
        <w:tabs>
          <w:tab w:val="right" w:leader="dot" w:pos="8296"/>
        </w:tabs>
        <w:ind w:left="1120" w:firstLine="560"/>
        <w:rPr>
          <w:rFonts w:ascii="等线" w:hAnsi="等线" w:eastAsia="等线"/>
          <w:sz w:val="21"/>
        </w:rPr>
      </w:pPr>
      <w:r>
        <w:fldChar w:fldCharType="begin"/>
      </w:r>
      <w:r>
        <w:instrText xml:space="preserve"> HYPERLINK \l "_Toc165277227" </w:instrText>
      </w:r>
      <w:r>
        <w:fldChar w:fldCharType="separate"/>
      </w:r>
      <w:r>
        <w:rPr>
          <w:rStyle w:val="17"/>
        </w:rPr>
        <w:t>1.</w:t>
      </w:r>
      <w:r>
        <w:rPr>
          <w:rStyle w:val="17"/>
          <w:rFonts w:hint="eastAsia"/>
        </w:rPr>
        <w:t>绩效评价完整性</w:t>
      </w:r>
      <w:r>
        <w:tab/>
      </w:r>
      <w:r>
        <w:fldChar w:fldCharType="begin"/>
      </w:r>
      <w:r>
        <w:instrText xml:space="preserve"> PAGEREF _Toc165277227 \h </w:instrText>
      </w:r>
      <w:r>
        <w:fldChar w:fldCharType="separate"/>
      </w:r>
      <w:r>
        <w:t>3</w:t>
      </w:r>
      <w:r>
        <w:fldChar w:fldCharType="end"/>
      </w:r>
      <w:r>
        <w:fldChar w:fldCharType="end"/>
      </w:r>
    </w:p>
    <w:p w14:paraId="51CD8972">
      <w:pPr>
        <w:pStyle w:val="6"/>
        <w:tabs>
          <w:tab w:val="right" w:leader="dot" w:pos="8296"/>
        </w:tabs>
        <w:ind w:left="1120" w:firstLine="560"/>
        <w:rPr>
          <w:rFonts w:ascii="等线" w:hAnsi="等线" w:eastAsia="等线"/>
          <w:sz w:val="21"/>
        </w:rPr>
      </w:pPr>
      <w:r>
        <w:fldChar w:fldCharType="begin"/>
      </w:r>
      <w:r>
        <w:instrText xml:space="preserve"> HYPERLINK \l "_Toc165277228" </w:instrText>
      </w:r>
      <w:r>
        <w:fldChar w:fldCharType="separate"/>
      </w:r>
      <w:r>
        <w:rPr>
          <w:rStyle w:val="17"/>
        </w:rPr>
        <w:t>2.</w:t>
      </w:r>
      <w:r>
        <w:rPr>
          <w:rStyle w:val="17"/>
          <w:rFonts w:hint="eastAsia"/>
        </w:rPr>
        <w:t>评价目的</w:t>
      </w:r>
      <w:r>
        <w:tab/>
      </w:r>
      <w:r>
        <w:fldChar w:fldCharType="begin"/>
      </w:r>
      <w:r>
        <w:instrText xml:space="preserve"> PAGEREF _Toc165277228 \h </w:instrText>
      </w:r>
      <w:r>
        <w:fldChar w:fldCharType="separate"/>
      </w:r>
      <w:r>
        <w:t>4</w:t>
      </w:r>
      <w:r>
        <w:fldChar w:fldCharType="end"/>
      </w:r>
      <w:r>
        <w:fldChar w:fldCharType="end"/>
      </w:r>
    </w:p>
    <w:p w14:paraId="09124D71">
      <w:pPr>
        <w:pStyle w:val="6"/>
        <w:tabs>
          <w:tab w:val="right" w:leader="dot" w:pos="8296"/>
        </w:tabs>
        <w:ind w:left="1120" w:firstLine="560"/>
        <w:rPr>
          <w:rFonts w:ascii="等线" w:hAnsi="等线" w:eastAsia="等线"/>
          <w:sz w:val="21"/>
        </w:rPr>
      </w:pPr>
      <w:r>
        <w:fldChar w:fldCharType="begin"/>
      </w:r>
      <w:r>
        <w:instrText xml:space="preserve"> HYPERLINK \l "_Toc165277229" </w:instrText>
      </w:r>
      <w:r>
        <w:fldChar w:fldCharType="separate"/>
      </w:r>
      <w:r>
        <w:rPr>
          <w:rStyle w:val="17"/>
        </w:rPr>
        <w:t>3.</w:t>
      </w:r>
      <w:r>
        <w:rPr>
          <w:rStyle w:val="17"/>
          <w:rFonts w:hint="eastAsia"/>
        </w:rPr>
        <w:t>评价对象</w:t>
      </w:r>
      <w:r>
        <w:tab/>
      </w:r>
      <w:r>
        <w:fldChar w:fldCharType="begin"/>
      </w:r>
      <w:r>
        <w:instrText xml:space="preserve"> PAGEREF _Toc165277229 \h </w:instrText>
      </w:r>
      <w:r>
        <w:fldChar w:fldCharType="separate"/>
      </w:r>
      <w:r>
        <w:t>4</w:t>
      </w:r>
      <w:r>
        <w:fldChar w:fldCharType="end"/>
      </w:r>
      <w:r>
        <w:fldChar w:fldCharType="end"/>
      </w:r>
    </w:p>
    <w:p w14:paraId="68210882">
      <w:pPr>
        <w:pStyle w:val="6"/>
        <w:tabs>
          <w:tab w:val="right" w:leader="dot" w:pos="8296"/>
        </w:tabs>
        <w:ind w:left="1120" w:firstLine="560"/>
        <w:rPr>
          <w:rFonts w:ascii="等线" w:hAnsi="等线" w:eastAsia="等线"/>
          <w:sz w:val="21"/>
        </w:rPr>
      </w:pPr>
      <w:r>
        <w:fldChar w:fldCharType="begin"/>
      </w:r>
      <w:r>
        <w:instrText xml:space="preserve"> HYPERLINK \l "_Toc165277230" </w:instrText>
      </w:r>
      <w:r>
        <w:fldChar w:fldCharType="separate"/>
      </w:r>
      <w:r>
        <w:rPr>
          <w:rStyle w:val="17"/>
        </w:rPr>
        <w:t>4.</w:t>
      </w:r>
      <w:r>
        <w:rPr>
          <w:rStyle w:val="17"/>
          <w:rFonts w:hint="eastAsia"/>
        </w:rPr>
        <w:t>绩效评价范围</w:t>
      </w:r>
      <w:r>
        <w:tab/>
      </w:r>
      <w:r>
        <w:fldChar w:fldCharType="begin"/>
      </w:r>
      <w:r>
        <w:instrText xml:space="preserve"> PAGEREF _Toc165277230 \h </w:instrText>
      </w:r>
      <w:r>
        <w:fldChar w:fldCharType="separate"/>
      </w:r>
      <w:r>
        <w:t>4</w:t>
      </w:r>
      <w:r>
        <w:fldChar w:fldCharType="end"/>
      </w:r>
      <w:r>
        <w:fldChar w:fldCharType="end"/>
      </w:r>
    </w:p>
    <w:p w14:paraId="50208242">
      <w:pPr>
        <w:pStyle w:val="13"/>
        <w:tabs>
          <w:tab w:val="right" w:leader="dot" w:pos="8296"/>
        </w:tabs>
        <w:ind w:left="560" w:firstLine="560"/>
        <w:rPr>
          <w:rFonts w:ascii="等线" w:hAnsi="等线" w:eastAsia="等线"/>
          <w:sz w:val="21"/>
        </w:rPr>
      </w:pPr>
      <w:r>
        <w:fldChar w:fldCharType="begin"/>
      </w:r>
      <w:r>
        <w:instrText xml:space="preserve"> HYPERLINK \l "_Toc165277231" </w:instrText>
      </w:r>
      <w:r>
        <w:fldChar w:fldCharType="separate"/>
      </w:r>
      <w:r>
        <w:rPr>
          <w:rStyle w:val="17"/>
          <w:rFonts w:hint="eastAsia" w:ascii="仿宋" w:hAnsi="仿宋" w:eastAsia="仿宋"/>
          <w:lang w:bidi="en-US"/>
        </w:rPr>
        <w:t>（二）绩效评价原则、指标体系、方法及标准</w:t>
      </w:r>
      <w:r>
        <w:tab/>
      </w:r>
      <w:r>
        <w:fldChar w:fldCharType="begin"/>
      </w:r>
      <w:r>
        <w:instrText xml:space="preserve"> PAGEREF _Toc165277231 \h </w:instrText>
      </w:r>
      <w:r>
        <w:fldChar w:fldCharType="separate"/>
      </w:r>
      <w:r>
        <w:t>5</w:t>
      </w:r>
      <w:r>
        <w:fldChar w:fldCharType="end"/>
      </w:r>
      <w:r>
        <w:fldChar w:fldCharType="end"/>
      </w:r>
    </w:p>
    <w:p w14:paraId="48413EF7">
      <w:pPr>
        <w:pStyle w:val="6"/>
        <w:tabs>
          <w:tab w:val="right" w:leader="dot" w:pos="8296"/>
        </w:tabs>
        <w:ind w:left="1120" w:firstLine="560"/>
        <w:rPr>
          <w:rFonts w:ascii="等线" w:hAnsi="等线" w:eastAsia="等线"/>
          <w:sz w:val="21"/>
        </w:rPr>
      </w:pPr>
      <w:r>
        <w:fldChar w:fldCharType="begin"/>
      </w:r>
      <w:r>
        <w:instrText xml:space="preserve"> HYPERLINK \l "_Toc165277232" </w:instrText>
      </w:r>
      <w:r>
        <w:fldChar w:fldCharType="separate"/>
      </w:r>
      <w:r>
        <w:rPr>
          <w:rStyle w:val="17"/>
        </w:rPr>
        <w:t>1.</w:t>
      </w:r>
      <w:r>
        <w:rPr>
          <w:rStyle w:val="17"/>
          <w:rFonts w:hint="eastAsia"/>
        </w:rPr>
        <w:t>评价原则</w:t>
      </w:r>
      <w:r>
        <w:tab/>
      </w:r>
      <w:r>
        <w:fldChar w:fldCharType="begin"/>
      </w:r>
      <w:r>
        <w:instrText xml:space="preserve"> PAGEREF _Toc165277232 \h </w:instrText>
      </w:r>
      <w:r>
        <w:fldChar w:fldCharType="separate"/>
      </w:r>
      <w:r>
        <w:t>5</w:t>
      </w:r>
      <w:r>
        <w:fldChar w:fldCharType="end"/>
      </w:r>
      <w:r>
        <w:fldChar w:fldCharType="end"/>
      </w:r>
    </w:p>
    <w:p w14:paraId="11041740">
      <w:pPr>
        <w:pStyle w:val="6"/>
        <w:tabs>
          <w:tab w:val="right" w:leader="dot" w:pos="8296"/>
        </w:tabs>
        <w:ind w:left="1120" w:firstLine="560"/>
        <w:rPr>
          <w:rFonts w:ascii="等线" w:hAnsi="等线" w:eastAsia="等线"/>
          <w:sz w:val="21"/>
        </w:rPr>
      </w:pPr>
      <w:r>
        <w:fldChar w:fldCharType="begin"/>
      </w:r>
      <w:r>
        <w:instrText xml:space="preserve"> HYPERLINK \l "_Toc165277233" </w:instrText>
      </w:r>
      <w:r>
        <w:fldChar w:fldCharType="separate"/>
      </w:r>
      <w:r>
        <w:rPr>
          <w:rStyle w:val="17"/>
        </w:rPr>
        <w:t>2.</w:t>
      </w:r>
      <w:r>
        <w:rPr>
          <w:rStyle w:val="17"/>
          <w:rFonts w:hint="eastAsia"/>
        </w:rPr>
        <w:t>评价指标体系</w:t>
      </w:r>
      <w:r>
        <w:tab/>
      </w:r>
      <w:r>
        <w:fldChar w:fldCharType="begin"/>
      </w:r>
      <w:r>
        <w:instrText xml:space="preserve"> PAGEREF _Toc165277233 \h </w:instrText>
      </w:r>
      <w:r>
        <w:fldChar w:fldCharType="separate"/>
      </w:r>
      <w:r>
        <w:t>5</w:t>
      </w:r>
      <w:r>
        <w:fldChar w:fldCharType="end"/>
      </w:r>
      <w:r>
        <w:fldChar w:fldCharType="end"/>
      </w:r>
    </w:p>
    <w:p w14:paraId="2A3DD7FC">
      <w:pPr>
        <w:pStyle w:val="6"/>
        <w:tabs>
          <w:tab w:val="right" w:leader="dot" w:pos="8296"/>
        </w:tabs>
        <w:ind w:left="1120" w:firstLine="560"/>
        <w:rPr>
          <w:rFonts w:ascii="等线" w:hAnsi="等线" w:eastAsia="等线"/>
          <w:sz w:val="21"/>
        </w:rPr>
      </w:pPr>
      <w:r>
        <w:fldChar w:fldCharType="begin"/>
      </w:r>
      <w:r>
        <w:instrText xml:space="preserve"> HYPERLINK \l "_Toc165277234" </w:instrText>
      </w:r>
      <w:r>
        <w:fldChar w:fldCharType="separate"/>
      </w:r>
      <w:r>
        <w:rPr>
          <w:rStyle w:val="17"/>
        </w:rPr>
        <w:t>3.</w:t>
      </w:r>
      <w:r>
        <w:rPr>
          <w:rStyle w:val="17"/>
          <w:rFonts w:hint="eastAsia"/>
        </w:rPr>
        <w:t>评价方法</w:t>
      </w:r>
      <w:r>
        <w:tab/>
      </w:r>
      <w:r>
        <w:fldChar w:fldCharType="begin"/>
      </w:r>
      <w:r>
        <w:instrText xml:space="preserve"> PAGEREF _Toc165277234 \h </w:instrText>
      </w:r>
      <w:r>
        <w:fldChar w:fldCharType="separate"/>
      </w:r>
      <w:r>
        <w:t>14</w:t>
      </w:r>
      <w:r>
        <w:fldChar w:fldCharType="end"/>
      </w:r>
      <w:r>
        <w:fldChar w:fldCharType="end"/>
      </w:r>
    </w:p>
    <w:p w14:paraId="1EC3C695">
      <w:pPr>
        <w:pStyle w:val="6"/>
        <w:tabs>
          <w:tab w:val="right" w:leader="dot" w:pos="8296"/>
        </w:tabs>
        <w:ind w:left="1120" w:firstLine="560"/>
        <w:rPr>
          <w:rFonts w:ascii="等线" w:hAnsi="等线" w:eastAsia="等线"/>
          <w:sz w:val="21"/>
        </w:rPr>
      </w:pPr>
      <w:r>
        <w:fldChar w:fldCharType="begin"/>
      </w:r>
      <w:r>
        <w:instrText xml:space="preserve"> HYPERLINK \l "_Toc165277235" </w:instrText>
      </w:r>
      <w:r>
        <w:fldChar w:fldCharType="separate"/>
      </w:r>
      <w:r>
        <w:rPr>
          <w:rStyle w:val="17"/>
        </w:rPr>
        <w:t>4.</w:t>
      </w:r>
      <w:r>
        <w:rPr>
          <w:rStyle w:val="17"/>
          <w:rFonts w:hint="eastAsia"/>
        </w:rPr>
        <w:t>评价标准</w:t>
      </w:r>
      <w:r>
        <w:tab/>
      </w:r>
      <w:r>
        <w:fldChar w:fldCharType="begin"/>
      </w:r>
      <w:r>
        <w:instrText xml:space="preserve"> PAGEREF _Toc165277235 \h </w:instrText>
      </w:r>
      <w:r>
        <w:fldChar w:fldCharType="separate"/>
      </w:r>
      <w:r>
        <w:t>15</w:t>
      </w:r>
      <w:r>
        <w:fldChar w:fldCharType="end"/>
      </w:r>
      <w:r>
        <w:fldChar w:fldCharType="end"/>
      </w:r>
    </w:p>
    <w:p w14:paraId="3114882B">
      <w:pPr>
        <w:pStyle w:val="13"/>
        <w:tabs>
          <w:tab w:val="right" w:leader="dot" w:pos="8296"/>
        </w:tabs>
        <w:ind w:left="560" w:firstLine="560"/>
        <w:rPr>
          <w:rFonts w:ascii="等线" w:hAnsi="等线" w:eastAsia="等线"/>
          <w:sz w:val="21"/>
        </w:rPr>
      </w:pPr>
      <w:r>
        <w:fldChar w:fldCharType="begin"/>
      </w:r>
      <w:r>
        <w:instrText xml:space="preserve"> HYPERLINK \l "_Toc165277236" </w:instrText>
      </w:r>
      <w:r>
        <w:fldChar w:fldCharType="separate"/>
      </w:r>
      <w:r>
        <w:rPr>
          <w:rStyle w:val="17"/>
          <w:rFonts w:hint="eastAsia" w:ascii="仿宋" w:hAnsi="仿宋" w:eastAsia="仿宋"/>
          <w:lang w:bidi="en-US"/>
        </w:rPr>
        <w:t>（三）绩效评价工作过程</w:t>
      </w:r>
      <w:r>
        <w:tab/>
      </w:r>
      <w:r>
        <w:fldChar w:fldCharType="begin"/>
      </w:r>
      <w:r>
        <w:instrText xml:space="preserve"> PAGEREF _Toc165277236 \h </w:instrText>
      </w:r>
      <w:r>
        <w:fldChar w:fldCharType="separate"/>
      </w:r>
      <w:r>
        <w:t>1</w:t>
      </w:r>
      <w:r>
        <w:rPr>
          <w:rFonts w:hint="eastAsia"/>
        </w:rPr>
        <w:t>6</w:t>
      </w:r>
      <w:r>
        <w:fldChar w:fldCharType="end"/>
      </w:r>
      <w:r>
        <w:fldChar w:fldCharType="end"/>
      </w:r>
    </w:p>
    <w:p w14:paraId="45B365DC">
      <w:pPr>
        <w:pStyle w:val="11"/>
        <w:tabs>
          <w:tab w:val="right" w:leader="dot" w:pos="8296"/>
        </w:tabs>
        <w:ind w:firstLine="560"/>
        <w:rPr>
          <w:rFonts w:ascii="等线" w:hAnsi="等线" w:eastAsia="等线"/>
          <w:sz w:val="21"/>
        </w:rPr>
      </w:pPr>
      <w:r>
        <w:fldChar w:fldCharType="begin"/>
      </w:r>
      <w:r>
        <w:instrText xml:space="preserve"> HYPERLINK \l "_Toc165277237" </w:instrText>
      </w:r>
      <w:r>
        <w:fldChar w:fldCharType="separate"/>
      </w:r>
      <w:r>
        <w:rPr>
          <w:rStyle w:val="17"/>
          <w:rFonts w:hint="eastAsia" w:ascii="仿宋" w:hAnsi="仿宋" w:eastAsia="仿宋"/>
          <w:lang w:bidi="en-US"/>
        </w:rPr>
        <w:t>三、综合评价情况及评价结论</w:t>
      </w:r>
      <w:r>
        <w:tab/>
      </w:r>
      <w:r>
        <w:fldChar w:fldCharType="begin"/>
      </w:r>
      <w:r>
        <w:instrText xml:space="preserve"> PAGEREF _Toc165277237 \h </w:instrText>
      </w:r>
      <w:r>
        <w:fldChar w:fldCharType="separate"/>
      </w:r>
      <w:r>
        <w:t>16</w:t>
      </w:r>
      <w:r>
        <w:fldChar w:fldCharType="end"/>
      </w:r>
      <w:r>
        <w:fldChar w:fldCharType="end"/>
      </w:r>
    </w:p>
    <w:p w14:paraId="599E7B84">
      <w:pPr>
        <w:pStyle w:val="13"/>
        <w:tabs>
          <w:tab w:val="right" w:leader="dot" w:pos="8296"/>
        </w:tabs>
        <w:ind w:left="560" w:firstLine="560"/>
        <w:rPr>
          <w:rFonts w:ascii="等线" w:hAnsi="等线" w:eastAsia="等线"/>
          <w:sz w:val="21"/>
        </w:rPr>
      </w:pPr>
      <w:r>
        <w:fldChar w:fldCharType="begin"/>
      </w:r>
      <w:r>
        <w:instrText xml:space="preserve"> HYPERLINK \l "_Toc165277238" </w:instrText>
      </w:r>
      <w:r>
        <w:fldChar w:fldCharType="separate"/>
      </w:r>
      <w:r>
        <w:rPr>
          <w:rStyle w:val="17"/>
          <w:rFonts w:hint="eastAsia" w:ascii="仿宋" w:hAnsi="仿宋" w:eastAsia="仿宋"/>
          <w:lang w:bidi="en-US"/>
        </w:rPr>
        <w:t>（一）评价结论</w:t>
      </w:r>
      <w:r>
        <w:tab/>
      </w:r>
      <w:r>
        <w:fldChar w:fldCharType="begin"/>
      </w:r>
      <w:r>
        <w:instrText xml:space="preserve"> PAGEREF _Toc165277238 \h </w:instrText>
      </w:r>
      <w:r>
        <w:fldChar w:fldCharType="separate"/>
      </w:r>
      <w:r>
        <w:t>16</w:t>
      </w:r>
      <w:r>
        <w:fldChar w:fldCharType="end"/>
      </w:r>
      <w:r>
        <w:fldChar w:fldCharType="end"/>
      </w:r>
    </w:p>
    <w:p w14:paraId="6BD4805F">
      <w:pPr>
        <w:pStyle w:val="13"/>
        <w:tabs>
          <w:tab w:val="right" w:leader="dot" w:pos="8296"/>
        </w:tabs>
        <w:ind w:left="560" w:firstLine="560"/>
        <w:rPr>
          <w:rFonts w:ascii="等线" w:hAnsi="等线" w:eastAsia="等线"/>
          <w:sz w:val="21"/>
        </w:rPr>
      </w:pPr>
      <w:r>
        <w:fldChar w:fldCharType="begin"/>
      </w:r>
      <w:r>
        <w:instrText xml:space="preserve"> HYPERLINK \l "_Toc165277239" </w:instrText>
      </w:r>
      <w:r>
        <w:fldChar w:fldCharType="separate"/>
      </w:r>
      <w:r>
        <w:rPr>
          <w:rStyle w:val="17"/>
          <w:rFonts w:hint="eastAsia" w:ascii="仿宋" w:hAnsi="仿宋" w:eastAsia="仿宋"/>
          <w:lang w:bidi="en-US"/>
        </w:rPr>
        <w:t>（二）主要绩效</w:t>
      </w:r>
      <w:r>
        <w:tab/>
      </w:r>
      <w:r>
        <w:fldChar w:fldCharType="begin"/>
      </w:r>
      <w:r>
        <w:instrText xml:space="preserve"> PAGEREF _Toc165277239 \h </w:instrText>
      </w:r>
      <w:r>
        <w:fldChar w:fldCharType="separate"/>
      </w:r>
      <w:r>
        <w:t>18</w:t>
      </w:r>
      <w:r>
        <w:fldChar w:fldCharType="end"/>
      </w:r>
      <w:r>
        <w:fldChar w:fldCharType="end"/>
      </w:r>
    </w:p>
    <w:p w14:paraId="6D1E9A43">
      <w:pPr>
        <w:pStyle w:val="11"/>
        <w:tabs>
          <w:tab w:val="right" w:leader="dot" w:pos="8296"/>
        </w:tabs>
        <w:ind w:firstLine="560"/>
        <w:rPr>
          <w:rFonts w:ascii="等线" w:hAnsi="等线" w:eastAsia="等线"/>
          <w:sz w:val="21"/>
        </w:rPr>
      </w:pPr>
      <w:r>
        <w:fldChar w:fldCharType="begin"/>
      </w:r>
      <w:r>
        <w:instrText xml:space="preserve"> HYPERLINK \l "_Toc165277240" </w:instrText>
      </w:r>
      <w:r>
        <w:fldChar w:fldCharType="separate"/>
      </w:r>
      <w:r>
        <w:rPr>
          <w:rStyle w:val="17"/>
          <w:rFonts w:hint="eastAsia" w:ascii="仿宋" w:hAnsi="仿宋" w:eastAsia="仿宋"/>
          <w:lang w:bidi="en-US"/>
        </w:rPr>
        <w:t>四、绩效评价指标分析</w:t>
      </w:r>
      <w:r>
        <w:tab/>
      </w:r>
      <w:r>
        <w:fldChar w:fldCharType="begin"/>
      </w:r>
      <w:r>
        <w:instrText xml:space="preserve"> PAGEREF _Toc165277240 \h </w:instrText>
      </w:r>
      <w:r>
        <w:fldChar w:fldCharType="separate"/>
      </w:r>
      <w:r>
        <w:t>18</w:t>
      </w:r>
      <w:r>
        <w:fldChar w:fldCharType="end"/>
      </w:r>
      <w:r>
        <w:fldChar w:fldCharType="end"/>
      </w:r>
    </w:p>
    <w:p w14:paraId="3E57E100">
      <w:pPr>
        <w:pStyle w:val="13"/>
        <w:tabs>
          <w:tab w:val="right" w:leader="dot" w:pos="8296"/>
        </w:tabs>
        <w:ind w:left="560" w:firstLine="560"/>
        <w:rPr>
          <w:rFonts w:ascii="等线" w:hAnsi="等线" w:eastAsia="等线"/>
          <w:sz w:val="21"/>
        </w:rPr>
      </w:pPr>
      <w:r>
        <w:fldChar w:fldCharType="begin"/>
      </w:r>
      <w:r>
        <w:instrText xml:space="preserve"> HYPERLINK \l "_Toc165277241" </w:instrText>
      </w:r>
      <w:r>
        <w:fldChar w:fldCharType="separate"/>
      </w:r>
      <w:r>
        <w:rPr>
          <w:rStyle w:val="17"/>
          <w:rFonts w:hint="eastAsia" w:ascii="仿宋" w:hAnsi="仿宋" w:eastAsia="仿宋"/>
          <w:lang w:bidi="en-US"/>
        </w:rPr>
        <w:t>（一）项目决策情况</w:t>
      </w:r>
      <w:r>
        <w:tab/>
      </w:r>
      <w:r>
        <w:fldChar w:fldCharType="begin"/>
      </w:r>
      <w:r>
        <w:instrText xml:space="preserve"> PAGEREF _Toc165277241 \h </w:instrText>
      </w:r>
      <w:r>
        <w:fldChar w:fldCharType="separate"/>
      </w:r>
      <w:r>
        <w:t>18</w:t>
      </w:r>
      <w:r>
        <w:fldChar w:fldCharType="end"/>
      </w:r>
      <w:r>
        <w:fldChar w:fldCharType="end"/>
      </w:r>
    </w:p>
    <w:p w14:paraId="39783000">
      <w:pPr>
        <w:pStyle w:val="6"/>
        <w:tabs>
          <w:tab w:val="right" w:leader="dot" w:pos="8296"/>
        </w:tabs>
        <w:ind w:left="1120" w:firstLine="560"/>
        <w:rPr>
          <w:rFonts w:ascii="等线" w:hAnsi="等线" w:eastAsia="等线"/>
          <w:sz w:val="21"/>
        </w:rPr>
      </w:pPr>
      <w:r>
        <w:fldChar w:fldCharType="begin"/>
      </w:r>
      <w:r>
        <w:instrText xml:space="preserve"> HYPERLINK \l "_Toc165277242" </w:instrText>
      </w:r>
      <w:r>
        <w:fldChar w:fldCharType="separate"/>
      </w:r>
      <w:r>
        <w:rPr>
          <w:rStyle w:val="17"/>
        </w:rPr>
        <w:t>1.</w:t>
      </w:r>
      <w:r>
        <w:rPr>
          <w:rStyle w:val="17"/>
          <w:rFonts w:hint="eastAsia"/>
        </w:rPr>
        <w:t>项目立项</w:t>
      </w:r>
      <w:r>
        <w:tab/>
      </w:r>
      <w:r>
        <w:fldChar w:fldCharType="begin"/>
      </w:r>
      <w:r>
        <w:instrText xml:space="preserve"> PAGEREF _Toc165277242 \h </w:instrText>
      </w:r>
      <w:r>
        <w:fldChar w:fldCharType="separate"/>
      </w:r>
      <w:r>
        <w:t>19</w:t>
      </w:r>
      <w:r>
        <w:fldChar w:fldCharType="end"/>
      </w:r>
      <w:r>
        <w:fldChar w:fldCharType="end"/>
      </w:r>
    </w:p>
    <w:p w14:paraId="2704018E">
      <w:pPr>
        <w:pStyle w:val="6"/>
        <w:tabs>
          <w:tab w:val="right" w:leader="dot" w:pos="8296"/>
        </w:tabs>
        <w:ind w:left="1120" w:firstLine="560"/>
        <w:rPr>
          <w:rFonts w:ascii="等线" w:hAnsi="等线" w:eastAsia="等线"/>
          <w:sz w:val="21"/>
        </w:rPr>
      </w:pPr>
      <w:r>
        <w:fldChar w:fldCharType="begin"/>
      </w:r>
      <w:r>
        <w:instrText xml:space="preserve"> HYPERLINK \l "_Toc165277243" </w:instrText>
      </w:r>
      <w:r>
        <w:fldChar w:fldCharType="separate"/>
      </w:r>
      <w:r>
        <w:rPr>
          <w:rStyle w:val="17"/>
        </w:rPr>
        <w:t>2.</w:t>
      </w:r>
      <w:r>
        <w:rPr>
          <w:rStyle w:val="17"/>
          <w:rFonts w:hint="eastAsia"/>
        </w:rPr>
        <w:t>绩效目标</w:t>
      </w:r>
      <w:r>
        <w:tab/>
      </w:r>
      <w:r>
        <w:fldChar w:fldCharType="begin"/>
      </w:r>
      <w:r>
        <w:instrText xml:space="preserve"> PAGEREF _Toc165277243 \h </w:instrText>
      </w:r>
      <w:r>
        <w:fldChar w:fldCharType="separate"/>
      </w:r>
      <w:r>
        <w:t>19</w:t>
      </w:r>
      <w:r>
        <w:fldChar w:fldCharType="end"/>
      </w:r>
      <w:r>
        <w:fldChar w:fldCharType="end"/>
      </w:r>
    </w:p>
    <w:p w14:paraId="540EF9C8">
      <w:pPr>
        <w:pStyle w:val="6"/>
        <w:tabs>
          <w:tab w:val="right" w:leader="dot" w:pos="8296"/>
        </w:tabs>
        <w:ind w:left="1120" w:firstLine="560"/>
        <w:rPr>
          <w:rFonts w:ascii="等线" w:hAnsi="等线" w:eastAsia="等线"/>
          <w:sz w:val="21"/>
        </w:rPr>
      </w:pPr>
      <w:r>
        <w:fldChar w:fldCharType="begin"/>
      </w:r>
      <w:r>
        <w:instrText xml:space="preserve"> HYPERLINK \l "_Toc165277244" </w:instrText>
      </w:r>
      <w:r>
        <w:fldChar w:fldCharType="separate"/>
      </w:r>
      <w:r>
        <w:rPr>
          <w:rStyle w:val="17"/>
        </w:rPr>
        <w:t>3.</w:t>
      </w:r>
      <w:r>
        <w:rPr>
          <w:rStyle w:val="17"/>
          <w:rFonts w:hint="eastAsia"/>
        </w:rPr>
        <w:t>资金投入</w:t>
      </w:r>
      <w:r>
        <w:tab/>
      </w:r>
      <w:r>
        <w:fldChar w:fldCharType="begin"/>
      </w:r>
      <w:r>
        <w:instrText xml:space="preserve"> PAGEREF _Toc165277244 \h </w:instrText>
      </w:r>
      <w:r>
        <w:fldChar w:fldCharType="separate"/>
      </w:r>
      <w:r>
        <w:t>20</w:t>
      </w:r>
      <w:r>
        <w:fldChar w:fldCharType="end"/>
      </w:r>
      <w:r>
        <w:fldChar w:fldCharType="end"/>
      </w:r>
    </w:p>
    <w:p w14:paraId="5B720161">
      <w:pPr>
        <w:pStyle w:val="13"/>
        <w:tabs>
          <w:tab w:val="right" w:leader="dot" w:pos="8296"/>
        </w:tabs>
        <w:ind w:left="560" w:firstLine="560"/>
        <w:rPr>
          <w:rFonts w:ascii="等线" w:hAnsi="等线" w:eastAsia="等线"/>
          <w:sz w:val="21"/>
        </w:rPr>
      </w:pPr>
      <w:r>
        <w:fldChar w:fldCharType="begin"/>
      </w:r>
      <w:r>
        <w:instrText xml:space="preserve"> HYPERLINK \l "_Toc165277245" </w:instrText>
      </w:r>
      <w:r>
        <w:fldChar w:fldCharType="separate"/>
      </w:r>
      <w:r>
        <w:rPr>
          <w:rStyle w:val="17"/>
          <w:rFonts w:hint="eastAsia" w:ascii="仿宋" w:hAnsi="仿宋" w:eastAsia="仿宋"/>
          <w:lang w:bidi="en-US"/>
        </w:rPr>
        <w:t>（二）项目过程情况</w:t>
      </w:r>
      <w:r>
        <w:tab/>
      </w:r>
      <w:r>
        <w:fldChar w:fldCharType="begin"/>
      </w:r>
      <w:r>
        <w:instrText xml:space="preserve"> PAGEREF _Toc165277245 \h </w:instrText>
      </w:r>
      <w:r>
        <w:fldChar w:fldCharType="separate"/>
      </w:r>
      <w:r>
        <w:t>21</w:t>
      </w:r>
      <w:r>
        <w:fldChar w:fldCharType="end"/>
      </w:r>
      <w:r>
        <w:fldChar w:fldCharType="end"/>
      </w:r>
    </w:p>
    <w:p w14:paraId="32BC142C">
      <w:pPr>
        <w:pStyle w:val="6"/>
        <w:tabs>
          <w:tab w:val="right" w:leader="dot" w:pos="8296"/>
        </w:tabs>
        <w:ind w:left="1120" w:firstLine="560"/>
        <w:rPr>
          <w:rFonts w:ascii="等线" w:hAnsi="等线" w:eastAsia="等线"/>
          <w:sz w:val="21"/>
        </w:rPr>
      </w:pPr>
      <w:r>
        <w:fldChar w:fldCharType="begin"/>
      </w:r>
      <w:r>
        <w:instrText xml:space="preserve"> HYPERLINK \l "_Toc165277246" </w:instrText>
      </w:r>
      <w:r>
        <w:fldChar w:fldCharType="separate"/>
      </w:r>
      <w:r>
        <w:rPr>
          <w:rStyle w:val="17"/>
        </w:rPr>
        <w:t>1.</w:t>
      </w:r>
      <w:r>
        <w:rPr>
          <w:rStyle w:val="17"/>
          <w:rFonts w:hint="eastAsia"/>
        </w:rPr>
        <w:t>资金管理</w:t>
      </w:r>
      <w:r>
        <w:tab/>
      </w:r>
      <w:r>
        <w:fldChar w:fldCharType="begin"/>
      </w:r>
      <w:r>
        <w:instrText xml:space="preserve"> PAGEREF _Toc165277246 \h </w:instrText>
      </w:r>
      <w:r>
        <w:fldChar w:fldCharType="separate"/>
      </w:r>
      <w:r>
        <w:t>21</w:t>
      </w:r>
      <w:r>
        <w:fldChar w:fldCharType="end"/>
      </w:r>
      <w:r>
        <w:fldChar w:fldCharType="end"/>
      </w:r>
    </w:p>
    <w:p w14:paraId="28982B88">
      <w:pPr>
        <w:pStyle w:val="6"/>
        <w:tabs>
          <w:tab w:val="right" w:leader="dot" w:pos="8296"/>
        </w:tabs>
        <w:ind w:left="1120" w:firstLine="560"/>
        <w:rPr>
          <w:rFonts w:ascii="等线" w:hAnsi="等线" w:eastAsia="等线"/>
          <w:sz w:val="21"/>
        </w:rPr>
      </w:pPr>
      <w:r>
        <w:fldChar w:fldCharType="begin"/>
      </w:r>
      <w:r>
        <w:instrText xml:space="preserve"> HYPERLINK \l "_Toc165277247" </w:instrText>
      </w:r>
      <w:r>
        <w:fldChar w:fldCharType="separate"/>
      </w:r>
      <w:r>
        <w:rPr>
          <w:rStyle w:val="17"/>
        </w:rPr>
        <w:t>2.</w:t>
      </w:r>
      <w:r>
        <w:rPr>
          <w:rStyle w:val="17"/>
          <w:rFonts w:hint="eastAsia"/>
        </w:rPr>
        <w:t>组织实施</w:t>
      </w:r>
      <w:r>
        <w:tab/>
      </w:r>
      <w:r>
        <w:fldChar w:fldCharType="begin"/>
      </w:r>
      <w:r>
        <w:instrText xml:space="preserve"> PAGEREF _Toc165277247 \h </w:instrText>
      </w:r>
      <w:r>
        <w:fldChar w:fldCharType="separate"/>
      </w:r>
      <w:r>
        <w:t>21</w:t>
      </w:r>
      <w:r>
        <w:fldChar w:fldCharType="end"/>
      </w:r>
      <w:r>
        <w:fldChar w:fldCharType="end"/>
      </w:r>
    </w:p>
    <w:p w14:paraId="47C30448">
      <w:pPr>
        <w:pStyle w:val="13"/>
        <w:tabs>
          <w:tab w:val="right" w:leader="dot" w:pos="8296"/>
        </w:tabs>
        <w:ind w:left="560" w:firstLine="560"/>
        <w:rPr>
          <w:rFonts w:ascii="等线" w:hAnsi="等线" w:eastAsia="等线"/>
          <w:sz w:val="21"/>
        </w:rPr>
      </w:pPr>
      <w:r>
        <w:fldChar w:fldCharType="begin"/>
      </w:r>
      <w:r>
        <w:instrText xml:space="preserve"> HYPERLINK \l "_Toc165277248" </w:instrText>
      </w:r>
      <w:r>
        <w:fldChar w:fldCharType="separate"/>
      </w:r>
      <w:r>
        <w:rPr>
          <w:rStyle w:val="17"/>
          <w:rFonts w:hint="eastAsia" w:ascii="仿宋" w:hAnsi="仿宋" w:eastAsia="仿宋"/>
          <w:lang w:bidi="en-US"/>
        </w:rPr>
        <w:t>（三）项目产出情况</w:t>
      </w:r>
      <w:r>
        <w:tab/>
      </w:r>
      <w:r>
        <w:fldChar w:fldCharType="begin"/>
      </w:r>
      <w:r>
        <w:instrText xml:space="preserve"> PAGEREF _Toc165277248 \h </w:instrText>
      </w:r>
      <w:r>
        <w:fldChar w:fldCharType="separate"/>
      </w:r>
      <w:r>
        <w:t>22</w:t>
      </w:r>
      <w:r>
        <w:fldChar w:fldCharType="end"/>
      </w:r>
      <w:r>
        <w:fldChar w:fldCharType="end"/>
      </w:r>
    </w:p>
    <w:p w14:paraId="72C226F2">
      <w:pPr>
        <w:pStyle w:val="6"/>
        <w:tabs>
          <w:tab w:val="right" w:leader="dot" w:pos="8296"/>
        </w:tabs>
        <w:ind w:left="1120" w:firstLine="560"/>
        <w:rPr>
          <w:rFonts w:ascii="等线" w:hAnsi="等线" w:eastAsia="等线"/>
          <w:sz w:val="21"/>
        </w:rPr>
      </w:pPr>
      <w:r>
        <w:fldChar w:fldCharType="begin"/>
      </w:r>
      <w:r>
        <w:instrText xml:space="preserve"> HYPERLINK \l "_Toc165277249" </w:instrText>
      </w:r>
      <w:r>
        <w:fldChar w:fldCharType="separate"/>
      </w:r>
      <w:r>
        <w:rPr>
          <w:rStyle w:val="17"/>
        </w:rPr>
        <w:t>1.</w:t>
      </w:r>
      <w:r>
        <w:rPr>
          <w:rStyle w:val="17"/>
          <w:rFonts w:hint="eastAsia"/>
        </w:rPr>
        <w:t>产出数量</w:t>
      </w:r>
      <w:r>
        <w:tab/>
      </w:r>
      <w:r>
        <w:fldChar w:fldCharType="begin"/>
      </w:r>
      <w:r>
        <w:instrText xml:space="preserve"> PAGEREF _Toc165277249 \h </w:instrText>
      </w:r>
      <w:r>
        <w:fldChar w:fldCharType="separate"/>
      </w:r>
      <w:r>
        <w:t>22</w:t>
      </w:r>
      <w:r>
        <w:fldChar w:fldCharType="end"/>
      </w:r>
      <w:r>
        <w:fldChar w:fldCharType="end"/>
      </w:r>
    </w:p>
    <w:p w14:paraId="7E5EDF88">
      <w:pPr>
        <w:pStyle w:val="6"/>
        <w:tabs>
          <w:tab w:val="right" w:leader="dot" w:pos="8296"/>
        </w:tabs>
        <w:ind w:left="1120" w:firstLine="560"/>
        <w:rPr>
          <w:rFonts w:ascii="等线" w:hAnsi="等线" w:eastAsia="等线"/>
          <w:sz w:val="21"/>
        </w:rPr>
      </w:pPr>
      <w:r>
        <w:fldChar w:fldCharType="begin"/>
      </w:r>
      <w:r>
        <w:instrText xml:space="preserve"> HYPERLINK \l "_Toc165277250" </w:instrText>
      </w:r>
      <w:r>
        <w:fldChar w:fldCharType="separate"/>
      </w:r>
      <w:r>
        <w:rPr>
          <w:rStyle w:val="17"/>
        </w:rPr>
        <w:t>2.</w:t>
      </w:r>
      <w:r>
        <w:rPr>
          <w:rStyle w:val="17"/>
          <w:rFonts w:hint="eastAsia"/>
        </w:rPr>
        <w:t>产出质量</w:t>
      </w:r>
      <w:r>
        <w:tab/>
      </w:r>
      <w:r>
        <w:fldChar w:fldCharType="begin"/>
      </w:r>
      <w:r>
        <w:instrText xml:space="preserve"> PAGEREF _Toc165277250 \h </w:instrText>
      </w:r>
      <w:r>
        <w:fldChar w:fldCharType="separate"/>
      </w:r>
      <w:r>
        <w:t>23</w:t>
      </w:r>
      <w:r>
        <w:fldChar w:fldCharType="end"/>
      </w:r>
      <w:r>
        <w:fldChar w:fldCharType="end"/>
      </w:r>
    </w:p>
    <w:p w14:paraId="64DC17C5">
      <w:pPr>
        <w:pStyle w:val="6"/>
        <w:tabs>
          <w:tab w:val="right" w:leader="dot" w:pos="8296"/>
        </w:tabs>
        <w:ind w:left="1120" w:firstLine="560"/>
        <w:rPr>
          <w:rFonts w:ascii="等线" w:hAnsi="等线" w:eastAsia="等线"/>
          <w:sz w:val="21"/>
        </w:rPr>
      </w:pPr>
      <w:r>
        <w:fldChar w:fldCharType="begin"/>
      </w:r>
      <w:r>
        <w:instrText xml:space="preserve"> HYPERLINK \l "_Toc165277251" </w:instrText>
      </w:r>
      <w:r>
        <w:fldChar w:fldCharType="separate"/>
      </w:r>
      <w:r>
        <w:rPr>
          <w:rStyle w:val="17"/>
        </w:rPr>
        <w:t>3.</w:t>
      </w:r>
      <w:r>
        <w:rPr>
          <w:rStyle w:val="17"/>
          <w:rFonts w:hint="eastAsia"/>
        </w:rPr>
        <w:t>产出时效</w:t>
      </w:r>
      <w:r>
        <w:tab/>
      </w:r>
      <w:r>
        <w:fldChar w:fldCharType="begin"/>
      </w:r>
      <w:r>
        <w:instrText xml:space="preserve"> PAGEREF _Toc165277251 \h </w:instrText>
      </w:r>
      <w:r>
        <w:fldChar w:fldCharType="separate"/>
      </w:r>
      <w:r>
        <w:t>23</w:t>
      </w:r>
      <w:r>
        <w:fldChar w:fldCharType="end"/>
      </w:r>
      <w:r>
        <w:fldChar w:fldCharType="end"/>
      </w:r>
    </w:p>
    <w:p w14:paraId="0FED9862">
      <w:pPr>
        <w:pStyle w:val="6"/>
        <w:tabs>
          <w:tab w:val="right" w:leader="dot" w:pos="8296"/>
        </w:tabs>
        <w:ind w:left="1120" w:firstLine="560"/>
        <w:rPr>
          <w:rFonts w:ascii="等线" w:hAnsi="等线"/>
          <w:sz w:val="21"/>
        </w:rPr>
      </w:pPr>
      <w:r>
        <w:fldChar w:fldCharType="begin"/>
      </w:r>
      <w:r>
        <w:instrText xml:space="preserve"> HYPERLINK \l "_Toc165277252" </w:instrText>
      </w:r>
      <w:r>
        <w:fldChar w:fldCharType="separate"/>
      </w:r>
      <w:r>
        <w:rPr>
          <w:rStyle w:val="17"/>
        </w:rPr>
        <w:t>4.</w:t>
      </w:r>
      <w:r>
        <w:rPr>
          <w:rStyle w:val="17"/>
          <w:rFonts w:hint="eastAsia"/>
        </w:rPr>
        <w:t>产出成本</w:t>
      </w:r>
      <w:r>
        <w:tab/>
      </w:r>
      <w:r>
        <w:rPr>
          <w:rFonts w:hint="eastAsia"/>
        </w:rPr>
        <w:t>2</w:t>
      </w:r>
      <w:r>
        <w:rPr>
          <w:rFonts w:hint="eastAsia"/>
        </w:rPr>
        <w:fldChar w:fldCharType="end"/>
      </w:r>
      <w:r>
        <w:rPr>
          <w:rFonts w:hint="eastAsia"/>
        </w:rPr>
        <w:t>3</w:t>
      </w:r>
    </w:p>
    <w:p w14:paraId="2B4970A9">
      <w:pPr>
        <w:pStyle w:val="13"/>
        <w:tabs>
          <w:tab w:val="right" w:leader="dot" w:pos="8296"/>
        </w:tabs>
        <w:ind w:left="560" w:firstLine="560"/>
        <w:rPr>
          <w:rFonts w:ascii="等线" w:hAnsi="等线" w:eastAsia="等线"/>
          <w:sz w:val="21"/>
        </w:rPr>
      </w:pPr>
      <w:r>
        <w:fldChar w:fldCharType="begin"/>
      </w:r>
      <w:r>
        <w:instrText xml:space="preserve"> HYPERLINK \l "_Toc165277253" </w:instrText>
      </w:r>
      <w:r>
        <w:fldChar w:fldCharType="separate"/>
      </w:r>
      <w:r>
        <w:rPr>
          <w:rStyle w:val="17"/>
          <w:rFonts w:hint="eastAsia" w:ascii="仿宋" w:hAnsi="仿宋" w:eastAsia="仿宋"/>
          <w:lang w:bidi="en-US"/>
        </w:rPr>
        <w:t>（四）项目效益情况</w:t>
      </w:r>
      <w:r>
        <w:tab/>
      </w:r>
      <w:r>
        <w:fldChar w:fldCharType="begin"/>
      </w:r>
      <w:r>
        <w:instrText xml:space="preserve"> PAGEREF _Toc165277253 \h </w:instrText>
      </w:r>
      <w:r>
        <w:fldChar w:fldCharType="separate"/>
      </w:r>
      <w:r>
        <w:t>24</w:t>
      </w:r>
      <w:r>
        <w:fldChar w:fldCharType="end"/>
      </w:r>
      <w:r>
        <w:fldChar w:fldCharType="end"/>
      </w:r>
    </w:p>
    <w:p w14:paraId="2B3D4070">
      <w:pPr>
        <w:pStyle w:val="6"/>
        <w:tabs>
          <w:tab w:val="right" w:leader="dot" w:pos="8296"/>
        </w:tabs>
        <w:ind w:left="1120" w:firstLine="560"/>
        <w:rPr>
          <w:rFonts w:ascii="等线" w:hAnsi="等线" w:eastAsia="等线"/>
          <w:sz w:val="21"/>
        </w:rPr>
      </w:pPr>
      <w:r>
        <w:fldChar w:fldCharType="begin"/>
      </w:r>
      <w:r>
        <w:instrText xml:space="preserve"> HYPERLINK \l "_Toc165277254" </w:instrText>
      </w:r>
      <w:r>
        <w:fldChar w:fldCharType="separate"/>
      </w:r>
      <w:r>
        <w:rPr>
          <w:rStyle w:val="17"/>
        </w:rPr>
        <w:t>1.</w:t>
      </w:r>
      <w:r>
        <w:rPr>
          <w:rStyle w:val="17"/>
          <w:rFonts w:hint="eastAsia"/>
        </w:rPr>
        <w:t>项目效益</w:t>
      </w:r>
      <w:r>
        <w:tab/>
      </w:r>
      <w:r>
        <w:fldChar w:fldCharType="begin"/>
      </w:r>
      <w:r>
        <w:instrText xml:space="preserve"> PAGEREF _Toc165277254 \h </w:instrText>
      </w:r>
      <w:r>
        <w:fldChar w:fldCharType="separate"/>
      </w:r>
      <w:r>
        <w:t>24</w:t>
      </w:r>
      <w:r>
        <w:fldChar w:fldCharType="end"/>
      </w:r>
      <w:r>
        <w:fldChar w:fldCharType="end"/>
      </w:r>
    </w:p>
    <w:p w14:paraId="1BD72913">
      <w:pPr>
        <w:pStyle w:val="6"/>
        <w:tabs>
          <w:tab w:val="right" w:leader="dot" w:pos="8296"/>
        </w:tabs>
        <w:ind w:left="1120" w:firstLine="560"/>
        <w:rPr>
          <w:rFonts w:ascii="等线" w:hAnsi="等线" w:eastAsia="等线"/>
          <w:sz w:val="21"/>
        </w:rPr>
      </w:pPr>
      <w:r>
        <w:fldChar w:fldCharType="begin"/>
      </w:r>
      <w:r>
        <w:instrText xml:space="preserve"> HYPERLINK \l "_Toc165277255" </w:instrText>
      </w:r>
      <w:r>
        <w:fldChar w:fldCharType="separate"/>
      </w:r>
      <w:r>
        <w:rPr>
          <w:rStyle w:val="17"/>
        </w:rPr>
        <w:t xml:space="preserve">2. </w:t>
      </w:r>
      <w:r>
        <w:rPr>
          <w:rStyle w:val="17"/>
          <w:rFonts w:hint="eastAsia"/>
        </w:rPr>
        <w:t>满意度指标完成情况分析</w:t>
      </w:r>
      <w:r>
        <w:tab/>
      </w:r>
      <w:r>
        <w:fldChar w:fldCharType="begin"/>
      </w:r>
      <w:r>
        <w:instrText xml:space="preserve"> PAGEREF _Toc165277255 \h </w:instrText>
      </w:r>
      <w:r>
        <w:fldChar w:fldCharType="separate"/>
      </w:r>
      <w:r>
        <w:t>25</w:t>
      </w:r>
      <w:r>
        <w:fldChar w:fldCharType="end"/>
      </w:r>
      <w:r>
        <w:fldChar w:fldCharType="end"/>
      </w:r>
    </w:p>
    <w:p w14:paraId="75EEE3A8">
      <w:pPr>
        <w:pStyle w:val="11"/>
        <w:tabs>
          <w:tab w:val="right" w:leader="dot" w:pos="8296"/>
        </w:tabs>
        <w:ind w:firstLine="560"/>
        <w:rPr>
          <w:rFonts w:ascii="等线" w:hAnsi="等线" w:eastAsia="等线"/>
          <w:sz w:val="21"/>
        </w:rPr>
      </w:pPr>
      <w:r>
        <w:fldChar w:fldCharType="begin"/>
      </w:r>
      <w:r>
        <w:instrText xml:space="preserve"> HYPERLINK \l "_Toc165277256" </w:instrText>
      </w:r>
      <w:r>
        <w:fldChar w:fldCharType="separate"/>
      </w:r>
      <w:r>
        <w:rPr>
          <w:rStyle w:val="17"/>
          <w:rFonts w:hint="eastAsia" w:ascii="仿宋" w:hAnsi="仿宋" w:eastAsia="仿宋"/>
          <w:lang w:bidi="en-US"/>
        </w:rPr>
        <w:t>五、主要经验及做法、存在的问题及原因分析</w:t>
      </w:r>
      <w:r>
        <w:tab/>
      </w:r>
      <w:r>
        <w:fldChar w:fldCharType="begin"/>
      </w:r>
      <w:r>
        <w:instrText xml:space="preserve"> PAGEREF _Toc165277256 \h </w:instrText>
      </w:r>
      <w:r>
        <w:fldChar w:fldCharType="separate"/>
      </w:r>
      <w:r>
        <w:t>25</w:t>
      </w:r>
      <w:r>
        <w:fldChar w:fldCharType="end"/>
      </w:r>
      <w:r>
        <w:fldChar w:fldCharType="end"/>
      </w:r>
    </w:p>
    <w:p w14:paraId="49ECADEF">
      <w:pPr>
        <w:pStyle w:val="13"/>
        <w:tabs>
          <w:tab w:val="right" w:leader="dot" w:pos="8296"/>
        </w:tabs>
        <w:ind w:left="560" w:firstLine="560"/>
        <w:rPr>
          <w:rFonts w:ascii="等线" w:hAnsi="等线" w:eastAsia="等线"/>
          <w:sz w:val="21"/>
        </w:rPr>
      </w:pPr>
      <w:r>
        <w:fldChar w:fldCharType="begin"/>
      </w:r>
      <w:r>
        <w:instrText xml:space="preserve"> HYPERLINK \l "_Toc165277257" </w:instrText>
      </w:r>
      <w:r>
        <w:fldChar w:fldCharType="separate"/>
      </w:r>
      <w:r>
        <w:rPr>
          <w:rStyle w:val="17"/>
          <w:rFonts w:hint="eastAsia" w:ascii="仿宋" w:hAnsi="仿宋" w:eastAsia="仿宋"/>
          <w:lang w:bidi="en-US"/>
        </w:rPr>
        <w:t>（一）主要经验及做法</w:t>
      </w:r>
      <w:r>
        <w:tab/>
      </w:r>
      <w:r>
        <w:fldChar w:fldCharType="begin"/>
      </w:r>
      <w:r>
        <w:instrText xml:space="preserve"> PAGEREF _Toc165277257 \h </w:instrText>
      </w:r>
      <w:r>
        <w:fldChar w:fldCharType="separate"/>
      </w:r>
      <w:r>
        <w:t>25</w:t>
      </w:r>
      <w:r>
        <w:fldChar w:fldCharType="end"/>
      </w:r>
      <w:r>
        <w:fldChar w:fldCharType="end"/>
      </w:r>
    </w:p>
    <w:p w14:paraId="277F0AE3">
      <w:pPr>
        <w:pStyle w:val="13"/>
        <w:tabs>
          <w:tab w:val="right" w:leader="dot" w:pos="8296"/>
        </w:tabs>
        <w:ind w:left="560" w:firstLine="560"/>
        <w:rPr>
          <w:rFonts w:ascii="等线" w:hAnsi="等线" w:eastAsia="等线"/>
          <w:sz w:val="21"/>
        </w:rPr>
      </w:pPr>
      <w:r>
        <w:fldChar w:fldCharType="begin"/>
      </w:r>
      <w:r>
        <w:instrText xml:space="preserve"> HYPERLINK \l "_Toc165277258" </w:instrText>
      </w:r>
      <w:r>
        <w:fldChar w:fldCharType="separate"/>
      </w:r>
      <w:r>
        <w:rPr>
          <w:rStyle w:val="17"/>
          <w:rFonts w:hint="eastAsia" w:ascii="仿宋" w:hAnsi="仿宋" w:eastAsia="仿宋"/>
          <w:lang w:bidi="en-US"/>
        </w:rPr>
        <w:t>（二）存在的问题及原因分析</w:t>
      </w:r>
      <w:r>
        <w:tab/>
      </w:r>
      <w:r>
        <w:fldChar w:fldCharType="begin"/>
      </w:r>
      <w:r>
        <w:instrText xml:space="preserve"> PAGEREF _Toc165277258 \h </w:instrText>
      </w:r>
      <w:r>
        <w:fldChar w:fldCharType="separate"/>
      </w:r>
      <w:r>
        <w:t>26</w:t>
      </w:r>
      <w:r>
        <w:fldChar w:fldCharType="end"/>
      </w:r>
      <w:r>
        <w:fldChar w:fldCharType="end"/>
      </w:r>
    </w:p>
    <w:p w14:paraId="41DBA9BC">
      <w:pPr>
        <w:pStyle w:val="11"/>
        <w:tabs>
          <w:tab w:val="right" w:leader="dot" w:pos="8296"/>
        </w:tabs>
        <w:ind w:firstLine="560"/>
        <w:rPr>
          <w:rFonts w:ascii="等线" w:hAnsi="等线" w:eastAsia="等线"/>
          <w:sz w:val="21"/>
        </w:rPr>
      </w:pPr>
      <w:r>
        <w:fldChar w:fldCharType="begin"/>
      </w:r>
      <w:r>
        <w:instrText xml:space="preserve"> HYPERLINK \l "_Toc165277259" </w:instrText>
      </w:r>
      <w:r>
        <w:fldChar w:fldCharType="separate"/>
      </w:r>
      <w:r>
        <w:rPr>
          <w:rStyle w:val="17"/>
          <w:rFonts w:hint="eastAsia" w:ascii="仿宋" w:hAnsi="仿宋" w:eastAsia="仿宋"/>
          <w:lang w:bidi="en-US"/>
        </w:rPr>
        <w:t>六、有关建议</w:t>
      </w:r>
      <w:r>
        <w:tab/>
      </w:r>
      <w:r>
        <w:fldChar w:fldCharType="begin"/>
      </w:r>
      <w:r>
        <w:instrText xml:space="preserve"> PAGEREF _Toc165277259 \h </w:instrText>
      </w:r>
      <w:r>
        <w:fldChar w:fldCharType="separate"/>
      </w:r>
      <w:r>
        <w:t>26</w:t>
      </w:r>
      <w:r>
        <w:fldChar w:fldCharType="end"/>
      </w:r>
      <w:r>
        <w:fldChar w:fldCharType="end"/>
      </w:r>
    </w:p>
    <w:p w14:paraId="12A040F4">
      <w:pPr>
        <w:pStyle w:val="11"/>
        <w:tabs>
          <w:tab w:val="right" w:leader="dot" w:pos="8296"/>
        </w:tabs>
        <w:ind w:firstLine="560"/>
        <w:rPr>
          <w:rFonts w:ascii="等线" w:hAnsi="等线" w:eastAsia="等线"/>
          <w:sz w:val="21"/>
        </w:rPr>
      </w:pPr>
      <w:r>
        <w:fldChar w:fldCharType="begin"/>
      </w:r>
      <w:r>
        <w:instrText xml:space="preserve"> HYPERLINK \l "_Toc165277260" </w:instrText>
      </w:r>
      <w:r>
        <w:fldChar w:fldCharType="separate"/>
      </w:r>
      <w:r>
        <w:rPr>
          <w:rStyle w:val="17"/>
          <w:rFonts w:hint="eastAsia" w:ascii="仿宋" w:hAnsi="仿宋" w:eastAsia="仿宋"/>
          <w:lang w:bidi="en-US"/>
        </w:rPr>
        <w:t>七、其他需要说明的问题</w:t>
      </w:r>
      <w:r>
        <w:tab/>
      </w:r>
      <w:r>
        <w:fldChar w:fldCharType="begin"/>
      </w:r>
      <w:r>
        <w:instrText xml:space="preserve"> PAGEREF _Toc165277260 \h </w:instrText>
      </w:r>
      <w:r>
        <w:fldChar w:fldCharType="separate"/>
      </w:r>
      <w:r>
        <w:t>26</w:t>
      </w:r>
      <w:r>
        <w:fldChar w:fldCharType="end"/>
      </w:r>
      <w:r>
        <w:fldChar w:fldCharType="end"/>
      </w:r>
    </w:p>
    <w:p w14:paraId="3014FB0C">
      <w:pPr>
        <w:ind w:firstLine="562"/>
      </w:pPr>
      <w:r>
        <w:rPr>
          <w:b/>
          <w:bCs/>
          <w:lang w:val="zh-CN"/>
        </w:rPr>
        <w:fldChar w:fldCharType="end"/>
      </w:r>
    </w:p>
    <w:p w14:paraId="345AC9EF">
      <w:pPr>
        <w:ind w:firstLine="598" w:firstLineChars="187"/>
        <w:rPr>
          <w:rFonts w:ascii="仿宋_GB2312" w:hAnsi="Times New Roman" w:cs="Times New Roman"/>
          <w:sz w:val="32"/>
          <w:szCs w:val="32"/>
          <w:lang w:bidi="en-US"/>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720" w:num="1"/>
          <w:docGrid w:type="lines" w:linePitch="312" w:charSpace="0"/>
        </w:sectPr>
      </w:pPr>
    </w:p>
    <w:p w14:paraId="03FD9D34">
      <w:pPr>
        <w:pStyle w:val="2"/>
        <w:ind w:firstLine="0" w:firstLineChars="0"/>
        <w:jc w:val="left"/>
        <w:rPr>
          <w:rFonts w:ascii="仿宋" w:hAnsi="仿宋" w:eastAsia="仿宋"/>
          <w:sz w:val="36"/>
          <w:szCs w:val="36"/>
          <w:lang w:bidi="en-US"/>
        </w:rPr>
      </w:pPr>
      <w:bookmarkStart w:id="0" w:name="_Toc67911601"/>
      <w:bookmarkStart w:id="1" w:name="_Toc165277220"/>
      <w:r>
        <w:rPr>
          <w:rFonts w:hint="eastAsia" w:ascii="仿宋" w:hAnsi="仿宋" w:eastAsia="仿宋"/>
          <w:sz w:val="36"/>
          <w:szCs w:val="36"/>
          <w:lang w:bidi="en-US"/>
        </w:rPr>
        <w:t>一、基本情况</w:t>
      </w:r>
      <w:bookmarkEnd w:id="0"/>
      <w:bookmarkEnd w:id="1"/>
    </w:p>
    <w:p w14:paraId="595D91C2">
      <w:pPr>
        <w:pStyle w:val="3"/>
        <w:ind w:firstLine="643"/>
        <w:rPr>
          <w:rFonts w:ascii="仿宋" w:hAnsi="仿宋" w:eastAsia="仿宋"/>
          <w:lang w:bidi="en-US"/>
        </w:rPr>
      </w:pPr>
      <w:bookmarkStart w:id="2" w:name="_Toc165277221"/>
      <w:bookmarkStart w:id="3" w:name="_Toc67911602"/>
      <w:r>
        <w:rPr>
          <w:rFonts w:hint="eastAsia" w:ascii="仿宋" w:hAnsi="仿宋" w:eastAsia="仿宋"/>
          <w:lang w:bidi="en-US"/>
        </w:rPr>
        <w:t>（一）项目概况：</w:t>
      </w:r>
      <w:bookmarkEnd w:id="2"/>
      <w:bookmarkEnd w:id="3"/>
    </w:p>
    <w:p w14:paraId="644BF307">
      <w:pPr>
        <w:pStyle w:val="4"/>
        <w:ind w:firstLine="643"/>
      </w:pPr>
      <w:bookmarkStart w:id="4" w:name="_Toc165277222"/>
      <w:r>
        <w:rPr>
          <w:rFonts w:hint="eastAsia"/>
        </w:rPr>
        <w:t>1．项目背景、主要内容及实施情况</w:t>
      </w:r>
      <w:bookmarkEnd w:id="4"/>
    </w:p>
    <w:p w14:paraId="2453C399">
      <w:pPr>
        <w:spacing w:line="360" w:lineRule="auto"/>
        <w:ind w:firstLine="560"/>
        <w:rPr>
          <w:rFonts w:ascii="仿宋_GB2312"/>
        </w:rPr>
      </w:pPr>
      <w:r>
        <w:rPr>
          <w:rFonts w:hint="eastAsia" w:ascii="仿宋_GB2312"/>
        </w:rPr>
        <w:t>该项目实施背景：根据《中华人民共和国政府采购法》，《招投标法》等基本法律，根据关于印发《2023年乌鲁木齐市本级部门预算编制管理工作规程》的通知（乌财预函【2022】15号），关于印发《乌鲁木齐市卫生健康委员会政府采购暂行规定》的通知（乌卫规【2023】2号），医院本着为患者服务，厉行节约为主，依据2023年度政府采购目录标准，通过医院临床各科室提供所需设备购置等，报送可行性论证报告，经医院预算管理委员会研讨，上院党委会讨论研究决定，制订2023年度医院政府采购项目预算。</w:t>
      </w:r>
    </w:p>
    <w:p w14:paraId="23F567B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rPr>
      </w:pPr>
      <w:r>
        <w:rPr>
          <w:rFonts w:hint="eastAsia" w:ascii="仿宋_GB2312"/>
        </w:rPr>
        <w:t>项目2023年的主要实施内容：①</w:t>
      </w:r>
      <w:r>
        <w:rPr>
          <w:rFonts w:hint="eastAsia" w:ascii="仿宋_GB2312"/>
          <w:lang w:val="en-US" w:eastAsia="zh-CN"/>
        </w:rPr>
        <w:t>办公费②印刷费③物业管理费④维修（护）费⑤专用材料费⑥被装购置费⑦其他商品和服务支出⑧办公设备购置⑨专用设备购置⑩大型修缮⑪信</w:t>
      </w:r>
      <w:r>
        <w:rPr>
          <w:rFonts w:hint="eastAsia" w:ascii="仿宋_GB2312"/>
        </w:rPr>
        <w:t>息网络及软件购置更新。</w:t>
      </w:r>
    </w:p>
    <w:p w14:paraId="4843521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_GB2312"/>
        </w:rPr>
      </w:pPr>
      <w:r>
        <w:rPr>
          <w:rFonts w:hint="eastAsia" w:ascii="仿宋_GB2312"/>
        </w:rPr>
        <w:t>2</w:t>
      </w:r>
      <w:r>
        <w:rPr>
          <w:rFonts w:ascii="仿宋_GB2312"/>
        </w:rPr>
        <w:t>023年</w:t>
      </w:r>
      <w:r>
        <w:rPr>
          <w:rFonts w:hint="eastAsia" w:ascii="仿宋_GB2312"/>
        </w:rPr>
        <w:t>实际完成情况为：①</w:t>
      </w:r>
      <w:r>
        <w:rPr>
          <w:rFonts w:hint="eastAsia" w:ascii="仿宋_GB2312"/>
          <w:lang w:val="en-US" w:eastAsia="zh-CN"/>
        </w:rPr>
        <w:t>办公费②印刷费③物业管理费④维修（护）费⑤专用材料费⑥被装购置费⑦其他商品和服务支出⑧办公设备购置⑨专用设备购置⑩大型修缮⑪信</w:t>
      </w:r>
      <w:r>
        <w:rPr>
          <w:rFonts w:hint="eastAsia" w:ascii="仿宋_GB2312"/>
        </w:rPr>
        <w:t>息网络及软件购置更新。</w:t>
      </w:r>
    </w:p>
    <w:p w14:paraId="74775BE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ins w:id="0" w:author="毛倩" w:date="2024-05-15T19:11:00Z"/>
          <w:rFonts w:hint="eastAsia" w:ascii="仿宋_GB2312"/>
        </w:rPr>
      </w:pPr>
    </w:p>
    <w:p w14:paraId="1BA6DEA2">
      <w:pPr>
        <w:spacing w:line="360" w:lineRule="auto"/>
        <w:ind w:firstLine="560"/>
        <w:rPr>
          <w:rFonts w:ascii="仿宋_GB2312"/>
        </w:rPr>
      </w:pPr>
    </w:p>
    <w:p w14:paraId="0476C2A5">
      <w:pPr>
        <w:pStyle w:val="4"/>
        <w:ind w:firstLine="643"/>
      </w:pPr>
      <w:bookmarkStart w:id="5" w:name="_Toc165277223"/>
      <w:r>
        <w:rPr>
          <w:rFonts w:hint="eastAsia"/>
        </w:rPr>
        <w:t>2</w:t>
      </w:r>
      <w:r>
        <w:t>.资金投入和使用情况</w:t>
      </w:r>
      <w:bookmarkEnd w:id="5"/>
    </w:p>
    <w:p w14:paraId="220DD3F7">
      <w:pPr>
        <w:spacing w:line="360" w:lineRule="auto"/>
        <w:ind w:firstLine="560"/>
        <w:rPr>
          <w:rFonts w:ascii="仿宋_GB2312"/>
        </w:rPr>
      </w:pPr>
      <w:r>
        <w:rPr>
          <w:rFonts w:hint="eastAsia" w:ascii="仿宋_GB2312"/>
        </w:rPr>
        <w:t>该项目资金投入情况：经乌财预函【2022】15号文件关于印发《2023年乌鲁木齐市本级部门预算编制管理工作规程》的通知批准，项目系</w:t>
      </w:r>
      <w:r>
        <w:rPr>
          <w:rFonts w:ascii="仿宋_GB2312"/>
        </w:rPr>
        <w:t>2023</w:t>
      </w:r>
      <w:r>
        <w:rPr>
          <w:rFonts w:hint="eastAsia" w:ascii="仿宋_GB2312"/>
        </w:rPr>
        <w:t>年本级资金，共安排预算10644.7万元，年中资金未调整。</w:t>
      </w:r>
    </w:p>
    <w:p w14:paraId="58C64553">
      <w:pPr>
        <w:spacing w:line="360" w:lineRule="auto"/>
        <w:ind w:firstLine="560"/>
        <w:rPr>
          <w:ins w:id="1" w:author="毛倩" w:date="2024-05-15T19:05:00Z"/>
          <w:rFonts w:ascii="仿宋_GB2312"/>
        </w:rPr>
      </w:pPr>
      <w:r>
        <w:rPr>
          <w:rFonts w:hint="eastAsia" w:ascii="仿宋_GB2312"/>
          <w:highlight w:val="none"/>
        </w:rPr>
        <w:t>该项目资金使用情况：总预算</w:t>
      </w:r>
      <w:r>
        <w:rPr>
          <w:rFonts w:ascii="仿宋_GB2312"/>
          <w:highlight w:val="none"/>
        </w:rPr>
        <w:t>10644.78</w:t>
      </w:r>
      <w:r>
        <w:rPr>
          <w:rFonts w:hint="eastAsia" w:ascii="仿宋_GB2312"/>
          <w:highlight w:val="none"/>
          <w:lang w:val="en-US" w:eastAsia="zh-CN"/>
        </w:rPr>
        <w:t>万元</w:t>
      </w:r>
      <w:r>
        <w:rPr>
          <w:rFonts w:hint="eastAsia" w:ascii="仿宋_GB2312"/>
          <w:highlight w:val="none"/>
        </w:rPr>
        <w:t>、资金投入包括①</w:t>
      </w:r>
      <w:r>
        <w:rPr>
          <w:rFonts w:hint="eastAsia" w:ascii="仿宋_GB2312"/>
          <w:highlight w:val="none"/>
          <w:lang w:val="en-US" w:eastAsia="zh-CN"/>
        </w:rPr>
        <w:t>办公费23.6万元</w:t>
      </w:r>
      <w:r>
        <w:rPr>
          <w:rFonts w:hint="eastAsia" w:ascii="仿宋_GB2312"/>
          <w:highlight w:val="none"/>
        </w:rPr>
        <w:t>②</w:t>
      </w:r>
      <w:r>
        <w:rPr>
          <w:rFonts w:hint="eastAsia" w:ascii="仿宋_GB2312"/>
          <w:highlight w:val="none"/>
          <w:lang w:val="en-US" w:eastAsia="zh-CN"/>
        </w:rPr>
        <w:t>印刷费60万元</w:t>
      </w:r>
      <w:r>
        <w:rPr>
          <w:rFonts w:hint="eastAsia" w:ascii="仿宋_GB2312"/>
          <w:highlight w:val="none"/>
        </w:rPr>
        <w:t>③</w:t>
      </w:r>
      <w:r>
        <w:rPr>
          <w:rFonts w:hint="eastAsia" w:ascii="仿宋_GB2312"/>
          <w:highlight w:val="none"/>
          <w:lang w:val="en-US" w:eastAsia="zh-CN"/>
        </w:rPr>
        <w:t>物业管理费160万元</w:t>
      </w:r>
      <w:r>
        <w:rPr>
          <w:rFonts w:hint="eastAsia" w:ascii="仿宋_GB2312"/>
          <w:highlight w:val="none"/>
        </w:rPr>
        <w:t>④</w:t>
      </w:r>
      <w:r>
        <w:rPr>
          <w:rFonts w:hint="eastAsia" w:ascii="仿宋_GB2312"/>
          <w:highlight w:val="none"/>
          <w:lang w:val="en-US" w:eastAsia="zh-CN"/>
        </w:rPr>
        <w:t>维修（护）费71.88万元</w:t>
      </w:r>
      <w:r>
        <w:rPr>
          <w:rFonts w:hint="eastAsia" w:ascii="仿宋_GB2312"/>
          <w:highlight w:val="none"/>
        </w:rPr>
        <w:t>⑤</w:t>
      </w:r>
      <w:r>
        <w:rPr>
          <w:rFonts w:hint="eastAsia" w:ascii="仿宋_GB2312"/>
          <w:highlight w:val="none"/>
          <w:lang w:val="en-US" w:eastAsia="zh-CN"/>
        </w:rPr>
        <w:t>专用材料费7000万元</w:t>
      </w:r>
      <w:r>
        <w:rPr>
          <w:rFonts w:hint="eastAsia" w:ascii="仿宋_GB2312"/>
          <w:highlight w:val="none"/>
        </w:rPr>
        <w:t>⑥</w:t>
      </w:r>
      <w:r>
        <w:rPr>
          <w:rFonts w:hint="eastAsia" w:ascii="仿宋_GB2312"/>
          <w:highlight w:val="none"/>
          <w:lang w:val="en-US" w:eastAsia="zh-CN"/>
        </w:rPr>
        <w:t>被装购置费6.92万元</w:t>
      </w:r>
      <w:r>
        <w:rPr>
          <w:rFonts w:hint="eastAsia" w:ascii="仿宋_GB2312"/>
          <w:highlight w:val="none"/>
        </w:rPr>
        <w:t>⑦</w:t>
      </w:r>
      <w:r>
        <w:rPr>
          <w:rFonts w:hint="eastAsia" w:ascii="仿宋_GB2312"/>
          <w:highlight w:val="none"/>
          <w:lang w:val="en-US" w:eastAsia="zh-CN"/>
        </w:rPr>
        <w:t>其他商品和服务支出102万元</w:t>
      </w:r>
      <w:r>
        <w:rPr>
          <w:rFonts w:hint="eastAsia" w:ascii="仿宋_GB2312"/>
          <w:highlight w:val="none"/>
        </w:rPr>
        <w:t>⑧</w:t>
      </w:r>
      <w:r>
        <w:rPr>
          <w:rFonts w:hint="eastAsia" w:ascii="仿宋_GB2312"/>
          <w:highlight w:val="none"/>
          <w:lang w:val="en-US" w:eastAsia="zh-CN"/>
        </w:rPr>
        <w:t>办公设备购置339.61万元</w:t>
      </w:r>
      <w:r>
        <w:rPr>
          <w:rFonts w:hint="eastAsia" w:ascii="仿宋_GB2312"/>
          <w:highlight w:val="none"/>
        </w:rPr>
        <w:t>⑨</w:t>
      </w:r>
      <w:r>
        <w:rPr>
          <w:rFonts w:hint="eastAsia" w:ascii="仿宋_GB2312"/>
          <w:highlight w:val="none"/>
          <w:lang w:val="en-US" w:eastAsia="zh-CN"/>
        </w:rPr>
        <w:t>专用设备购置1476万元</w:t>
      </w:r>
      <w:r>
        <w:rPr>
          <w:rFonts w:hint="eastAsia" w:ascii="仿宋_GB2312"/>
          <w:highlight w:val="none"/>
        </w:rPr>
        <w:t>⑩</w:t>
      </w:r>
      <w:r>
        <w:rPr>
          <w:rFonts w:hint="eastAsia" w:ascii="仿宋_GB2312"/>
          <w:highlight w:val="none"/>
          <w:lang w:val="en-US" w:eastAsia="zh-CN"/>
        </w:rPr>
        <w:t>大型修缮1073.1万元</w:t>
      </w:r>
      <w:r>
        <w:rPr>
          <w:rFonts w:hint="eastAsia" w:ascii="仿宋_GB2312"/>
          <w:highlight w:val="none"/>
        </w:rPr>
        <w:t>⑪</w:t>
      </w:r>
      <w:r>
        <w:rPr>
          <w:rFonts w:hint="eastAsia" w:ascii="仿宋_GB2312"/>
          <w:highlight w:val="none"/>
          <w:lang w:val="en-US" w:eastAsia="zh-CN"/>
        </w:rPr>
        <w:t>信息网络及软件购置更新331.67万元，合计10644.78万元。预算执行情况：</w:t>
      </w:r>
      <w:r>
        <w:rPr>
          <w:rFonts w:hint="eastAsia" w:ascii="仿宋_GB2312"/>
          <w:highlight w:val="none"/>
        </w:rPr>
        <w:t>①</w:t>
      </w:r>
      <w:r>
        <w:rPr>
          <w:rFonts w:hint="eastAsia" w:ascii="仿宋_GB2312"/>
          <w:highlight w:val="none"/>
          <w:lang w:val="en-US" w:eastAsia="zh-CN"/>
        </w:rPr>
        <w:t>办公费46.82万元</w:t>
      </w:r>
      <w:r>
        <w:rPr>
          <w:rFonts w:hint="eastAsia" w:ascii="仿宋_GB2312"/>
          <w:highlight w:val="none"/>
        </w:rPr>
        <w:t>②</w:t>
      </w:r>
      <w:r>
        <w:rPr>
          <w:rFonts w:hint="eastAsia" w:ascii="仿宋_GB2312"/>
          <w:highlight w:val="none"/>
          <w:lang w:val="en-US" w:eastAsia="zh-CN"/>
        </w:rPr>
        <w:t>印刷费14.98万元</w:t>
      </w:r>
      <w:r>
        <w:rPr>
          <w:rFonts w:hint="eastAsia" w:ascii="仿宋_GB2312"/>
          <w:highlight w:val="none"/>
        </w:rPr>
        <w:t>③</w:t>
      </w:r>
      <w:r>
        <w:rPr>
          <w:rFonts w:hint="eastAsia" w:ascii="仿宋_GB2312"/>
          <w:highlight w:val="none"/>
          <w:lang w:val="en-US" w:eastAsia="zh-CN"/>
        </w:rPr>
        <w:t>物业管理费142.3万元</w:t>
      </w:r>
      <w:r>
        <w:rPr>
          <w:rFonts w:hint="eastAsia" w:ascii="仿宋_GB2312"/>
          <w:highlight w:val="none"/>
        </w:rPr>
        <w:t>④</w:t>
      </w:r>
      <w:r>
        <w:rPr>
          <w:rFonts w:hint="eastAsia" w:ascii="仿宋_GB2312"/>
          <w:highlight w:val="none"/>
          <w:lang w:val="en-US" w:eastAsia="zh-CN"/>
        </w:rPr>
        <w:t>维修（护）费33.54万元</w:t>
      </w:r>
      <w:r>
        <w:rPr>
          <w:rFonts w:hint="eastAsia" w:ascii="仿宋_GB2312"/>
          <w:highlight w:val="none"/>
        </w:rPr>
        <w:t>⑤</w:t>
      </w:r>
      <w:r>
        <w:rPr>
          <w:rFonts w:hint="eastAsia" w:ascii="仿宋_GB2312"/>
          <w:highlight w:val="none"/>
          <w:lang w:val="en-US" w:eastAsia="zh-CN"/>
        </w:rPr>
        <w:t>专用材料费3800.87万元</w:t>
      </w:r>
      <w:r>
        <w:rPr>
          <w:rFonts w:hint="eastAsia" w:ascii="仿宋_GB2312"/>
          <w:highlight w:val="none"/>
        </w:rPr>
        <w:t>⑥</w:t>
      </w:r>
      <w:r>
        <w:rPr>
          <w:rFonts w:hint="eastAsia" w:ascii="仿宋_GB2312"/>
          <w:highlight w:val="none"/>
          <w:lang w:val="en-US" w:eastAsia="zh-CN"/>
        </w:rPr>
        <w:t>被装购置费3.43万元</w:t>
      </w:r>
      <w:r>
        <w:rPr>
          <w:rFonts w:hint="eastAsia" w:ascii="仿宋_GB2312"/>
          <w:highlight w:val="none"/>
        </w:rPr>
        <w:t>⑦</w:t>
      </w:r>
      <w:r>
        <w:rPr>
          <w:rFonts w:hint="eastAsia" w:ascii="仿宋_GB2312"/>
          <w:highlight w:val="none"/>
          <w:lang w:val="en-US" w:eastAsia="zh-CN"/>
        </w:rPr>
        <w:t>其他商品和服务支出29.8万元</w:t>
      </w:r>
      <w:r>
        <w:rPr>
          <w:rFonts w:hint="eastAsia" w:ascii="仿宋_GB2312"/>
          <w:highlight w:val="none"/>
        </w:rPr>
        <w:t>⑧</w:t>
      </w:r>
      <w:r>
        <w:rPr>
          <w:rFonts w:hint="eastAsia" w:ascii="仿宋_GB2312"/>
          <w:highlight w:val="none"/>
          <w:lang w:val="en-US" w:eastAsia="zh-CN"/>
        </w:rPr>
        <w:t>办公设备购置2.05万元</w:t>
      </w:r>
      <w:r>
        <w:rPr>
          <w:rFonts w:hint="eastAsia" w:ascii="仿宋_GB2312"/>
          <w:highlight w:val="none"/>
        </w:rPr>
        <w:t>⑨</w:t>
      </w:r>
      <w:r>
        <w:rPr>
          <w:rFonts w:hint="eastAsia" w:ascii="仿宋_GB2312"/>
          <w:highlight w:val="none"/>
          <w:lang w:val="en-US" w:eastAsia="zh-CN"/>
        </w:rPr>
        <w:t>专用设备购置1334.32万元</w:t>
      </w:r>
      <w:r>
        <w:rPr>
          <w:rFonts w:hint="eastAsia" w:ascii="仿宋_GB2312"/>
          <w:highlight w:val="none"/>
        </w:rPr>
        <w:t>⑩</w:t>
      </w:r>
      <w:r>
        <w:rPr>
          <w:rFonts w:hint="eastAsia" w:ascii="仿宋_GB2312"/>
          <w:highlight w:val="none"/>
          <w:lang w:val="en-US" w:eastAsia="zh-CN"/>
        </w:rPr>
        <w:t>大型修缮205.64万元</w:t>
      </w:r>
      <w:r>
        <w:rPr>
          <w:rFonts w:hint="eastAsia" w:ascii="仿宋_GB2312"/>
          <w:highlight w:val="none"/>
        </w:rPr>
        <w:t>⑪</w:t>
      </w:r>
      <w:r>
        <w:rPr>
          <w:rFonts w:hint="eastAsia" w:ascii="仿宋_GB2312"/>
          <w:highlight w:val="none"/>
          <w:lang w:val="en-US" w:eastAsia="zh-CN"/>
        </w:rPr>
        <w:t>信息网络及软件购置更新163.26万元，合计5777.01万元。预算执行率100%。</w:t>
      </w:r>
    </w:p>
    <w:p w14:paraId="04BB5997">
      <w:pPr>
        <w:pStyle w:val="3"/>
        <w:ind w:firstLine="643"/>
        <w:rPr>
          <w:rFonts w:ascii="仿宋" w:hAnsi="仿宋" w:eastAsia="仿宋"/>
          <w:lang w:bidi="en-US"/>
        </w:rPr>
      </w:pPr>
      <w:bookmarkStart w:id="6" w:name="_Toc165277224"/>
      <w:bookmarkStart w:id="7" w:name="_Toc67911603"/>
      <w:r>
        <w:rPr>
          <w:rFonts w:hint="eastAsia" w:ascii="仿宋" w:hAnsi="仿宋" w:eastAsia="仿宋"/>
          <w:lang w:bidi="en-US"/>
        </w:rPr>
        <w:t>（二）项目绩效目标：</w:t>
      </w:r>
      <w:bookmarkEnd w:id="6"/>
      <w:bookmarkEnd w:id="7"/>
    </w:p>
    <w:p w14:paraId="6028D620">
      <w:pPr>
        <w:spacing w:line="360" w:lineRule="auto"/>
        <w:ind w:firstLine="560"/>
        <w:rPr>
          <w:rFonts w:ascii="仿宋_GB2312" w:hAnsi="仿宋"/>
          <w:szCs w:val="28"/>
        </w:rPr>
      </w:pPr>
      <w:r>
        <w:rPr>
          <w:rFonts w:hint="eastAsia" w:ascii="仿宋_GB2312" w:hAnsi="仿宋"/>
          <w:szCs w:val="28"/>
        </w:rPr>
        <w:t>本项目依据《中共中央国务院关于全面实施预算绩效管理的意见》（中发〔2018〕</w:t>
      </w:r>
      <w:r>
        <w:rPr>
          <w:rFonts w:ascii="仿宋_GB2312" w:hAnsi="仿宋"/>
          <w:szCs w:val="28"/>
        </w:rPr>
        <w:t>34</w:t>
      </w:r>
      <w:r>
        <w:rPr>
          <w:rFonts w:hint="eastAsia" w:ascii="仿宋_GB2312" w:hAnsi="仿宋"/>
          <w:szCs w:val="28"/>
        </w:rPr>
        <w:t>号）、《关于印发&lt;乌鲁木齐市本级部门预算绩效目标管理暂行办法</w:t>
      </w:r>
      <w:r>
        <w:rPr>
          <w:rFonts w:ascii="仿宋_GB2312" w:hAnsi="仿宋"/>
          <w:szCs w:val="28"/>
        </w:rPr>
        <w:t>&gt;</w:t>
      </w:r>
      <w:r>
        <w:rPr>
          <w:rFonts w:hint="eastAsia" w:ascii="仿宋_GB2312" w:hAnsi="仿宋"/>
          <w:szCs w:val="28"/>
        </w:rPr>
        <w:t>的通知》（乌财预</w:t>
      </w:r>
      <w:bookmarkStart w:id="8" w:name="_Hlk67566397"/>
      <w:r>
        <w:rPr>
          <w:rFonts w:hint="eastAsia" w:ascii="仿宋_GB2312" w:hAnsi="仿宋"/>
          <w:szCs w:val="28"/>
        </w:rPr>
        <w:t>〔2018〕</w:t>
      </w:r>
      <w:r>
        <w:rPr>
          <w:rFonts w:ascii="仿宋_GB2312" w:hAnsi="仿宋"/>
          <w:szCs w:val="28"/>
        </w:rPr>
        <w:t>5</w:t>
      </w:r>
      <w:r>
        <w:rPr>
          <w:rFonts w:hint="eastAsia" w:ascii="仿宋_GB2312" w:hAnsi="仿宋"/>
          <w:szCs w:val="28"/>
        </w:rPr>
        <w:t>6号</w:t>
      </w:r>
      <w:bookmarkEnd w:id="8"/>
      <w:r>
        <w:rPr>
          <w:rFonts w:hint="eastAsia" w:ascii="仿宋_GB2312" w:hAnsi="仿宋"/>
          <w:szCs w:val="28"/>
        </w:rPr>
        <w:t>）、《关于做好2</w:t>
      </w:r>
      <w:r>
        <w:rPr>
          <w:rFonts w:ascii="仿宋_GB2312" w:hAnsi="仿宋"/>
          <w:szCs w:val="28"/>
        </w:rPr>
        <w:t>019</w:t>
      </w:r>
      <w:r>
        <w:rPr>
          <w:rFonts w:hint="eastAsia" w:ascii="仿宋_GB2312" w:hAnsi="仿宋"/>
          <w:szCs w:val="28"/>
        </w:rPr>
        <w:t>年部门预算项目支出绩效目标管理有关事宜的通知》（乌财预〔20</w:t>
      </w:r>
      <w:r>
        <w:rPr>
          <w:rFonts w:ascii="仿宋_GB2312" w:hAnsi="仿宋"/>
          <w:szCs w:val="28"/>
        </w:rPr>
        <w:t>18</w:t>
      </w:r>
      <w:r>
        <w:rPr>
          <w:rFonts w:hint="eastAsia" w:ascii="仿宋_GB2312" w:hAnsi="仿宋"/>
          <w:szCs w:val="28"/>
        </w:rPr>
        <w:t>〕</w:t>
      </w:r>
      <w:r>
        <w:rPr>
          <w:rFonts w:ascii="仿宋_GB2312" w:hAnsi="仿宋"/>
          <w:szCs w:val="28"/>
        </w:rPr>
        <w:t>76</w:t>
      </w:r>
      <w:r>
        <w:rPr>
          <w:rFonts w:hint="eastAsia" w:ascii="仿宋_GB2312" w:hAnsi="仿宋"/>
          <w:szCs w:val="28"/>
        </w:rPr>
        <w:t>号）和《项目支出绩效评价管理办法》（财预〔20</w:t>
      </w:r>
      <w:r>
        <w:rPr>
          <w:rFonts w:ascii="仿宋_GB2312" w:hAnsi="仿宋"/>
          <w:szCs w:val="28"/>
        </w:rPr>
        <w:t>20</w:t>
      </w:r>
      <w:r>
        <w:rPr>
          <w:rFonts w:hint="eastAsia" w:ascii="仿宋_GB2312" w:hAnsi="仿宋"/>
          <w:szCs w:val="28"/>
        </w:rPr>
        <w:t>〕</w:t>
      </w:r>
      <w:r>
        <w:rPr>
          <w:rFonts w:ascii="仿宋_GB2312" w:hAnsi="仿宋"/>
          <w:szCs w:val="28"/>
        </w:rPr>
        <w:t>10</w:t>
      </w:r>
      <w:r>
        <w:rPr>
          <w:rFonts w:hint="eastAsia" w:ascii="仿宋_GB2312" w:hAnsi="仿宋"/>
          <w:szCs w:val="28"/>
        </w:rPr>
        <w:t>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14:paraId="3827D4AA">
      <w:pPr>
        <w:spacing w:line="360" w:lineRule="auto"/>
        <w:ind w:firstLine="560"/>
        <w:rPr>
          <w:rFonts w:ascii="仿宋_GB2312" w:hAnsi="仿宋"/>
          <w:szCs w:val="28"/>
        </w:rPr>
      </w:pPr>
      <w:r>
        <w:rPr>
          <w:rFonts w:hint="eastAsia" w:ascii="仿宋_GB2312" w:hAnsi="仿宋"/>
          <w:szCs w:val="28"/>
        </w:rPr>
        <w:t>该项目为</w:t>
      </w:r>
      <w:r>
        <w:rPr>
          <w:rFonts w:ascii="仿宋_GB2312" w:hAnsi="仿宋"/>
          <w:szCs w:val="28"/>
        </w:rPr>
        <w:t>当年一次性项目。</w:t>
      </w:r>
    </w:p>
    <w:p w14:paraId="010E481F">
      <w:pPr>
        <w:spacing w:line="360" w:lineRule="auto"/>
        <w:ind w:firstLine="560"/>
        <w:rPr>
          <w:rFonts w:ascii="仿宋_GB2312" w:hAnsi="仿宋"/>
          <w:szCs w:val="28"/>
        </w:rPr>
      </w:pPr>
      <w:r>
        <w:rPr>
          <w:rFonts w:hint="eastAsia" w:ascii="仿宋_GB2312" w:hAnsi="仿宋"/>
          <w:szCs w:val="28"/>
        </w:rPr>
        <w:t>该项目总体绩效目标：通过</w:t>
      </w:r>
      <w:r>
        <w:rPr>
          <w:rFonts w:ascii="仿宋_GB2312" w:hAnsi="仿宋"/>
          <w:szCs w:val="28"/>
        </w:rPr>
        <w:t>2023年的预算项目采购，完成设备质量合格率达到95%以上，设备验收通过率达到95%以上，通过项目的采购完成，设备正常运转后能使医院的经济效益提升。深化公立医院综合改革，建立健全现代化医院管理制度，协调推行医疗价格、药品物流、医保支付改革，提高医疗卫生服务质量。为患者更好的服务，使患者的满意度有所提高。</w:t>
      </w:r>
    </w:p>
    <w:p w14:paraId="01CC8815">
      <w:pPr>
        <w:pStyle w:val="2"/>
        <w:ind w:firstLine="0" w:firstLineChars="0"/>
        <w:jc w:val="left"/>
        <w:rPr>
          <w:rFonts w:ascii="仿宋" w:hAnsi="仿宋" w:eastAsia="仿宋"/>
          <w:sz w:val="36"/>
          <w:szCs w:val="36"/>
          <w:lang w:bidi="en-US"/>
        </w:rPr>
      </w:pPr>
      <w:bookmarkStart w:id="9" w:name="_Toc67911604"/>
      <w:bookmarkStart w:id="10" w:name="_Toc165277225"/>
      <w:r>
        <w:rPr>
          <w:rFonts w:hint="eastAsia" w:ascii="仿宋" w:hAnsi="仿宋" w:eastAsia="仿宋"/>
          <w:sz w:val="36"/>
          <w:szCs w:val="36"/>
          <w:lang w:bidi="en-US"/>
        </w:rPr>
        <w:t>二、绩效评价工作开展情况</w:t>
      </w:r>
      <w:bookmarkEnd w:id="9"/>
      <w:bookmarkEnd w:id="10"/>
    </w:p>
    <w:p w14:paraId="0407633D">
      <w:pPr>
        <w:pStyle w:val="3"/>
        <w:ind w:firstLine="643"/>
        <w:rPr>
          <w:rFonts w:ascii="仿宋" w:hAnsi="仿宋" w:eastAsia="仿宋"/>
          <w:lang w:bidi="en-US"/>
        </w:rPr>
      </w:pPr>
      <w:bookmarkStart w:id="11" w:name="_Toc165277226"/>
      <w:bookmarkStart w:id="12" w:name="_Toc67911605"/>
      <w:r>
        <w:rPr>
          <w:rFonts w:hint="eastAsia" w:ascii="仿宋" w:hAnsi="仿宋" w:eastAsia="仿宋"/>
          <w:lang w:bidi="en-US"/>
        </w:rPr>
        <w:t>（一）绩效评价目的、对象和范围</w:t>
      </w:r>
      <w:bookmarkEnd w:id="11"/>
      <w:bookmarkEnd w:id="12"/>
    </w:p>
    <w:p w14:paraId="0B8EDAD7">
      <w:pPr>
        <w:pStyle w:val="4"/>
        <w:ind w:firstLine="643"/>
      </w:pPr>
      <w:bookmarkStart w:id="13" w:name="_Toc165277227"/>
      <w:r>
        <w:rPr>
          <w:rFonts w:hint="eastAsia"/>
        </w:rPr>
        <w:t>1</w:t>
      </w:r>
      <w:r>
        <w:t>.绩效评价完整性</w:t>
      </w:r>
      <w:bookmarkEnd w:id="13"/>
    </w:p>
    <w:p w14:paraId="297D8BDD">
      <w:pPr>
        <w:spacing w:line="360" w:lineRule="auto"/>
        <w:ind w:firstLine="560"/>
        <w:rPr>
          <w:rFonts w:ascii="仿宋_GB2312" w:hAnsi="仿宋"/>
          <w:szCs w:val="28"/>
        </w:rPr>
      </w:pPr>
      <w:r>
        <w:rPr>
          <w:rFonts w:hint="eastAsia" w:ascii="仿宋_GB2312" w:hAnsi="仿宋"/>
          <w:szCs w:val="28"/>
        </w:rPr>
        <w:t>首先，项目的目标是通过项目的采购完成，正常运转后能使医院的经济效益提升，2023年医院购置医疗设备、办公设备、信息网络及软件、大型修缮等预算。项目实现的产出情况、取得的效益情况能够通过绩效评价指标体系完整地体现。</w:t>
      </w:r>
    </w:p>
    <w:p w14:paraId="5D2D0D88">
      <w:pPr>
        <w:spacing w:line="360" w:lineRule="auto"/>
        <w:ind w:firstLine="560"/>
        <w:rPr>
          <w:rFonts w:ascii="仿宋_GB2312" w:hAnsi="仿宋"/>
          <w:szCs w:val="28"/>
        </w:rPr>
      </w:pPr>
      <w:r>
        <w:rPr>
          <w:rFonts w:ascii="仿宋_GB2312" w:hAnsi="仿宋"/>
          <w:szCs w:val="28"/>
        </w:rPr>
        <w:t>其次</w:t>
      </w:r>
      <w:r>
        <w:rPr>
          <w:rFonts w:hint="eastAsia" w:ascii="仿宋_GB2312" w:hAnsi="仿宋"/>
          <w:szCs w:val="28"/>
        </w:rPr>
        <w:t>，财务科申报采购，提供资金保障，各科室积极配合，完成年度的项目采购。</w:t>
      </w:r>
    </w:p>
    <w:p w14:paraId="218797DF">
      <w:pPr>
        <w:spacing w:line="360" w:lineRule="auto"/>
        <w:ind w:firstLine="560"/>
        <w:rPr>
          <w:rFonts w:ascii="仿宋_GB2312" w:hAnsi="仿宋"/>
          <w:szCs w:val="28"/>
        </w:rPr>
      </w:pPr>
      <w:r>
        <w:rPr>
          <w:rFonts w:hint="eastAsia" w:ascii="仿宋_GB2312" w:hAnsi="仿宋"/>
          <w:szCs w:val="28"/>
        </w:rPr>
        <w:t>最后，依据2023年度政府采购目录标准，通过医院临床各科室提供所需设备购置等，报送可行性论证报告，经医院预算管理委员会研讨，上院党委会讨论研究决定，制订2023年度医院政府采购项目预算</w:t>
      </w:r>
      <w:r>
        <w:rPr>
          <w:rFonts w:hint="eastAsia" w:ascii="宋体" w:hAnsi="宋体" w:eastAsia="宋体" w:cs="宋体"/>
          <w:color w:val="333333"/>
          <w:sz w:val="21"/>
          <w:szCs w:val="21"/>
          <w:shd w:val="clear" w:color="070000" w:fill="FFFFFF"/>
        </w:rPr>
        <w:t>，</w:t>
      </w:r>
      <w:r>
        <w:rPr>
          <w:rFonts w:hint="eastAsia" w:ascii="仿宋_GB2312" w:hAnsi="仿宋"/>
          <w:szCs w:val="28"/>
        </w:rPr>
        <w:t>确保数据的准确性和完整性。</w:t>
      </w:r>
    </w:p>
    <w:p w14:paraId="22596B5F">
      <w:pPr>
        <w:pStyle w:val="4"/>
        <w:ind w:firstLine="643"/>
      </w:pPr>
      <w:bookmarkStart w:id="14" w:name="_Toc165277228"/>
      <w:r>
        <w:t>2</w:t>
      </w:r>
      <w:r>
        <w:rPr>
          <w:rFonts w:hint="eastAsia"/>
        </w:rPr>
        <w:t>.评价目的</w:t>
      </w:r>
      <w:bookmarkEnd w:id="14"/>
    </w:p>
    <w:p w14:paraId="152533F0">
      <w:pPr>
        <w:spacing w:line="360" w:lineRule="auto"/>
        <w:ind w:firstLine="560"/>
        <w:rPr>
          <w:rFonts w:ascii="仿宋_GB2312"/>
          <w:b/>
          <w:bCs/>
        </w:rPr>
      </w:pPr>
      <w:r>
        <w:rPr>
          <w:rFonts w:hint="eastAsia" w:ascii="仿宋_GB2312"/>
        </w:rPr>
        <w:t>本项工作旨在落实《中共中央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w:t>
      </w:r>
      <w:r>
        <w:rPr>
          <w:rFonts w:hint="eastAsia" w:ascii="仿宋_GB2312"/>
          <w:lang w:val="en-US" w:eastAsia="zh-CN"/>
        </w:rPr>
        <w:t>医疗设备、总务后勤保障及信息化建设项目</w:t>
      </w:r>
      <w:r>
        <w:rPr>
          <w:rFonts w:hint="eastAsia" w:ascii="仿宋_GB2312"/>
        </w:rPr>
        <w:t>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14:paraId="4973C536">
      <w:pPr>
        <w:pStyle w:val="4"/>
        <w:ind w:firstLine="643"/>
      </w:pPr>
      <w:bookmarkStart w:id="15" w:name="_Toc165277229"/>
      <w:r>
        <w:t>3</w:t>
      </w:r>
      <w:r>
        <w:rPr>
          <w:rFonts w:hint="eastAsia"/>
        </w:rPr>
        <w:t>.评价对象</w:t>
      </w:r>
      <w:bookmarkEnd w:id="15"/>
    </w:p>
    <w:p w14:paraId="23B4DCCE">
      <w:pPr>
        <w:spacing w:line="360" w:lineRule="auto"/>
        <w:ind w:firstLine="560"/>
        <w:rPr>
          <w:rFonts w:ascii="仿宋_GB2312"/>
        </w:rPr>
      </w:pPr>
      <w:r>
        <w:rPr>
          <w:rFonts w:hint="eastAsia" w:ascii="仿宋_GB2312"/>
        </w:rPr>
        <w:t>（1）绩效评价的对象：医疗设备、总务后勤保障及信息化建设项目</w:t>
      </w:r>
    </w:p>
    <w:p w14:paraId="7E2F2890">
      <w:pPr>
        <w:pStyle w:val="4"/>
        <w:ind w:firstLine="643"/>
      </w:pPr>
      <w:bookmarkStart w:id="16" w:name="_Toc165277230"/>
      <w:r>
        <w:rPr>
          <w:rFonts w:hint="eastAsia"/>
        </w:rPr>
        <w:t>4</w:t>
      </w:r>
      <w:r>
        <w:t>.</w:t>
      </w:r>
      <w:r>
        <w:rPr>
          <w:rFonts w:hint="eastAsia"/>
        </w:rPr>
        <w:t>绩效评价范围</w:t>
      </w:r>
      <w:bookmarkEnd w:id="16"/>
    </w:p>
    <w:p w14:paraId="3CBC0F77">
      <w:pPr>
        <w:spacing w:line="360" w:lineRule="auto"/>
        <w:ind w:firstLine="560"/>
        <w:rPr>
          <w:rFonts w:ascii="仿宋_GB2312"/>
        </w:rPr>
      </w:pPr>
      <w:r>
        <w:rPr>
          <w:rFonts w:ascii="仿宋_GB2312"/>
        </w:rPr>
        <w:t>1.</w:t>
      </w:r>
      <w:r>
        <w:rPr>
          <w:rFonts w:hint="eastAsia" w:ascii="仿宋_GB2312"/>
        </w:rPr>
        <w:t>时间范围：2</w:t>
      </w:r>
      <w:r>
        <w:rPr>
          <w:rFonts w:ascii="仿宋_GB2312"/>
        </w:rPr>
        <w:t>023</w:t>
      </w:r>
      <w:r>
        <w:rPr>
          <w:rFonts w:hint="eastAsia" w:ascii="仿宋_GB2312"/>
        </w:rPr>
        <w:t>年1月1日至2</w:t>
      </w:r>
      <w:r>
        <w:rPr>
          <w:rFonts w:ascii="仿宋_GB2312"/>
        </w:rPr>
        <w:t>023</w:t>
      </w:r>
      <w:r>
        <w:rPr>
          <w:rFonts w:hint="eastAsia" w:ascii="仿宋_GB2312"/>
        </w:rPr>
        <w:t>年1</w:t>
      </w:r>
      <w:r>
        <w:rPr>
          <w:rFonts w:ascii="仿宋_GB2312"/>
        </w:rPr>
        <w:t>2</w:t>
      </w:r>
      <w:r>
        <w:rPr>
          <w:rFonts w:hint="eastAsia" w:ascii="仿宋_GB2312"/>
        </w:rPr>
        <w:t>月3</w:t>
      </w:r>
      <w:r>
        <w:rPr>
          <w:rFonts w:ascii="仿宋_GB2312"/>
        </w:rPr>
        <w:t>1</w:t>
      </w:r>
      <w:r>
        <w:rPr>
          <w:rFonts w:hint="eastAsia" w:ascii="仿宋_GB2312"/>
        </w:rPr>
        <w:t>日。</w:t>
      </w:r>
    </w:p>
    <w:p w14:paraId="51DF8065">
      <w:pPr>
        <w:spacing w:line="360" w:lineRule="auto"/>
        <w:ind w:firstLine="560"/>
        <w:rPr>
          <w:rFonts w:ascii="仿宋_GB2312"/>
        </w:rPr>
      </w:pPr>
      <w:r>
        <w:rPr>
          <w:rFonts w:ascii="仿宋_GB2312"/>
        </w:rPr>
        <w:t>2.</w:t>
      </w:r>
      <w:r>
        <w:rPr>
          <w:rFonts w:hint="eastAsia" w:ascii="仿宋_GB2312"/>
        </w:rPr>
        <w:t>项目范围：</w:t>
      </w:r>
      <w:r>
        <w:rPr>
          <w:rFonts w:hint="eastAsia" w:ascii="仿宋_GB2312"/>
          <w:highlight w:val="none"/>
        </w:rPr>
        <w:t>医疗设备、总务后勤保障及信息化建设项目的</w:t>
      </w:r>
      <w:r>
        <w:rPr>
          <w:rFonts w:hint="eastAsia" w:ascii="仿宋_GB2312"/>
          <w:highlight w:val="none"/>
          <w:lang w:val="en-US" w:eastAsia="zh-CN"/>
        </w:rPr>
        <w:t>项目背景、主要内容及实施情况</w:t>
      </w:r>
      <w:r>
        <w:rPr>
          <w:rFonts w:hint="eastAsia" w:ascii="仿宋_GB2312"/>
          <w:highlight w:val="none"/>
        </w:rPr>
        <w:t>、</w:t>
      </w:r>
      <w:r>
        <w:rPr>
          <w:rFonts w:hint="eastAsia" w:ascii="仿宋_GB2312"/>
          <w:highlight w:val="none"/>
          <w:lang w:val="en-US" w:eastAsia="zh-CN"/>
        </w:rPr>
        <w:t>资金投入及使用情况、</w:t>
      </w:r>
      <w:r>
        <w:rPr>
          <w:rFonts w:hint="eastAsia" w:ascii="仿宋_GB2312"/>
        </w:rPr>
        <w:t>进一步了解</w:t>
      </w:r>
      <w:r>
        <w:rPr>
          <w:rFonts w:hint="eastAsia" w:ascii="仿宋_GB2312"/>
          <w:lang w:val="en-US" w:eastAsia="zh-CN"/>
        </w:rPr>
        <w:t>医疗设备、总务后勤保障及信息化建设项目</w:t>
      </w:r>
      <w:r>
        <w:rPr>
          <w:rFonts w:hint="eastAsia" w:ascii="仿宋_GB2312"/>
        </w:rPr>
        <w:t>实施情况，并考察项目实施过程和效果。</w:t>
      </w:r>
      <w:r>
        <w:rPr>
          <w:rFonts w:hint="eastAsia" w:ascii="仿宋_GB2312" w:hAnsi="仿宋" w:cs="宋体"/>
          <w:kern w:val="0"/>
          <w:szCs w:val="28"/>
        </w:rPr>
        <w:t>我单位依据《中华人民共和国政府采购法》、《招投标法》等基本法律，坚持做到“公平、公正、公开”合理、节约、效率的阳光采购原则，严格工作程序，规范申报制度，杜绝单位逃避政府采购流程，违规操作等行为，基本完成年初制定的目标。在政府采购活动中，各部门零星需要，随机需要采购次数多，量小，采购规模小，不能有效整合。</w:t>
      </w:r>
      <w:r>
        <w:rPr>
          <w:rFonts w:hint="eastAsia" w:ascii="仿宋_GB2312"/>
          <w:szCs w:val="28"/>
        </w:rPr>
        <w:t>对2</w:t>
      </w:r>
      <w:r>
        <w:rPr>
          <w:rFonts w:ascii="仿宋_GB2312"/>
          <w:szCs w:val="28"/>
        </w:rPr>
        <w:t>023</w:t>
      </w:r>
      <w:r>
        <w:rPr>
          <w:rFonts w:hint="eastAsia" w:ascii="仿宋_GB2312"/>
          <w:szCs w:val="28"/>
        </w:rPr>
        <w:t>年</w:t>
      </w:r>
      <w:r>
        <w:rPr>
          <w:rFonts w:hint="eastAsia" w:ascii="仿宋_GB2312"/>
        </w:rPr>
        <w:t>医疗设备、总务后勤保障及信息化建设项目</w:t>
      </w:r>
      <w:r>
        <w:rPr>
          <w:rFonts w:hint="eastAsia" w:ascii="仿宋_GB2312"/>
          <w:szCs w:val="28"/>
        </w:rPr>
        <w:t>进行客观评价，最终评分结果为：总分为100分，绩效评级为“优”</w:t>
      </w:r>
      <w:r>
        <w:rPr>
          <w:rFonts w:hint="eastAsia" w:ascii="仿宋_GB2312"/>
          <w:szCs w:val="28"/>
          <w:lang w:eastAsia="zh-CN"/>
        </w:rPr>
        <w:t>。</w:t>
      </w:r>
    </w:p>
    <w:p w14:paraId="6C52794A">
      <w:pPr>
        <w:pStyle w:val="3"/>
        <w:ind w:firstLine="643"/>
        <w:rPr>
          <w:rFonts w:ascii="仿宋" w:hAnsi="仿宋" w:eastAsia="仿宋"/>
          <w:lang w:bidi="en-US"/>
        </w:rPr>
      </w:pPr>
      <w:bookmarkStart w:id="17" w:name="_Toc67911606"/>
      <w:bookmarkStart w:id="18" w:name="_Toc165277231"/>
      <w:bookmarkStart w:id="19" w:name="_Hlk67586765"/>
      <w:r>
        <w:rPr>
          <w:rFonts w:hint="eastAsia" w:ascii="仿宋" w:hAnsi="仿宋" w:eastAsia="仿宋"/>
          <w:lang w:bidi="en-US"/>
        </w:rPr>
        <w:t>（二）绩效评价原则、指标体系、方法及标准</w:t>
      </w:r>
      <w:bookmarkEnd w:id="17"/>
      <w:bookmarkEnd w:id="18"/>
    </w:p>
    <w:bookmarkEnd w:id="19"/>
    <w:p w14:paraId="70AF4D4B">
      <w:pPr>
        <w:pStyle w:val="4"/>
        <w:ind w:firstLine="643"/>
      </w:pPr>
      <w:bookmarkStart w:id="20" w:name="_Toc165277232"/>
      <w:r>
        <w:rPr>
          <w:rFonts w:hint="eastAsia"/>
        </w:rPr>
        <w:t>1</w:t>
      </w:r>
      <w:r>
        <w:t>.</w:t>
      </w:r>
      <w:r>
        <w:rPr>
          <w:rFonts w:hint="eastAsia"/>
        </w:rPr>
        <w:t>评价原则</w:t>
      </w:r>
      <w:bookmarkEnd w:id="20"/>
    </w:p>
    <w:p w14:paraId="10403F52">
      <w:pPr>
        <w:spacing w:line="600" w:lineRule="exact"/>
        <w:ind w:firstLine="640"/>
        <w:rPr>
          <w:rFonts w:ascii="仿宋_GB2312"/>
          <w:bCs/>
          <w:sz w:val="32"/>
          <w:szCs w:val="32"/>
        </w:rPr>
      </w:pPr>
      <w:r>
        <w:rPr>
          <w:rFonts w:hint="eastAsia" w:ascii="仿宋_GB2312"/>
          <w:bCs/>
          <w:sz w:val="32"/>
          <w:szCs w:val="32"/>
        </w:rPr>
        <w:t>（一）科学公正。绩效评价应当运用科学合理的方法，按照规范的程序，对项目绩效进行客观、公正的反映。</w:t>
      </w:r>
    </w:p>
    <w:p w14:paraId="085CB3B9">
      <w:pPr>
        <w:spacing w:line="600" w:lineRule="exact"/>
        <w:ind w:firstLine="640"/>
        <w:rPr>
          <w:rFonts w:ascii="仿宋_GB2312"/>
          <w:bCs/>
          <w:sz w:val="32"/>
          <w:szCs w:val="32"/>
        </w:rPr>
      </w:pPr>
      <w:r>
        <w:rPr>
          <w:rFonts w:hint="eastAsia" w:ascii="仿宋_GB2312"/>
          <w:bCs/>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p>
    <w:p w14:paraId="017CEDEF">
      <w:pPr>
        <w:spacing w:line="600" w:lineRule="exact"/>
        <w:ind w:firstLine="640"/>
        <w:rPr>
          <w:rFonts w:ascii="仿宋_GB2312"/>
          <w:bCs/>
          <w:sz w:val="32"/>
          <w:szCs w:val="32"/>
        </w:rPr>
      </w:pPr>
      <w:r>
        <w:rPr>
          <w:rFonts w:hint="eastAsia" w:ascii="仿宋_GB2312"/>
          <w:bCs/>
          <w:sz w:val="32"/>
          <w:szCs w:val="32"/>
        </w:rPr>
        <w:t>（三）激励约束。绩效评价结果应与预算安排、政策调整、改进管理实质性挂钩，体现奖优罚劣和激励相容导向，有效要安排、低效要压减、无效要问责。</w:t>
      </w:r>
    </w:p>
    <w:p w14:paraId="1E714617">
      <w:pPr>
        <w:spacing w:line="600" w:lineRule="exact"/>
        <w:ind w:firstLine="640"/>
        <w:rPr>
          <w:rFonts w:ascii="仿宋_GB2312"/>
          <w:bCs/>
          <w:sz w:val="32"/>
          <w:szCs w:val="32"/>
        </w:rPr>
      </w:pPr>
      <w:r>
        <w:rPr>
          <w:rFonts w:hint="eastAsia" w:ascii="仿宋_GB2312"/>
          <w:bCs/>
          <w:sz w:val="32"/>
          <w:szCs w:val="32"/>
        </w:rPr>
        <w:t>（四）公开透明。绩效评价结果应依法依规公开，并自觉接受社会监督。</w:t>
      </w:r>
    </w:p>
    <w:p w14:paraId="6D7B3A0D">
      <w:pPr>
        <w:pStyle w:val="4"/>
        <w:ind w:firstLine="643"/>
      </w:pPr>
      <w:bookmarkStart w:id="21" w:name="_Toc165277233"/>
      <w:r>
        <w:t>2.</w:t>
      </w:r>
      <w:r>
        <w:rPr>
          <w:rFonts w:hint="eastAsia"/>
        </w:rPr>
        <w:t>评价指标体系</w:t>
      </w:r>
      <w:bookmarkEnd w:id="21"/>
    </w:p>
    <w:p w14:paraId="5D5F78C6">
      <w:pPr>
        <w:spacing w:line="360" w:lineRule="auto"/>
        <w:ind w:firstLine="560"/>
        <w:rPr>
          <w:rFonts w:ascii="仿宋_GB2312"/>
        </w:rPr>
      </w:pPr>
      <w:r>
        <w:rPr>
          <w:rFonts w:hint="eastAsia" w:ascii="仿宋_GB2312"/>
        </w:rPr>
        <w:t>绩效评价指标体系作为衡量绩效目标实现程度的考核工具，一般遵循以下原则：</w:t>
      </w:r>
    </w:p>
    <w:p w14:paraId="61816CEC">
      <w:pPr>
        <w:spacing w:line="360" w:lineRule="auto"/>
        <w:ind w:firstLine="560"/>
        <w:rPr>
          <w:rFonts w:ascii="仿宋_GB2312"/>
        </w:rPr>
      </w:pPr>
      <w:r>
        <w:rPr>
          <w:rFonts w:hint="eastAsia" w:ascii="仿宋_GB2312"/>
        </w:rPr>
        <w:t>（1）相关性原则：绩效评价指标应当与绩效目标有直接的联系，能够恰当反映目标的实现程度。</w:t>
      </w:r>
    </w:p>
    <w:p w14:paraId="6B9E0132">
      <w:pPr>
        <w:spacing w:line="360" w:lineRule="auto"/>
        <w:ind w:firstLine="560"/>
        <w:rPr>
          <w:rFonts w:ascii="仿宋_GB2312"/>
        </w:rPr>
      </w:pPr>
      <w:r>
        <w:rPr>
          <w:rFonts w:hint="eastAsia" w:ascii="仿宋_GB2312"/>
        </w:rPr>
        <w:t>（2）重要性原则：应当优先使用最具评价对象代表性、最能反映评价要求的核心指标。</w:t>
      </w:r>
    </w:p>
    <w:p w14:paraId="0D8983E6">
      <w:pPr>
        <w:spacing w:line="360" w:lineRule="auto"/>
        <w:ind w:firstLine="560"/>
        <w:rPr>
          <w:rFonts w:ascii="仿宋_GB2312"/>
        </w:rPr>
      </w:pPr>
      <w:r>
        <w:rPr>
          <w:rFonts w:hint="eastAsia" w:ascii="仿宋_GB2312"/>
        </w:rPr>
        <w:t>（3）可比性原则：对同类评价对象要设定共性的绩效评价指标，以便于评价结果可以相互比较。</w:t>
      </w:r>
    </w:p>
    <w:p w14:paraId="2192C049">
      <w:pPr>
        <w:spacing w:line="360" w:lineRule="auto"/>
        <w:ind w:firstLine="560"/>
        <w:rPr>
          <w:rFonts w:ascii="仿宋_GB2312"/>
        </w:rPr>
      </w:pPr>
      <w:r>
        <w:rPr>
          <w:rFonts w:hint="eastAsia" w:ascii="仿宋_GB2312"/>
        </w:rPr>
        <w:t>（4）系统性原则：绩效评价指标的设置应当将定量指标与定性指标相结合，能系统反映财政支出所产生的社会效益、经济效益和可持续影响等。</w:t>
      </w:r>
    </w:p>
    <w:p w14:paraId="508D53CA">
      <w:pPr>
        <w:spacing w:line="360" w:lineRule="auto"/>
        <w:ind w:firstLine="560"/>
        <w:rPr>
          <w:rFonts w:ascii="仿宋_GB2312"/>
        </w:rPr>
      </w:pPr>
      <w:r>
        <w:rPr>
          <w:rFonts w:hint="eastAsia" w:ascii="仿宋_GB2312"/>
        </w:rPr>
        <w:t>（5）经济性原则：绩效评价指标设计应当通俗易懂、简便易行，数据的获得应当考虑现实条件和可操作性，符合成本效益原则。</w:t>
      </w:r>
    </w:p>
    <w:p w14:paraId="48A75AF1">
      <w:pPr>
        <w:spacing w:line="360" w:lineRule="auto"/>
        <w:ind w:firstLine="560"/>
        <w:rPr>
          <w:rFonts w:ascii="仿宋_GB2312"/>
          <w:highlight w:val="none"/>
        </w:rPr>
      </w:pPr>
      <w:r>
        <w:rPr>
          <w:rFonts w:hint="eastAsia" w:ascii="仿宋_GB2312"/>
          <w:highlight w:val="none"/>
        </w:rPr>
        <w:t>本项目的评价指标体系建立如下表所示。</w:t>
      </w:r>
    </w:p>
    <w:p w14:paraId="2CEC5AE3">
      <w:pPr>
        <w:spacing w:line="360" w:lineRule="auto"/>
        <w:ind w:firstLine="560"/>
        <w:rPr>
          <w:rFonts w:ascii="仿宋_GB2312"/>
        </w:rPr>
      </w:pPr>
    </w:p>
    <w:p w14:paraId="6AF4A5CA">
      <w:pPr>
        <w:spacing w:line="360" w:lineRule="auto"/>
        <w:ind w:firstLine="560"/>
        <w:rPr>
          <w:rFonts w:ascii="仿宋_GB2312"/>
        </w:rPr>
      </w:pPr>
    </w:p>
    <w:p w14:paraId="05507EEE">
      <w:pPr>
        <w:spacing w:line="360" w:lineRule="auto"/>
        <w:ind w:firstLine="560"/>
        <w:rPr>
          <w:rFonts w:ascii="仿宋_GB2312"/>
        </w:rPr>
        <w:sectPr>
          <w:headerReference r:id="rId11" w:type="default"/>
          <w:footerReference r:id="rId12" w:type="default"/>
          <w:footnotePr>
            <w:numFmt w:val="decimalEnclosedCircleChinese"/>
          </w:footnotePr>
          <w:pgSz w:w="11906" w:h="16838"/>
          <w:pgMar w:top="1440" w:right="1800" w:bottom="1440" w:left="1800" w:header="992" w:footer="992" w:gutter="0"/>
          <w:pgNumType w:start="1"/>
          <w:cols w:space="720" w:num="1"/>
          <w:docGrid w:type="lines" w:linePitch="381" w:charSpace="0"/>
        </w:sectPr>
      </w:pPr>
    </w:p>
    <w:p w14:paraId="6824B5B6">
      <w:pPr>
        <w:spacing w:line="360" w:lineRule="auto"/>
        <w:ind w:firstLine="0" w:firstLineChars="0"/>
        <w:jc w:val="center"/>
        <w:rPr>
          <w:rFonts w:ascii="仿宋_GB2312"/>
          <w:b/>
          <w:bCs/>
        </w:rPr>
      </w:pPr>
      <w:r>
        <w:rPr>
          <w:rFonts w:ascii="仿宋_GB2312"/>
          <w:b/>
          <w:bCs/>
        </w:rPr>
        <w:t xml:space="preserve">  </w:t>
      </w:r>
      <w:r>
        <w:rPr>
          <w:rFonts w:hint="eastAsia" w:ascii="仿宋_GB2312"/>
          <w:b/>
          <w:bCs/>
        </w:rPr>
        <w:t>项目支出绩效评价指标体系</w:t>
      </w:r>
    </w:p>
    <w:tbl>
      <w:tblPr>
        <w:tblStyle w:val="15"/>
        <w:tblW w:w="1389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14:paraId="3F5BDC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vAlign w:val="center"/>
          </w:tcPr>
          <w:p w14:paraId="6D352917">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199" w:type="dxa"/>
            <w:tcBorders>
              <w:tl2br w:val="nil"/>
              <w:tr2bl w:val="nil"/>
            </w:tcBorders>
            <w:shd w:val="clear" w:color="auto" w:fill="D0CECE"/>
            <w:vAlign w:val="center"/>
          </w:tcPr>
          <w:p w14:paraId="290FE1D0">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411" w:type="dxa"/>
            <w:tcBorders>
              <w:tl2br w:val="nil"/>
              <w:tr2bl w:val="nil"/>
            </w:tcBorders>
            <w:shd w:val="clear" w:color="auto" w:fill="D0CECE"/>
            <w:vAlign w:val="center"/>
          </w:tcPr>
          <w:p w14:paraId="11D095CA">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2789" w:type="dxa"/>
            <w:tcBorders>
              <w:tl2br w:val="nil"/>
              <w:tr2bl w:val="nil"/>
            </w:tcBorders>
            <w:shd w:val="clear" w:color="auto" w:fill="D0CECE"/>
            <w:vAlign w:val="center"/>
          </w:tcPr>
          <w:p w14:paraId="7C3299EB">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7341" w:type="dxa"/>
            <w:tcBorders>
              <w:tl2br w:val="nil"/>
              <w:tr2bl w:val="nil"/>
            </w:tcBorders>
            <w:shd w:val="clear" w:color="auto" w:fill="D0CECE"/>
            <w:vAlign w:val="center"/>
          </w:tcPr>
          <w:p w14:paraId="48BACD55">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指标说明</w:t>
            </w:r>
          </w:p>
        </w:tc>
      </w:tr>
      <w:tr w14:paraId="62F64B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14:paraId="427E5226">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决策</w:t>
            </w:r>
          </w:p>
        </w:tc>
        <w:tc>
          <w:tcPr>
            <w:tcW w:w="1199" w:type="dxa"/>
            <w:vMerge w:val="restart"/>
            <w:tcBorders>
              <w:tl2br w:val="nil"/>
              <w:tr2bl w:val="nil"/>
            </w:tcBorders>
            <w:shd w:val="clear" w:color="auto" w:fill="FFFFFF"/>
            <w:vAlign w:val="center"/>
          </w:tcPr>
          <w:p w14:paraId="4DB23DD2">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项目立项</w:t>
            </w:r>
          </w:p>
        </w:tc>
        <w:tc>
          <w:tcPr>
            <w:tcW w:w="1411" w:type="dxa"/>
            <w:tcBorders>
              <w:tl2br w:val="nil"/>
              <w:tr2bl w:val="nil"/>
            </w:tcBorders>
            <w:shd w:val="clear" w:color="auto" w:fill="FFFFFF"/>
            <w:vAlign w:val="center"/>
          </w:tcPr>
          <w:p w14:paraId="1911E179">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立项依据</w:t>
            </w:r>
          </w:p>
          <w:p w14:paraId="3576B36D">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充分性</w:t>
            </w:r>
          </w:p>
        </w:tc>
        <w:tc>
          <w:tcPr>
            <w:tcW w:w="2789" w:type="dxa"/>
            <w:tcBorders>
              <w:tl2br w:val="nil"/>
              <w:tr2bl w:val="nil"/>
            </w:tcBorders>
            <w:shd w:val="clear" w:color="auto" w:fill="FFFFFF"/>
            <w:vAlign w:val="center"/>
          </w:tcPr>
          <w:p w14:paraId="3FC1C572">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14:paraId="446F983E">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①项目立项是否符合国家法律法规、国民经济发展规划和相关政策；</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②项目立项是否符合行业发展规划和政策要求；</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③项目立项是否与部门职责范围相符，属于部门履职所需；</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④项目是否属于公共财政支持范围，是否符合中央、地方事权支出责任划分原则；</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⑤项目是否与相关部门同类项目或部门内部相关项目重复。</w:t>
            </w:r>
          </w:p>
        </w:tc>
      </w:tr>
      <w:tr w14:paraId="6E435E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14:paraId="06D8BE49">
            <w:pPr>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5EE85175">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14:paraId="03C6469D">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立项程序</w:t>
            </w:r>
          </w:p>
          <w:p w14:paraId="2B7E0580">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规范性</w:t>
            </w:r>
          </w:p>
        </w:tc>
        <w:tc>
          <w:tcPr>
            <w:tcW w:w="2789" w:type="dxa"/>
            <w:tcBorders>
              <w:tl2br w:val="nil"/>
              <w:tr2bl w:val="nil"/>
            </w:tcBorders>
            <w:shd w:val="clear" w:color="auto" w:fill="FFFFFF"/>
            <w:vAlign w:val="center"/>
          </w:tcPr>
          <w:p w14:paraId="0320430F">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14:paraId="3F9D7BA6">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①项目是否按照规定的程序申请设立；</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②审批文件、材料是否符合相关要求；</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③事前是否已经过必要的可行性研究、专家论证、风险评估、绩效评估、集体决策。</w:t>
            </w:r>
          </w:p>
        </w:tc>
      </w:tr>
      <w:tr w14:paraId="56C4DE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14:paraId="4602B1A8">
            <w:pPr>
              <w:ind w:firstLine="0" w:firstLineChars="0"/>
              <w:jc w:val="center"/>
              <w:rPr>
                <w:rFonts w:ascii="宋体" w:hAnsi="宋体" w:eastAsia="宋体" w:cs="宋体"/>
                <w:color w:val="000000"/>
                <w:kern w:val="0"/>
                <w:sz w:val="22"/>
              </w:rPr>
            </w:pPr>
          </w:p>
        </w:tc>
        <w:tc>
          <w:tcPr>
            <w:tcW w:w="1199" w:type="dxa"/>
            <w:tcBorders>
              <w:tl2br w:val="nil"/>
              <w:tr2bl w:val="nil"/>
            </w:tcBorders>
            <w:shd w:val="clear" w:color="auto" w:fill="FFFFFF"/>
            <w:vAlign w:val="center"/>
          </w:tcPr>
          <w:p w14:paraId="72514E34">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tc>
        <w:tc>
          <w:tcPr>
            <w:tcW w:w="1411" w:type="dxa"/>
            <w:tcBorders>
              <w:tl2br w:val="nil"/>
              <w:tr2bl w:val="nil"/>
            </w:tcBorders>
            <w:shd w:val="clear" w:color="auto" w:fill="FFFFFF"/>
            <w:vAlign w:val="center"/>
          </w:tcPr>
          <w:p w14:paraId="34DCBD04">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p w14:paraId="400DBEBC">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合理性</w:t>
            </w:r>
          </w:p>
        </w:tc>
        <w:tc>
          <w:tcPr>
            <w:tcW w:w="2789" w:type="dxa"/>
            <w:tcBorders>
              <w:tl2br w:val="nil"/>
              <w:tr2bl w:val="nil"/>
            </w:tcBorders>
            <w:shd w:val="clear" w:color="000000" w:fill="FFFFFF"/>
            <w:vAlign w:val="center"/>
          </w:tcPr>
          <w:p w14:paraId="6E9907D9">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16FC684A">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（如未设定预算绩效目标，也可考核其他工作任务目标）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①项目是否有绩效目标；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②项目绩效目标与实际工作内容是否具有相关性；</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③项目预期产出效益和效果是否符合正常的业绩水平；</w:t>
            </w:r>
          </w:p>
          <w:p w14:paraId="5717B629">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④是否与预算确定的项目投资额或资金量相匹配。</w:t>
            </w:r>
          </w:p>
        </w:tc>
      </w:tr>
      <w:tr w14:paraId="42F3B0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14:paraId="27CB06C5">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决策</w:t>
            </w:r>
          </w:p>
        </w:tc>
        <w:tc>
          <w:tcPr>
            <w:tcW w:w="1199" w:type="dxa"/>
            <w:tcBorders>
              <w:tl2br w:val="nil"/>
              <w:tr2bl w:val="nil"/>
            </w:tcBorders>
            <w:shd w:val="clear" w:color="auto" w:fill="FFFFFF"/>
            <w:vAlign w:val="center"/>
          </w:tcPr>
          <w:p w14:paraId="20FCEB77">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tc>
        <w:tc>
          <w:tcPr>
            <w:tcW w:w="1411" w:type="dxa"/>
            <w:tcBorders>
              <w:tl2br w:val="nil"/>
              <w:tr2bl w:val="nil"/>
            </w:tcBorders>
            <w:shd w:val="clear" w:color="auto" w:fill="FFFFFF"/>
            <w:vAlign w:val="center"/>
          </w:tcPr>
          <w:p w14:paraId="6C49360C">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绩效指标</w:t>
            </w:r>
          </w:p>
          <w:p w14:paraId="4AD5927F">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明确性</w:t>
            </w:r>
          </w:p>
        </w:tc>
        <w:tc>
          <w:tcPr>
            <w:tcW w:w="2789" w:type="dxa"/>
            <w:tcBorders>
              <w:tl2br w:val="nil"/>
              <w:tr2bl w:val="nil"/>
            </w:tcBorders>
            <w:shd w:val="clear" w:color="000000" w:fill="FFFFFF"/>
            <w:vAlign w:val="center"/>
          </w:tcPr>
          <w:p w14:paraId="0683F57E">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14:paraId="262AB555">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①是否将项目绩效目标细化分解为具体的绩效指标；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②是否通过清晰、可衡量的指标值予以体现；</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③是否与项目目标任务数或计划数相对应。</w:t>
            </w:r>
            <w:r>
              <w:rPr>
                <w:rFonts w:hint="eastAsia" w:ascii="宋体" w:hAnsi="宋体" w:eastAsia="宋体" w:cs="宋体"/>
                <w:color w:val="000000"/>
                <w:kern w:val="0"/>
                <w:sz w:val="22"/>
              </w:rPr>
              <w:br w:type="textWrapping"/>
            </w:r>
          </w:p>
        </w:tc>
      </w:tr>
      <w:tr w14:paraId="69E2A3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14:paraId="6161EB04">
            <w:pPr>
              <w:ind w:firstLine="0" w:firstLineChars="0"/>
              <w:jc w:val="center"/>
              <w:rPr>
                <w:rFonts w:ascii="宋体" w:hAnsi="宋体" w:eastAsia="宋体" w:cs="宋体"/>
                <w:color w:val="000000"/>
                <w:kern w:val="0"/>
                <w:sz w:val="22"/>
              </w:rPr>
            </w:pPr>
          </w:p>
        </w:tc>
        <w:tc>
          <w:tcPr>
            <w:tcW w:w="1199" w:type="dxa"/>
            <w:vMerge w:val="restart"/>
            <w:tcBorders>
              <w:tl2br w:val="nil"/>
              <w:tr2bl w:val="nil"/>
            </w:tcBorders>
            <w:shd w:val="clear" w:color="auto" w:fill="FFFFFF"/>
            <w:vAlign w:val="center"/>
          </w:tcPr>
          <w:p w14:paraId="1B953535">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资金投入</w:t>
            </w:r>
          </w:p>
        </w:tc>
        <w:tc>
          <w:tcPr>
            <w:tcW w:w="1411" w:type="dxa"/>
            <w:tcBorders>
              <w:tl2br w:val="nil"/>
              <w:tr2bl w:val="nil"/>
            </w:tcBorders>
            <w:shd w:val="clear" w:color="auto" w:fill="FFFFFF"/>
            <w:vAlign w:val="center"/>
          </w:tcPr>
          <w:p w14:paraId="2D1E5E9C">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预算编制</w:t>
            </w:r>
          </w:p>
          <w:p w14:paraId="052D709A">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科学性</w:t>
            </w:r>
          </w:p>
        </w:tc>
        <w:tc>
          <w:tcPr>
            <w:tcW w:w="2789" w:type="dxa"/>
            <w:tcBorders>
              <w:tl2br w:val="nil"/>
              <w:tr2bl w:val="nil"/>
            </w:tcBorders>
            <w:shd w:val="clear" w:color="auto" w:fill="FFFFFF"/>
            <w:vAlign w:val="center"/>
          </w:tcPr>
          <w:p w14:paraId="56B6B10C">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45E3289B">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①预算编制是否经过科学论证；</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②预算内容与项目内容是否匹配；</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③预算额度测算依据是否充分，是否按照标准编制；</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④预算确定的项目投资额或资金量是否与工作任务相匹配。</w:t>
            </w:r>
          </w:p>
        </w:tc>
      </w:tr>
      <w:tr w14:paraId="0E49B2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14:paraId="1FCCB5E4">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6D5C4DBF">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14:paraId="5BF96AE1">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资金分配</w:t>
            </w:r>
          </w:p>
          <w:p w14:paraId="0C723083">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合理性</w:t>
            </w:r>
          </w:p>
        </w:tc>
        <w:tc>
          <w:tcPr>
            <w:tcW w:w="2789" w:type="dxa"/>
            <w:tcBorders>
              <w:tl2br w:val="nil"/>
              <w:tr2bl w:val="nil"/>
            </w:tcBorders>
            <w:shd w:val="clear" w:color="auto" w:fill="FFFFFF"/>
            <w:vAlign w:val="center"/>
          </w:tcPr>
          <w:p w14:paraId="48E0C821">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14:paraId="302A9BFA">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①预算资金分配依据是否充分；</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②资金分配额度是否合理，与项目单位或地方实际是否相适应。</w:t>
            </w:r>
          </w:p>
        </w:tc>
      </w:tr>
      <w:tr w14:paraId="79D36A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14:paraId="43E32D28">
            <w:pPr>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过程</w:t>
            </w:r>
          </w:p>
        </w:tc>
        <w:tc>
          <w:tcPr>
            <w:tcW w:w="1199" w:type="dxa"/>
            <w:vMerge w:val="restart"/>
            <w:tcBorders>
              <w:tl2br w:val="nil"/>
              <w:tr2bl w:val="nil"/>
            </w:tcBorders>
            <w:shd w:val="clear" w:color="auto" w:fill="FFFFFF"/>
            <w:vAlign w:val="center"/>
          </w:tcPr>
          <w:p w14:paraId="66466009">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资金管理</w:t>
            </w:r>
          </w:p>
        </w:tc>
        <w:tc>
          <w:tcPr>
            <w:tcW w:w="1411" w:type="dxa"/>
            <w:tcBorders>
              <w:tl2br w:val="nil"/>
              <w:tr2bl w:val="nil"/>
            </w:tcBorders>
            <w:shd w:val="clear" w:color="auto" w:fill="FFFFFF"/>
            <w:vAlign w:val="center"/>
          </w:tcPr>
          <w:p w14:paraId="1562851B">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资金到位率</w:t>
            </w:r>
          </w:p>
        </w:tc>
        <w:tc>
          <w:tcPr>
            <w:tcW w:w="2789" w:type="dxa"/>
            <w:tcBorders>
              <w:tl2br w:val="nil"/>
              <w:tr2bl w:val="nil"/>
            </w:tcBorders>
            <w:shd w:val="clear" w:color="000000" w:fill="FFFFFF"/>
            <w:vAlign w:val="center"/>
          </w:tcPr>
          <w:p w14:paraId="27A8400D">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3813DFF2">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资金到位率=（实际到位资金/预算资金）×100%。</w:t>
            </w:r>
          </w:p>
          <w:p w14:paraId="61EE1299">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实际到位资金：一定时期（本年度或项目期）内落实到具体项目的资金。</w:t>
            </w:r>
          </w:p>
          <w:p w14:paraId="7D2A364B">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预算资金：一定时期（本年度或项目期）内预算安排到具体项目的资金。</w:t>
            </w:r>
          </w:p>
        </w:tc>
      </w:tr>
      <w:tr w14:paraId="6A0C2B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14:paraId="3BC98C66">
            <w:pPr>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79913BB3">
            <w:pPr>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14:paraId="38F02BBF">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预算执行率</w:t>
            </w:r>
          </w:p>
        </w:tc>
        <w:tc>
          <w:tcPr>
            <w:tcW w:w="2789" w:type="dxa"/>
            <w:tcBorders>
              <w:tl2br w:val="nil"/>
              <w:tr2bl w:val="nil"/>
            </w:tcBorders>
            <w:shd w:val="clear" w:color="auto" w:fill="FFFFFF"/>
            <w:vAlign w:val="center"/>
          </w:tcPr>
          <w:p w14:paraId="7681EFC7">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14:paraId="5C10BA7D">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预算执行率=（实际支出资金/实际到位资金）×100%。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实际支出资金：一定时期（本年度或项目期）内项目实际拨付的资金。</w:t>
            </w:r>
          </w:p>
        </w:tc>
      </w:tr>
      <w:tr w14:paraId="43DC59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14:paraId="22191DC3">
            <w:pPr>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过程</w:t>
            </w:r>
          </w:p>
        </w:tc>
        <w:tc>
          <w:tcPr>
            <w:tcW w:w="1199" w:type="dxa"/>
            <w:tcBorders>
              <w:tl2br w:val="nil"/>
              <w:tr2bl w:val="nil"/>
            </w:tcBorders>
            <w:shd w:val="clear" w:color="auto" w:fill="FFFFFF"/>
            <w:vAlign w:val="center"/>
          </w:tcPr>
          <w:p w14:paraId="510E3A5C">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资金管理</w:t>
            </w:r>
          </w:p>
        </w:tc>
        <w:tc>
          <w:tcPr>
            <w:tcW w:w="1411" w:type="dxa"/>
            <w:tcBorders>
              <w:tl2br w:val="nil"/>
              <w:tr2bl w:val="nil"/>
            </w:tcBorders>
            <w:shd w:val="clear" w:color="auto" w:fill="FFFFFF"/>
            <w:vAlign w:val="center"/>
          </w:tcPr>
          <w:p w14:paraId="740E5599">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资金使用</w:t>
            </w:r>
          </w:p>
          <w:p w14:paraId="31C9B210">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合规性</w:t>
            </w:r>
          </w:p>
        </w:tc>
        <w:tc>
          <w:tcPr>
            <w:tcW w:w="2789" w:type="dxa"/>
            <w:tcBorders>
              <w:tl2br w:val="nil"/>
              <w:tr2bl w:val="nil"/>
            </w:tcBorders>
            <w:shd w:val="clear" w:color="000000" w:fill="FFFFFF"/>
            <w:vAlign w:val="center"/>
          </w:tcPr>
          <w:p w14:paraId="27D12572">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14:paraId="0D2C2C13">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①是否符合国家财经法规和财务管理制度以及有关专项资金管理办法的规定；</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②资金的拨付是否有完整的审批程序和手续；</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③是否符合项目预算批复或合同规定的用途；</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④是否存在截留、挤占、挪用、虚列支出等情况。</w:t>
            </w:r>
          </w:p>
        </w:tc>
      </w:tr>
      <w:tr w14:paraId="0979D8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14:paraId="609A9945">
            <w:pPr>
              <w:ind w:firstLine="0" w:firstLineChars="0"/>
              <w:jc w:val="center"/>
              <w:rPr>
                <w:rFonts w:ascii="宋体" w:hAnsi="宋体" w:eastAsia="宋体" w:cs="宋体"/>
                <w:color w:val="000000"/>
                <w:kern w:val="0"/>
                <w:sz w:val="22"/>
              </w:rPr>
            </w:pPr>
          </w:p>
        </w:tc>
        <w:tc>
          <w:tcPr>
            <w:tcW w:w="1199" w:type="dxa"/>
            <w:vMerge w:val="restart"/>
            <w:tcBorders>
              <w:tl2br w:val="nil"/>
              <w:tr2bl w:val="nil"/>
            </w:tcBorders>
            <w:shd w:val="clear" w:color="auto" w:fill="FFFFFF"/>
            <w:vAlign w:val="center"/>
          </w:tcPr>
          <w:p w14:paraId="497FD3A4">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组织实施</w:t>
            </w:r>
          </w:p>
        </w:tc>
        <w:tc>
          <w:tcPr>
            <w:tcW w:w="1411" w:type="dxa"/>
            <w:tcBorders>
              <w:tl2br w:val="nil"/>
              <w:tr2bl w:val="nil"/>
            </w:tcBorders>
            <w:shd w:val="clear" w:color="auto" w:fill="FFFFFF"/>
            <w:vAlign w:val="center"/>
          </w:tcPr>
          <w:p w14:paraId="270A1D34">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管理制度</w:t>
            </w:r>
          </w:p>
          <w:p w14:paraId="6D0DBF9A">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健全性</w:t>
            </w:r>
          </w:p>
        </w:tc>
        <w:tc>
          <w:tcPr>
            <w:tcW w:w="2789" w:type="dxa"/>
            <w:tcBorders>
              <w:tl2br w:val="nil"/>
              <w:tr2bl w:val="nil"/>
            </w:tcBorders>
            <w:shd w:val="clear" w:color="000000" w:fill="FFFFFF"/>
            <w:vAlign w:val="center"/>
          </w:tcPr>
          <w:p w14:paraId="2259E336">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42D2B7EC">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①是否已制定或具有相应的财务和业务管理制度；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②财务和业务管理制度是否合法、合规、完整。</w:t>
            </w:r>
          </w:p>
        </w:tc>
      </w:tr>
      <w:tr w14:paraId="2A6298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14:paraId="3DE3A468">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539C7E95">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14:paraId="6134F45F">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制度执行</w:t>
            </w:r>
          </w:p>
          <w:p w14:paraId="338139D1">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有效性</w:t>
            </w:r>
          </w:p>
        </w:tc>
        <w:tc>
          <w:tcPr>
            <w:tcW w:w="2789" w:type="dxa"/>
            <w:tcBorders>
              <w:tl2br w:val="nil"/>
              <w:tr2bl w:val="nil"/>
            </w:tcBorders>
            <w:shd w:val="clear" w:color="000000" w:fill="FFFFFF"/>
            <w:vAlign w:val="center"/>
          </w:tcPr>
          <w:p w14:paraId="437074A4">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0F0179B7">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①是否遵守相关法律法规和相关管理规定；</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②项目调整及支出调整手续是否完备；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③项目合同书、验收报告、技术鉴定等资料是否齐全并及时归档；</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④项目实施的人员条件、场地设备、信息支撑等是否落实到位。</w:t>
            </w:r>
          </w:p>
        </w:tc>
      </w:tr>
      <w:tr w14:paraId="21B47A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182" w:hRule="atLeast"/>
          <w:jc w:val="center"/>
        </w:trPr>
        <w:tc>
          <w:tcPr>
            <w:tcW w:w="1155" w:type="dxa"/>
            <w:vMerge w:val="restart"/>
            <w:tcBorders>
              <w:tl2br w:val="nil"/>
              <w:tr2bl w:val="nil"/>
            </w:tcBorders>
            <w:shd w:val="clear" w:color="auto" w:fill="FFFFFF"/>
            <w:vAlign w:val="center"/>
          </w:tcPr>
          <w:p w14:paraId="6D9A7FEE">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产出</w:t>
            </w:r>
          </w:p>
        </w:tc>
        <w:tc>
          <w:tcPr>
            <w:tcW w:w="1199" w:type="dxa"/>
            <w:tcBorders>
              <w:tl2br w:val="nil"/>
              <w:tr2bl w:val="nil"/>
            </w:tcBorders>
            <w:shd w:val="clear" w:color="auto" w:fill="FFFFFF"/>
            <w:vAlign w:val="center"/>
          </w:tcPr>
          <w:p w14:paraId="382D7C68">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产出数量</w:t>
            </w:r>
          </w:p>
        </w:tc>
        <w:tc>
          <w:tcPr>
            <w:tcW w:w="1411" w:type="dxa"/>
            <w:tcBorders>
              <w:tl2br w:val="nil"/>
              <w:tr2bl w:val="nil"/>
            </w:tcBorders>
            <w:shd w:val="clear" w:color="auto" w:fill="FFFFFF"/>
          </w:tcPr>
          <w:p w14:paraId="719B1EB3">
            <w:pPr>
              <w:widowControl/>
              <w:ind w:firstLine="0" w:firstLineChars="0"/>
              <w:jc w:val="both"/>
              <w:rPr>
                <w:ins w:id="2" w:author="毛倩" w:date="2024-05-15T16:12:00Z"/>
                <w:rFonts w:ascii="Arial" w:hAnsi="Arial" w:eastAsia="宋体" w:cs="Arial"/>
                <w:color w:val="auto"/>
                <w:sz w:val="19"/>
                <w:szCs w:val="19"/>
                <w:highlight w:val="none"/>
                <w:shd w:val="clear" w:color="070000" w:fill="FFFA90"/>
              </w:rPr>
            </w:pPr>
          </w:p>
          <w:p w14:paraId="53EEFC9D">
            <w:pPr>
              <w:widowControl/>
              <w:ind w:firstLine="0" w:firstLineChars="0"/>
              <w:jc w:val="both"/>
              <w:rPr>
                <w:ins w:id="3" w:author="毛倩" w:date="2024-05-15T16:12:00Z"/>
                <w:rFonts w:ascii="Arial" w:hAnsi="Arial" w:eastAsia="宋体" w:cs="Arial"/>
                <w:color w:val="auto"/>
                <w:sz w:val="19"/>
                <w:szCs w:val="19"/>
                <w:highlight w:val="none"/>
                <w:shd w:val="clear" w:color="070000" w:fill="FFFA90"/>
              </w:rPr>
            </w:pPr>
          </w:p>
          <w:p w14:paraId="76F780A5">
            <w:pPr>
              <w:widowControl/>
              <w:ind w:firstLine="0" w:firstLineChars="0"/>
              <w:jc w:val="both"/>
              <w:rPr>
                <w:ins w:id="4" w:author="毛倩" w:date="2024-05-15T16:12:00Z"/>
                <w:rFonts w:ascii="Arial" w:hAnsi="Arial" w:eastAsia="宋体" w:cs="Arial"/>
                <w:color w:val="auto"/>
                <w:sz w:val="19"/>
                <w:szCs w:val="19"/>
                <w:highlight w:val="none"/>
                <w:shd w:val="clear" w:color="070000" w:fill="FFFA90"/>
              </w:rPr>
            </w:pPr>
          </w:p>
          <w:p w14:paraId="70F93504">
            <w:pPr>
              <w:widowControl/>
              <w:ind w:firstLine="0" w:firstLineChars="0"/>
              <w:jc w:val="center"/>
              <w:rPr>
                <w:rFonts w:hint="default" w:ascii="Arial" w:hAnsi="Arial" w:eastAsia="宋体" w:cs="Arial"/>
                <w:color w:val="auto"/>
                <w:sz w:val="19"/>
                <w:szCs w:val="19"/>
                <w:highlight w:val="none"/>
                <w:shd w:val="clear" w:color="070000" w:fill="FFFA90"/>
                <w:lang w:val="en-US" w:eastAsia="zh-CN"/>
              </w:rPr>
            </w:pPr>
            <w:r>
              <w:rPr>
                <w:rFonts w:hint="eastAsia" w:ascii="宋体" w:hAnsi="宋体" w:eastAsia="宋体" w:cs="宋体"/>
                <w:color w:val="000000"/>
                <w:kern w:val="0"/>
                <w:sz w:val="22"/>
                <w:lang w:val="en-US" w:eastAsia="zh-CN"/>
              </w:rPr>
              <w:t>购置工作完成率</w:t>
            </w:r>
          </w:p>
        </w:tc>
        <w:tc>
          <w:tcPr>
            <w:tcW w:w="2789" w:type="dxa"/>
            <w:tcBorders>
              <w:tl2br w:val="nil"/>
              <w:tr2bl w:val="nil"/>
            </w:tcBorders>
            <w:shd w:val="clear" w:color="000000" w:fill="FFFFFF"/>
            <w:vAlign w:val="center"/>
          </w:tcPr>
          <w:p w14:paraId="252DB03A">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项目实施的实际产出数与计划产出数的比率，用以反映和考核项目产出数量目标的实现程度。</w:t>
            </w:r>
          </w:p>
        </w:tc>
        <w:tc>
          <w:tcPr>
            <w:tcW w:w="7341" w:type="dxa"/>
            <w:tcBorders>
              <w:tl2br w:val="nil"/>
              <w:tr2bl w:val="nil"/>
            </w:tcBorders>
            <w:shd w:val="clear" w:color="000000" w:fill="FFFFFF"/>
            <w:vAlign w:val="center"/>
          </w:tcPr>
          <w:p w14:paraId="15BD8D2B">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实际完成率=（实际产出数/计划产出数）×100%。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实际产出数：一定时期（本年度或项目期）内项目实际产出的产品或提供的服务数量。</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计划产出数：项目绩效目标确定的在一定时期（本年度或项目期）内计划产出的产品或提供的服务数量。</w:t>
            </w:r>
          </w:p>
        </w:tc>
      </w:tr>
      <w:tr w14:paraId="4B6F7A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restart"/>
            <w:tcBorders>
              <w:tl2br w:val="nil"/>
              <w:tr2bl w:val="nil"/>
            </w:tcBorders>
            <w:shd w:val="clear" w:color="auto" w:fill="FFFFFF"/>
            <w:vAlign w:val="center"/>
          </w:tcPr>
          <w:p w14:paraId="1C01700C">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产出</w:t>
            </w:r>
          </w:p>
        </w:tc>
        <w:tc>
          <w:tcPr>
            <w:tcW w:w="1199" w:type="dxa"/>
            <w:tcBorders>
              <w:tl2br w:val="nil"/>
              <w:tr2bl w:val="nil"/>
            </w:tcBorders>
            <w:shd w:val="clear" w:color="auto" w:fill="FFFFFF"/>
            <w:vAlign w:val="center"/>
          </w:tcPr>
          <w:p w14:paraId="617F8A5A">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产出质量</w:t>
            </w:r>
          </w:p>
        </w:tc>
        <w:tc>
          <w:tcPr>
            <w:tcW w:w="1411" w:type="dxa"/>
            <w:tcBorders>
              <w:tl2br w:val="nil"/>
              <w:tr2bl w:val="nil"/>
            </w:tcBorders>
            <w:shd w:val="clear" w:color="auto" w:fill="FFFFFF"/>
            <w:vAlign w:val="center"/>
          </w:tcPr>
          <w:p w14:paraId="6BDF301C">
            <w:pPr>
              <w:widowControl/>
              <w:ind w:firstLine="0" w:firstLineChars="0"/>
              <w:jc w:val="center"/>
              <w:rPr>
                <w:rFonts w:hint="default" w:ascii="Arial" w:hAnsi="Arial" w:eastAsia="宋体" w:cs="Arial"/>
                <w:color w:val="auto"/>
                <w:sz w:val="19"/>
                <w:szCs w:val="19"/>
                <w:highlight w:val="none"/>
                <w:shd w:val="clear" w:color="070000" w:fill="FFFFFF"/>
                <w:lang w:val="en-US" w:eastAsia="zh-CN"/>
              </w:rPr>
            </w:pPr>
            <w:r>
              <w:rPr>
                <w:rFonts w:hint="eastAsia" w:ascii="Arial" w:hAnsi="Arial" w:eastAsia="宋体" w:cs="Arial"/>
                <w:color w:val="auto"/>
                <w:sz w:val="19"/>
                <w:szCs w:val="19"/>
                <w:highlight w:val="none"/>
                <w:shd w:val="clear" w:color="070000" w:fill="FFFFFF"/>
                <w:lang w:val="en-US" w:eastAsia="zh-CN"/>
              </w:rPr>
              <w:t>购置验收合格率</w:t>
            </w:r>
          </w:p>
        </w:tc>
        <w:tc>
          <w:tcPr>
            <w:tcW w:w="2789" w:type="dxa"/>
            <w:tcBorders>
              <w:tl2br w:val="nil"/>
              <w:tr2bl w:val="nil"/>
            </w:tcBorders>
            <w:shd w:val="clear" w:color="000000" w:fill="FFFFFF"/>
            <w:vAlign w:val="center"/>
          </w:tcPr>
          <w:p w14:paraId="6A975FB6">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14:paraId="2CCB381E">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质量达标率=（质量达标产出数/实际产出数）×100%。</w:t>
            </w:r>
          </w:p>
          <w:p w14:paraId="6662BEBC">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7C09E2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6" w:hRule="atLeast"/>
          <w:jc w:val="center"/>
        </w:trPr>
        <w:tc>
          <w:tcPr>
            <w:tcW w:w="1155" w:type="dxa"/>
            <w:vMerge w:val="continue"/>
            <w:tcBorders>
              <w:tl2br w:val="nil"/>
              <w:tr2bl w:val="nil"/>
            </w:tcBorders>
            <w:shd w:val="clear" w:color="auto" w:fill="FFFFFF"/>
            <w:vAlign w:val="center"/>
          </w:tcPr>
          <w:p w14:paraId="21402FC3">
            <w:pPr>
              <w:widowControl/>
              <w:ind w:firstLine="0" w:firstLineChars="0"/>
              <w:jc w:val="center"/>
              <w:rPr>
                <w:rFonts w:ascii="宋体" w:hAnsi="宋体" w:eastAsia="宋体" w:cs="宋体"/>
                <w:color w:val="000000"/>
                <w:kern w:val="0"/>
                <w:sz w:val="22"/>
              </w:rPr>
            </w:pPr>
          </w:p>
        </w:tc>
        <w:tc>
          <w:tcPr>
            <w:tcW w:w="1199" w:type="dxa"/>
            <w:vMerge w:val="restart"/>
            <w:tcBorders>
              <w:tl2br w:val="nil"/>
              <w:tr2bl w:val="nil"/>
            </w:tcBorders>
            <w:shd w:val="clear" w:color="auto" w:fill="FFFFFF"/>
            <w:vAlign w:val="center"/>
          </w:tcPr>
          <w:p w14:paraId="4E185A6A">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产出成本</w:t>
            </w:r>
          </w:p>
        </w:tc>
        <w:tc>
          <w:tcPr>
            <w:tcW w:w="1411" w:type="dxa"/>
            <w:vMerge w:val="restart"/>
            <w:tcBorders>
              <w:tl2br w:val="nil"/>
              <w:tr2bl w:val="nil"/>
            </w:tcBorders>
            <w:shd w:val="clear" w:color="auto" w:fill="FFFFFF"/>
            <w:vAlign w:val="center"/>
          </w:tcPr>
          <w:p w14:paraId="4AD9D608">
            <w:pPr>
              <w:widowControl/>
              <w:ind w:firstLine="0" w:firstLineChars="0"/>
              <w:jc w:val="both"/>
              <w:rPr>
                <w:rFonts w:hint="default" w:ascii="Arial" w:hAnsi="Arial" w:eastAsia="宋体" w:cs="Arial"/>
                <w:color w:val="333333"/>
                <w:sz w:val="19"/>
                <w:szCs w:val="19"/>
                <w:highlight w:val="none"/>
                <w:shd w:val="clear" w:color="070000" w:fill="FFFFFF"/>
                <w:lang w:val="en-US" w:eastAsia="zh-CN"/>
              </w:rPr>
            </w:pPr>
            <w:r>
              <w:rPr>
                <w:rFonts w:hint="eastAsia" w:ascii="Arial" w:hAnsi="Arial" w:eastAsia="宋体" w:cs="Arial"/>
                <w:color w:val="333333"/>
                <w:sz w:val="19"/>
                <w:szCs w:val="19"/>
                <w:highlight w:val="none"/>
                <w:shd w:val="clear" w:color="070000" w:fill="FFFFFF"/>
                <w:lang w:val="en-US" w:eastAsia="zh-CN"/>
              </w:rPr>
              <w:t>成本控制率</w:t>
            </w:r>
          </w:p>
        </w:tc>
        <w:tc>
          <w:tcPr>
            <w:tcW w:w="2789" w:type="dxa"/>
            <w:vMerge w:val="restart"/>
            <w:tcBorders>
              <w:tl2br w:val="nil"/>
              <w:tr2bl w:val="nil"/>
            </w:tcBorders>
            <w:shd w:val="clear" w:color="000000" w:fill="FFFFFF"/>
            <w:vAlign w:val="center"/>
          </w:tcPr>
          <w:p w14:paraId="103C82E9">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14:paraId="49074E0A">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成本节约率=[（计划成本-实际成本）/计划成本]×100%。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实际成本：项目实施单位如期、保质、保量完成既定工作目标实际所耗费的支出。</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计划成本：项目实施单位为完成工作目标计划安排的支出，一般以项目预算为参考。</w:t>
            </w:r>
          </w:p>
        </w:tc>
      </w:tr>
      <w:tr w14:paraId="63910B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76" w:hRule="atLeast"/>
          <w:jc w:val="center"/>
        </w:trPr>
        <w:tc>
          <w:tcPr>
            <w:tcW w:w="1155" w:type="dxa"/>
            <w:tcBorders>
              <w:tl2br w:val="nil"/>
              <w:tr2bl w:val="nil"/>
            </w:tcBorders>
            <w:shd w:val="clear" w:color="auto" w:fill="FFFFFF"/>
            <w:vAlign w:val="center"/>
          </w:tcPr>
          <w:p w14:paraId="75438D59">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0D28C175">
            <w:pPr>
              <w:widowControl/>
              <w:ind w:firstLine="0" w:firstLineChars="0"/>
              <w:jc w:val="center"/>
              <w:rPr>
                <w:rFonts w:ascii="宋体" w:hAnsi="宋体" w:eastAsia="宋体" w:cs="宋体"/>
                <w:color w:val="000000"/>
                <w:kern w:val="0"/>
                <w:sz w:val="22"/>
                <w:highlight w:val="none"/>
              </w:rPr>
            </w:pPr>
          </w:p>
        </w:tc>
        <w:tc>
          <w:tcPr>
            <w:tcW w:w="1411" w:type="dxa"/>
            <w:vMerge w:val="continue"/>
            <w:tcBorders>
              <w:tl2br w:val="nil"/>
              <w:tr2bl w:val="nil"/>
            </w:tcBorders>
            <w:shd w:val="clear" w:color="auto" w:fill="FFFFFF"/>
            <w:vAlign w:val="center"/>
          </w:tcPr>
          <w:p w14:paraId="1B8CC9D3">
            <w:pPr>
              <w:widowControl/>
              <w:ind w:firstLine="0" w:firstLineChars="0"/>
              <w:jc w:val="center"/>
              <w:rPr>
                <w:rFonts w:ascii="Arial" w:hAnsi="Arial" w:eastAsia="宋体" w:cs="Arial"/>
                <w:color w:val="333333"/>
                <w:sz w:val="19"/>
                <w:szCs w:val="19"/>
                <w:highlight w:val="none"/>
                <w:shd w:val="clear" w:color="070000" w:fill="FFFFFF"/>
              </w:rPr>
            </w:pPr>
          </w:p>
        </w:tc>
        <w:tc>
          <w:tcPr>
            <w:tcW w:w="2789" w:type="dxa"/>
            <w:vMerge w:val="continue"/>
            <w:tcBorders>
              <w:tl2br w:val="nil"/>
              <w:tr2bl w:val="nil"/>
            </w:tcBorders>
            <w:shd w:val="clear" w:color="000000" w:fill="FFFFFF"/>
            <w:vAlign w:val="center"/>
          </w:tcPr>
          <w:p w14:paraId="0A8E43AE">
            <w:pPr>
              <w:widowControl/>
              <w:ind w:firstLine="0" w:firstLineChars="0"/>
              <w:rPr>
                <w:rFonts w:ascii="宋体" w:hAnsi="宋体" w:eastAsia="宋体" w:cs="宋体"/>
                <w:color w:val="000000"/>
                <w:kern w:val="0"/>
                <w:sz w:val="22"/>
              </w:rPr>
            </w:pPr>
          </w:p>
        </w:tc>
        <w:tc>
          <w:tcPr>
            <w:tcW w:w="7341" w:type="dxa"/>
            <w:vMerge w:val="continue"/>
            <w:tcBorders>
              <w:tl2br w:val="nil"/>
              <w:tr2bl w:val="nil"/>
            </w:tcBorders>
            <w:shd w:val="clear" w:color="000000" w:fill="FFFFFF"/>
            <w:vAlign w:val="center"/>
          </w:tcPr>
          <w:p w14:paraId="42C0B58C">
            <w:pPr>
              <w:widowControl/>
              <w:ind w:firstLine="0" w:firstLineChars="0"/>
              <w:rPr>
                <w:rFonts w:ascii="宋体" w:hAnsi="宋体" w:eastAsia="宋体" w:cs="宋体"/>
                <w:color w:val="000000"/>
                <w:kern w:val="0"/>
                <w:sz w:val="22"/>
              </w:rPr>
            </w:pPr>
          </w:p>
        </w:tc>
      </w:tr>
      <w:tr w14:paraId="48D39A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06" w:hRule="atLeast"/>
          <w:jc w:val="center"/>
        </w:trPr>
        <w:tc>
          <w:tcPr>
            <w:tcW w:w="1155" w:type="dxa"/>
            <w:tcBorders>
              <w:tl2br w:val="nil"/>
              <w:tr2bl w:val="nil"/>
            </w:tcBorders>
            <w:shd w:val="clear" w:color="auto" w:fill="FFFFFF"/>
            <w:vAlign w:val="center"/>
          </w:tcPr>
          <w:p w14:paraId="726191FB">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594F7E42">
            <w:pPr>
              <w:widowControl/>
              <w:ind w:firstLine="0" w:firstLineChars="0"/>
              <w:jc w:val="center"/>
              <w:rPr>
                <w:rFonts w:ascii="宋体" w:hAnsi="宋体" w:eastAsia="宋体" w:cs="宋体"/>
                <w:color w:val="000000"/>
                <w:kern w:val="0"/>
                <w:sz w:val="22"/>
                <w:highlight w:val="none"/>
              </w:rPr>
            </w:pPr>
          </w:p>
        </w:tc>
        <w:tc>
          <w:tcPr>
            <w:tcW w:w="1411" w:type="dxa"/>
            <w:vMerge w:val="continue"/>
            <w:tcBorders>
              <w:tl2br w:val="nil"/>
              <w:tr2bl w:val="nil"/>
            </w:tcBorders>
            <w:shd w:val="clear" w:color="auto" w:fill="FFFFFF"/>
            <w:vAlign w:val="center"/>
          </w:tcPr>
          <w:p w14:paraId="04E15BD8">
            <w:pPr>
              <w:widowControl/>
              <w:ind w:firstLine="0" w:firstLineChars="0"/>
              <w:jc w:val="center"/>
              <w:rPr>
                <w:rFonts w:ascii="Arial" w:hAnsi="Arial" w:eastAsia="宋体" w:cs="Arial"/>
                <w:color w:val="333333"/>
                <w:sz w:val="19"/>
                <w:szCs w:val="19"/>
                <w:highlight w:val="none"/>
                <w:shd w:val="clear" w:color="070000" w:fill="FFFFFF"/>
              </w:rPr>
            </w:pPr>
          </w:p>
        </w:tc>
        <w:tc>
          <w:tcPr>
            <w:tcW w:w="2789" w:type="dxa"/>
            <w:vMerge w:val="continue"/>
            <w:tcBorders>
              <w:tl2br w:val="nil"/>
              <w:tr2bl w:val="nil"/>
            </w:tcBorders>
            <w:shd w:val="clear" w:color="000000" w:fill="FFFFFF"/>
            <w:vAlign w:val="center"/>
          </w:tcPr>
          <w:p w14:paraId="60BCAF71">
            <w:pPr>
              <w:widowControl/>
              <w:ind w:firstLine="0" w:firstLineChars="0"/>
              <w:rPr>
                <w:rFonts w:ascii="宋体" w:hAnsi="宋体" w:eastAsia="宋体" w:cs="宋体"/>
                <w:color w:val="000000"/>
                <w:kern w:val="0"/>
                <w:sz w:val="22"/>
              </w:rPr>
            </w:pPr>
          </w:p>
        </w:tc>
        <w:tc>
          <w:tcPr>
            <w:tcW w:w="7341" w:type="dxa"/>
            <w:vMerge w:val="continue"/>
            <w:tcBorders>
              <w:tl2br w:val="nil"/>
              <w:tr2bl w:val="nil"/>
            </w:tcBorders>
            <w:shd w:val="clear" w:color="000000" w:fill="FFFFFF"/>
            <w:vAlign w:val="center"/>
          </w:tcPr>
          <w:p w14:paraId="12517671">
            <w:pPr>
              <w:widowControl/>
              <w:ind w:firstLine="0" w:firstLineChars="0"/>
              <w:rPr>
                <w:rFonts w:ascii="宋体" w:hAnsi="宋体" w:eastAsia="宋体" w:cs="宋体"/>
                <w:color w:val="000000"/>
                <w:kern w:val="0"/>
                <w:sz w:val="22"/>
              </w:rPr>
            </w:pPr>
          </w:p>
        </w:tc>
      </w:tr>
      <w:tr w14:paraId="3D1FFE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vMerge w:val="restart"/>
            <w:tcBorders>
              <w:tl2br w:val="nil"/>
              <w:tr2bl w:val="nil"/>
            </w:tcBorders>
            <w:shd w:val="clear" w:color="auto" w:fill="FFFFFF"/>
            <w:vAlign w:val="center"/>
          </w:tcPr>
          <w:p w14:paraId="10E2EC65">
            <w:pPr>
              <w:widowControl/>
              <w:ind w:firstLine="0" w:firstLineChars="0"/>
              <w:jc w:val="center"/>
              <w:rPr>
                <w:rFonts w:ascii="宋体" w:hAnsi="宋体" w:eastAsia="宋体" w:cs="宋体"/>
                <w:color w:val="000000"/>
                <w:kern w:val="0"/>
                <w:sz w:val="22"/>
                <w:highlight w:val="yellow"/>
              </w:rPr>
            </w:pPr>
            <w:r>
              <w:rPr>
                <w:rFonts w:hint="eastAsia" w:ascii="宋体" w:hAnsi="宋体" w:eastAsia="宋体" w:cs="宋体"/>
                <w:color w:val="000000"/>
                <w:kern w:val="0"/>
                <w:sz w:val="22"/>
                <w:highlight w:val="none"/>
              </w:rPr>
              <w:t>效益</w:t>
            </w:r>
          </w:p>
        </w:tc>
        <w:tc>
          <w:tcPr>
            <w:tcW w:w="1199" w:type="dxa"/>
            <w:tcBorders>
              <w:tl2br w:val="nil"/>
              <w:tr2bl w:val="nil"/>
            </w:tcBorders>
            <w:shd w:val="clear" w:color="auto" w:fill="FFFFFF"/>
            <w:vAlign w:val="center"/>
          </w:tcPr>
          <w:p w14:paraId="6147C056">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社会效益指标</w:t>
            </w:r>
          </w:p>
        </w:tc>
        <w:tc>
          <w:tcPr>
            <w:tcW w:w="1411" w:type="dxa"/>
            <w:tcBorders>
              <w:tl2br w:val="nil"/>
              <w:tr2bl w:val="nil"/>
            </w:tcBorders>
            <w:shd w:val="clear" w:color="auto" w:fill="FFFFFF"/>
            <w:vAlign w:val="center"/>
          </w:tcPr>
          <w:p w14:paraId="377CED35">
            <w:pPr>
              <w:widowControl/>
              <w:ind w:firstLine="0" w:firstLineChars="0"/>
              <w:jc w:val="center"/>
              <w:rPr>
                <w:rFonts w:ascii="宋体" w:hAnsi="宋体" w:eastAsia="宋体" w:cs="宋体"/>
                <w:color w:val="000000"/>
                <w:kern w:val="0"/>
                <w:sz w:val="22"/>
                <w:highlight w:val="none"/>
              </w:rPr>
            </w:pPr>
            <w:r>
              <w:rPr>
                <w:rFonts w:ascii="Arial" w:hAnsi="Arial" w:eastAsia="宋体" w:cs="Arial"/>
                <w:color w:val="2B2B2B"/>
                <w:sz w:val="19"/>
                <w:szCs w:val="19"/>
                <w:highlight w:val="none"/>
                <w:shd w:val="clear" w:color="070000" w:fill="EDEDED"/>
              </w:rPr>
              <w:t>医疗设备的投入提升医院为患者服务的能力</w:t>
            </w:r>
          </w:p>
        </w:tc>
        <w:tc>
          <w:tcPr>
            <w:tcW w:w="2789" w:type="dxa"/>
            <w:vMerge w:val="restart"/>
            <w:tcBorders>
              <w:tl2br w:val="nil"/>
              <w:tr2bl w:val="nil"/>
            </w:tcBorders>
            <w:shd w:val="clear" w:color="auto" w:fill="FFFFFF"/>
            <w:vAlign w:val="center"/>
          </w:tcPr>
          <w:p w14:paraId="1122EABE">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项目实施所产生的效益。</w:t>
            </w:r>
          </w:p>
        </w:tc>
        <w:tc>
          <w:tcPr>
            <w:tcW w:w="7341" w:type="dxa"/>
            <w:tcBorders>
              <w:tl2br w:val="nil"/>
              <w:tr2bl w:val="nil"/>
            </w:tcBorders>
            <w:shd w:val="clear" w:color="auto" w:fill="FFFFFF"/>
            <w:vAlign w:val="center"/>
          </w:tcPr>
          <w:p w14:paraId="18B17D37">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项目实施所产生的社会效益、经济效益、生态效益、可持续影响等。可根据项目实际情况有选择地设置和细化。</w:t>
            </w:r>
          </w:p>
        </w:tc>
      </w:tr>
      <w:tr w14:paraId="281C7A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vMerge w:val="continue"/>
            <w:tcBorders>
              <w:tl2br w:val="nil"/>
              <w:tr2bl w:val="nil"/>
            </w:tcBorders>
            <w:shd w:val="clear" w:color="auto" w:fill="FFFFFF"/>
            <w:vAlign w:val="center"/>
          </w:tcPr>
          <w:p w14:paraId="70D80147">
            <w:pPr>
              <w:widowControl/>
              <w:ind w:firstLine="0" w:firstLineChars="0"/>
              <w:jc w:val="center"/>
              <w:rPr>
                <w:rFonts w:ascii="宋体" w:hAnsi="宋体" w:eastAsia="宋体" w:cs="宋体"/>
                <w:color w:val="000000"/>
                <w:kern w:val="0"/>
                <w:sz w:val="22"/>
                <w:highlight w:val="yellow"/>
              </w:rPr>
            </w:pPr>
          </w:p>
        </w:tc>
        <w:tc>
          <w:tcPr>
            <w:tcW w:w="1199" w:type="dxa"/>
            <w:tcBorders>
              <w:tl2br w:val="nil"/>
              <w:tr2bl w:val="nil"/>
            </w:tcBorders>
            <w:shd w:val="clear" w:color="auto" w:fill="FFFFFF"/>
            <w:vAlign w:val="center"/>
          </w:tcPr>
          <w:p w14:paraId="40C27FE1">
            <w:pPr>
              <w:widowControl/>
              <w:ind w:firstLine="0" w:firstLineChars="0"/>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经济效益效益</w:t>
            </w:r>
          </w:p>
        </w:tc>
        <w:tc>
          <w:tcPr>
            <w:tcW w:w="1411" w:type="dxa"/>
            <w:tcBorders>
              <w:tl2br w:val="nil"/>
              <w:tr2bl w:val="nil"/>
            </w:tcBorders>
            <w:shd w:val="clear" w:color="auto" w:fill="FFFFFF"/>
            <w:vAlign w:val="center"/>
          </w:tcPr>
          <w:p w14:paraId="744440A3">
            <w:pPr>
              <w:widowControl/>
              <w:ind w:firstLine="0" w:firstLineChars="0"/>
              <w:jc w:val="center"/>
              <w:rPr>
                <w:rFonts w:hint="default" w:ascii="宋体" w:hAnsi="宋体" w:eastAsia="宋体" w:cs="宋体"/>
                <w:color w:val="000000"/>
                <w:kern w:val="0"/>
                <w:sz w:val="22"/>
                <w:highlight w:val="none"/>
                <w:lang w:val="en-US" w:eastAsia="zh-CN"/>
              </w:rPr>
            </w:pPr>
            <w:r>
              <w:rPr>
                <w:rFonts w:hint="eastAsia" w:ascii="宋体" w:hAnsi="宋体" w:eastAsia="宋体" w:cs="宋体"/>
                <w:color w:val="000000"/>
                <w:kern w:val="0"/>
                <w:sz w:val="18"/>
                <w:szCs w:val="18"/>
                <w:highlight w:val="none"/>
                <w:lang w:val="en-US" w:eastAsia="zh-CN"/>
              </w:rPr>
              <w:t>项目实施后给医院带来经济效益提升</w:t>
            </w:r>
          </w:p>
        </w:tc>
        <w:tc>
          <w:tcPr>
            <w:tcW w:w="2789" w:type="dxa"/>
            <w:vMerge w:val="continue"/>
            <w:tcBorders>
              <w:tl2br w:val="nil"/>
              <w:tr2bl w:val="nil"/>
            </w:tcBorders>
            <w:shd w:val="clear" w:color="000000" w:fill="FFFFFF"/>
            <w:vAlign w:val="center"/>
          </w:tcPr>
          <w:p w14:paraId="2C5F4660">
            <w:pPr>
              <w:widowControl/>
              <w:ind w:firstLine="0" w:firstLineChars="0"/>
              <w:rPr>
                <w:rFonts w:ascii="宋体" w:hAnsi="宋体" w:eastAsia="宋体" w:cs="宋体"/>
                <w:color w:val="000000"/>
                <w:kern w:val="0"/>
                <w:sz w:val="22"/>
              </w:rPr>
            </w:pPr>
          </w:p>
        </w:tc>
        <w:tc>
          <w:tcPr>
            <w:tcW w:w="7341" w:type="dxa"/>
            <w:tcBorders>
              <w:tl2br w:val="nil"/>
              <w:tr2bl w:val="nil"/>
            </w:tcBorders>
            <w:shd w:val="clear" w:color="000000" w:fill="FFFFFF"/>
            <w:vAlign w:val="center"/>
          </w:tcPr>
          <w:p w14:paraId="72440785">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社会公众或服务对象是指因该项目实施而受到影响的部门（单位）、群体或个人。一般采取社会调查的方式。</w:t>
            </w:r>
          </w:p>
        </w:tc>
      </w:tr>
      <w:tr w14:paraId="6E621B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14:paraId="64FE01FB">
            <w:pPr>
              <w:widowControl/>
              <w:ind w:firstLine="0" w:firstLineChars="0"/>
              <w:jc w:val="center"/>
              <w:rPr>
                <w:rFonts w:ascii="宋体" w:hAnsi="宋体" w:eastAsia="宋体" w:cs="宋体"/>
                <w:color w:val="000000"/>
                <w:kern w:val="0"/>
                <w:sz w:val="22"/>
                <w:highlight w:val="none"/>
              </w:rPr>
            </w:pPr>
            <w:r>
              <w:rPr>
                <w:rFonts w:ascii="宋体" w:hAnsi="宋体" w:eastAsia="宋体" w:cs="宋体"/>
                <w:color w:val="000000"/>
                <w:kern w:val="0"/>
                <w:sz w:val="22"/>
                <w:highlight w:val="none"/>
              </w:rPr>
              <w:t>满意度指标完成情况分析</w:t>
            </w:r>
          </w:p>
        </w:tc>
        <w:tc>
          <w:tcPr>
            <w:tcW w:w="1199" w:type="dxa"/>
            <w:tcBorders>
              <w:tl2br w:val="nil"/>
              <w:tr2bl w:val="nil"/>
            </w:tcBorders>
            <w:shd w:val="clear" w:color="auto" w:fill="FFFFFF"/>
            <w:vAlign w:val="center"/>
          </w:tcPr>
          <w:p w14:paraId="62E2A1E2">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满意度指标</w:t>
            </w:r>
          </w:p>
        </w:tc>
        <w:tc>
          <w:tcPr>
            <w:tcW w:w="1411" w:type="dxa"/>
            <w:tcBorders>
              <w:tl2br w:val="nil"/>
              <w:tr2bl w:val="nil"/>
            </w:tcBorders>
            <w:shd w:val="clear" w:color="auto" w:fill="FFFFFF"/>
            <w:vAlign w:val="center"/>
          </w:tcPr>
          <w:p w14:paraId="3D539099">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群众满意度</w:t>
            </w:r>
          </w:p>
        </w:tc>
        <w:tc>
          <w:tcPr>
            <w:tcW w:w="2789" w:type="dxa"/>
            <w:tcBorders>
              <w:tl2br w:val="nil"/>
              <w:tr2bl w:val="nil"/>
            </w:tcBorders>
            <w:shd w:val="clear" w:color="000000" w:fill="FFFFFF"/>
            <w:vAlign w:val="center"/>
          </w:tcPr>
          <w:p w14:paraId="7476761D">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社会公众或服务对象对项目实施效果的满意程度。</w:t>
            </w:r>
          </w:p>
        </w:tc>
        <w:tc>
          <w:tcPr>
            <w:tcW w:w="7341" w:type="dxa"/>
            <w:tcBorders>
              <w:tl2br w:val="nil"/>
              <w:tr2bl w:val="nil"/>
            </w:tcBorders>
            <w:shd w:val="clear" w:color="000000" w:fill="FFFFFF"/>
            <w:vAlign w:val="center"/>
          </w:tcPr>
          <w:p w14:paraId="51384AD0">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社会公众或服务对象是指因该项目实施而受到影响的部门（单位）、群体或个人。一般采取社会调查的方式。</w:t>
            </w:r>
          </w:p>
        </w:tc>
      </w:tr>
    </w:tbl>
    <w:p w14:paraId="3239851A">
      <w:pPr>
        <w:ind w:firstLine="0" w:firstLineChars="0"/>
        <w:jc w:val="center"/>
        <w:rPr>
          <w:rFonts w:ascii="仿宋_GB2312"/>
        </w:rPr>
      </w:pPr>
    </w:p>
    <w:p w14:paraId="0C895115">
      <w:pPr>
        <w:ind w:firstLine="0" w:firstLineChars="0"/>
        <w:jc w:val="center"/>
        <w:rPr>
          <w:rFonts w:ascii="仿宋_GB2312"/>
        </w:rPr>
      </w:pPr>
    </w:p>
    <w:p w14:paraId="5BD2F005">
      <w:pPr>
        <w:ind w:firstLine="0" w:firstLineChars="0"/>
        <w:jc w:val="center"/>
        <w:rPr>
          <w:rFonts w:ascii="仿宋_GB2312"/>
        </w:rPr>
      </w:pPr>
    </w:p>
    <w:p w14:paraId="1766C7D1">
      <w:pPr>
        <w:ind w:firstLine="0" w:firstLineChars="0"/>
        <w:jc w:val="both"/>
        <w:rPr>
          <w:rFonts w:ascii="仿宋_GB2312"/>
        </w:rPr>
      </w:pPr>
    </w:p>
    <w:p w14:paraId="14279487">
      <w:pPr>
        <w:ind w:firstLine="0" w:firstLineChars="0"/>
        <w:jc w:val="center"/>
        <w:rPr>
          <w:rFonts w:ascii="仿宋_GB2312"/>
        </w:rPr>
        <w:sectPr>
          <w:footnotePr>
            <w:numFmt w:val="decimalEnclosedCircleChinese"/>
          </w:footnotePr>
          <w:pgSz w:w="16838" w:h="11906" w:orient="landscape"/>
          <w:pgMar w:top="1746" w:right="1440" w:bottom="1800" w:left="1440" w:header="1276" w:footer="992" w:gutter="0"/>
          <w:cols w:space="720" w:num="1"/>
          <w:docGrid w:type="lines" w:linePitch="381" w:charSpace="0"/>
        </w:sectPr>
      </w:pPr>
    </w:p>
    <w:p w14:paraId="2449BA85">
      <w:pPr>
        <w:pStyle w:val="4"/>
        <w:ind w:firstLine="643"/>
      </w:pPr>
      <w:bookmarkStart w:id="22" w:name="_Toc165277234"/>
      <w:bookmarkStart w:id="23" w:name="_Hlk67586038"/>
      <w:r>
        <w:t>3.</w:t>
      </w:r>
      <w:r>
        <w:rPr>
          <w:rFonts w:hint="eastAsia"/>
        </w:rPr>
        <w:t>评价方法</w:t>
      </w:r>
      <w:bookmarkEnd w:id="22"/>
    </w:p>
    <w:bookmarkEnd w:id="23"/>
    <w:p w14:paraId="6932FBB4">
      <w:pPr>
        <w:spacing w:line="360" w:lineRule="auto"/>
        <w:ind w:firstLine="560"/>
        <w:rPr>
          <w:rFonts w:ascii="仿宋_GB2312"/>
        </w:rPr>
      </w:pPr>
      <w:r>
        <w:rPr>
          <w:rFonts w:hint="eastAsia" w:ascii="仿宋_GB2312"/>
        </w:rPr>
        <w:t>《关于印发&lt;项目支出绩效评价管理办法&gt;的通知》（财预〔2020〕10号）文件指出部门评价的方法主要包括成本效益分析法、比较法、因素分析法、最低成本法、公众评判法、标杆管理法等。</w:t>
      </w:r>
    </w:p>
    <w:p w14:paraId="3C560312">
      <w:pPr>
        <w:spacing w:line="360" w:lineRule="auto"/>
        <w:ind w:firstLine="560"/>
        <w:rPr>
          <w:rFonts w:ascii="仿宋_GB2312"/>
        </w:rPr>
      </w:pPr>
      <w:r>
        <w:rPr>
          <w:rFonts w:hint="eastAsia" w:ascii="仿宋_GB2312"/>
        </w:rPr>
        <w:t>（1）成本效益分析法。是指将投入与产出、效益进行关联性分析的方法。</w:t>
      </w:r>
    </w:p>
    <w:p w14:paraId="0BA7DCCE">
      <w:pPr>
        <w:spacing w:line="360" w:lineRule="auto"/>
        <w:ind w:firstLine="560"/>
        <w:rPr>
          <w:rFonts w:ascii="仿宋_GB2312"/>
        </w:rPr>
      </w:pPr>
      <w:r>
        <w:rPr>
          <w:rFonts w:hint="eastAsia" w:ascii="仿宋_GB2312"/>
        </w:rPr>
        <w:t>（2）比较法。是指将实施情况与绩效目标、历史情况、不同部门和地区同类支出情况进行比较的方法。</w:t>
      </w:r>
    </w:p>
    <w:p w14:paraId="0AEE7DD0">
      <w:pPr>
        <w:spacing w:line="360" w:lineRule="auto"/>
        <w:ind w:firstLine="560"/>
        <w:rPr>
          <w:rFonts w:ascii="仿宋_GB2312"/>
        </w:rPr>
      </w:pPr>
      <w:r>
        <w:rPr>
          <w:rFonts w:hint="eastAsia" w:ascii="仿宋_GB2312"/>
        </w:rPr>
        <w:t>（3）因素分析法。是指综合分析影响绩效目标实现、实施效果的内外部因素的方法。</w:t>
      </w:r>
    </w:p>
    <w:p w14:paraId="59F01AAD">
      <w:pPr>
        <w:spacing w:line="360" w:lineRule="auto"/>
        <w:ind w:firstLine="560"/>
        <w:rPr>
          <w:rFonts w:ascii="仿宋_GB2312"/>
        </w:rPr>
      </w:pPr>
      <w:r>
        <w:rPr>
          <w:rFonts w:hint="eastAsia" w:ascii="仿宋_GB2312"/>
        </w:rPr>
        <w:t>（4）最低成本法。是指在绩效目标确定的前提下，成本最小者为优的方法。</w:t>
      </w:r>
    </w:p>
    <w:p w14:paraId="1A8EE0D7">
      <w:pPr>
        <w:spacing w:line="360" w:lineRule="auto"/>
        <w:ind w:firstLine="560"/>
        <w:rPr>
          <w:rFonts w:ascii="仿宋_GB2312"/>
        </w:rPr>
      </w:pPr>
      <w:r>
        <w:rPr>
          <w:rFonts w:hint="eastAsia" w:ascii="仿宋_GB2312"/>
        </w:rPr>
        <w:t>（5）公众评判法。是指通过专家评估、公众问卷及抽样调查等方式进行评判的方法。</w:t>
      </w:r>
    </w:p>
    <w:p w14:paraId="1E56AA91">
      <w:pPr>
        <w:spacing w:line="360" w:lineRule="auto"/>
        <w:ind w:firstLine="560"/>
        <w:rPr>
          <w:rFonts w:ascii="仿宋_GB2312"/>
        </w:rPr>
      </w:pPr>
      <w:r>
        <w:rPr>
          <w:rFonts w:hint="eastAsia" w:ascii="仿宋_GB2312"/>
        </w:rPr>
        <w:t>（6）标杆管理法。是指以国内外同行业中较高的绩效水平为标杆进行评判的方法。</w:t>
      </w:r>
    </w:p>
    <w:p w14:paraId="49AB7ED5">
      <w:pPr>
        <w:spacing w:line="360" w:lineRule="auto"/>
        <w:ind w:firstLine="560"/>
        <w:rPr>
          <w:rFonts w:ascii="仿宋_GB2312"/>
        </w:rPr>
      </w:pPr>
      <w:r>
        <w:rPr>
          <w:rFonts w:hint="eastAsia" w:ascii="仿宋_GB2312"/>
        </w:rPr>
        <w:t>（7）其他评价方法。</w:t>
      </w:r>
    </w:p>
    <w:p w14:paraId="5235EA05">
      <w:pPr>
        <w:spacing w:line="360" w:lineRule="auto"/>
        <w:ind w:firstLine="560"/>
        <w:rPr>
          <w:rFonts w:ascii="仿宋_GB2312"/>
        </w:rPr>
      </w:pPr>
      <w:r>
        <w:rPr>
          <w:rFonts w:hint="eastAsia" w:ascii="仿宋_GB2312"/>
        </w:rPr>
        <w:t>根据本项目（医疗设备、总务后勤保障及信息化建设项目）的特点，本次评价主要采用比较法</w:t>
      </w:r>
      <w:r>
        <w:rPr>
          <w:rFonts w:ascii="仿宋_GB2312"/>
        </w:rPr>
        <w:t>和</w:t>
      </w:r>
      <w:r>
        <w:rPr>
          <w:rFonts w:hint="eastAsia" w:ascii="仿宋_GB2312"/>
        </w:rPr>
        <w:t>公众评判法，对项目总预算和明细预算的内容、标准、计划是否经济合理进行深入分析，以考察实际产出和效益是否达到预期。</w:t>
      </w:r>
    </w:p>
    <w:p w14:paraId="05A414F2">
      <w:pPr>
        <w:pStyle w:val="4"/>
        <w:ind w:firstLine="643"/>
      </w:pPr>
      <w:bookmarkStart w:id="24" w:name="_Toc165277235"/>
      <w:r>
        <w:t>4.</w:t>
      </w:r>
      <w:r>
        <w:rPr>
          <w:rFonts w:hint="eastAsia"/>
        </w:rPr>
        <w:t>评价标准</w:t>
      </w:r>
      <w:bookmarkEnd w:id="24"/>
    </w:p>
    <w:p w14:paraId="13065B6E">
      <w:pPr>
        <w:spacing w:line="360" w:lineRule="auto"/>
        <w:ind w:firstLine="560"/>
        <w:rPr>
          <w:rFonts w:ascii="仿宋_GB2312"/>
        </w:rPr>
      </w:pPr>
      <w:r>
        <w:rPr>
          <w:rFonts w:hint="eastAsia" w:ascii="仿宋_GB2312"/>
        </w:rPr>
        <w:t>绩效评价标准主要包括计划标准、行业标准、历史标准等，用于对绩效指标完成情况进行比较。</w:t>
      </w:r>
    </w:p>
    <w:p w14:paraId="690D5AA7">
      <w:pPr>
        <w:spacing w:line="360" w:lineRule="auto"/>
        <w:ind w:firstLine="560"/>
        <w:rPr>
          <w:rFonts w:ascii="仿宋_GB2312"/>
        </w:rPr>
      </w:pPr>
      <w:r>
        <w:rPr>
          <w:rFonts w:hint="eastAsia" w:ascii="仿宋_GB2312"/>
        </w:rPr>
        <w:t>（1）计划标准。指以预先制定的目标、计划、预算、定额等作为评价标准。</w:t>
      </w:r>
    </w:p>
    <w:p w14:paraId="1D3CF359">
      <w:pPr>
        <w:spacing w:line="360" w:lineRule="auto"/>
        <w:ind w:firstLine="560"/>
        <w:rPr>
          <w:rFonts w:ascii="仿宋_GB2312"/>
        </w:rPr>
      </w:pPr>
      <w:r>
        <w:rPr>
          <w:rFonts w:hint="eastAsia" w:ascii="仿宋_GB2312"/>
        </w:rPr>
        <w:t>（2）行业标准。指参照国家公布的行业指标数据制定的评价标准。</w:t>
      </w:r>
    </w:p>
    <w:p w14:paraId="60096889">
      <w:pPr>
        <w:spacing w:line="360" w:lineRule="auto"/>
        <w:ind w:firstLine="560"/>
        <w:rPr>
          <w:rFonts w:ascii="仿宋_GB2312"/>
        </w:rPr>
      </w:pPr>
      <w:r>
        <w:rPr>
          <w:rFonts w:hint="eastAsia" w:ascii="仿宋_GB2312"/>
        </w:rPr>
        <w:t>（3）历史标准。指参照历史数据制定的评价标准，为体现绩效改进的原则，在可实现的条件下应当确定相对较高的评价标准。</w:t>
      </w:r>
    </w:p>
    <w:p w14:paraId="0DBB7067">
      <w:pPr>
        <w:spacing w:line="360" w:lineRule="auto"/>
        <w:ind w:firstLine="560"/>
        <w:rPr>
          <w:rFonts w:ascii="仿宋_GB2312"/>
        </w:rPr>
      </w:pPr>
      <w:r>
        <w:rPr>
          <w:rFonts w:hint="eastAsia" w:ascii="仿宋_GB2312"/>
        </w:rPr>
        <w:t>在上述评价标准的基础上，本次评价依据以下文件为重要指导和准绳：</w:t>
      </w:r>
    </w:p>
    <w:p w14:paraId="010A317E">
      <w:pPr>
        <w:spacing w:line="360" w:lineRule="auto"/>
        <w:ind w:firstLine="560"/>
        <w:rPr>
          <w:rFonts w:ascii="仿宋_GB2312"/>
        </w:rPr>
      </w:pPr>
      <w:r>
        <w:rPr>
          <w:rFonts w:hint="eastAsia" w:ascii="黑体" w:hAnsi="黑体" w:eastAsia="黑体" w:cs="Times New Roman"/>
          <w:szCs w:val="28"/>
        </w:rPr>
        <w:t>·</w:t>
      </w:r>
      <w:r>
        <w:rPr>
          <w:rFonts w:hint="eastAsia" w:ascii="仿宋_GB2312"/>
        </w:rPr>
        <w:t>《中共中央国务院关于全面实施预算绩效管理的意见》（中发〔2018〕34号）</w:t>
      </w:r>
    </w:p>
    <w:p w14:paraId="6B425170">
      <w:pPr>
        <w:spacing w:line="360" w:lineRule="auto"/>
        <w:ind w:firstLine="560"/>
        <w:rPr>
          <w:rFonts w:ascii="仿宋_GB2312"/>
        </w:rPr>
      </w:pPr>
      <w:r>
        <w:rPr>
          <w:rFonts w:hint="eastAsia" w:ascii="黑体" w:hAnsi="黑体" w:eastAsia="黑体" w:cs="Times New Roman"/>
          <w:szCs w:val="28"/>
        </w:rPr>
        <w:t>·</w:t>
      </w:r>
      <w:r>
        <w:rPr>
          <w:rFonts w:hint="eastAsia" w:ascii="仿宋_GB2312"/>
        </w:rPr>
        <w:t>《关于印发&lt;乌鲁木齐市本级部门预算绩效目标管理暂行办法&gt;的通知》（乌财预〔2018〕56号）</w:t>
      </w:r>
    </w:p>
    <w:p w14:paraId="75AA2137">
      <w:pPr>
        <w:spacing w:line="360" w:lineRule="auto"/>
        <w:ind w:firstLine="560" w:firstLineChars="0"/>
        <w:rPr>
          <w:rFonts w:ascii="仿宋_GB2312"/>
        </w:rPr>
      </w:pPr>
      <w:r>
        <w:rPr>
          <w:rFonts w:hint="eastAsia" w:ascii="黑体" w:hAnsi="黑体" w:eastAsia="黑体" w:cs="Times New Roman"/>
          <w:szCs w:val="28"/>
        </w:rPr>
        <w:t>·</w:t>
      </w:r>
      <w:r>
        <w:rPr>
          <w:rFonts w:hint="eastAsia" w:ascii="仿宋_GB2312"/>
        </w:rPr>
        <w:t>《关于做好2019年部门预算项目支出绩效目标管理有关事宜的通知》（乌财预〔2018〕76号）</w:t>
      </w:r>
    </w:p>
    <w:p w14:paraId="41BBFD18">
      <w:pPr>
        <w:spacing w:line="360" w:lineRule="auto"/>
        <w:ind w:firstLine="560"/>
        <w:rPr>
          <w:rFonts w:ascii="仿宋_GB2312"/>
        </w:rPr>
      </w:pPr>
      <w:r>
        <w:rPr>
          <w:rFonts w:hint="eastAsia" w:ascii="黑体" w:hAnsi="黑体" w:eastAsia="黑体" w:cs="Times New Roman"/>
          <w:szCs w:val="28"/>
        </w:rPr>
        <w:t>·</w:t>
      </w:r>
      <w:r>
        <w:rPr>
          <w:rFonts w:hint="eastAsia" w:ascii="仿宋_GB2312"/>
        </w:rPr>
        <w:t>《项目支出绩效评价管理办法》（财预〔2020〕10号）</w:t>
      </w:r>
    </w:p>
    <w:p w14:paraId="764AB8BD">
      <w:pPr>
        <w:spacing w:line="360" w:lineRule="auto"/>
        <w:ind w:firstLine="560"/>
        <w:rPr>
          <w:rFonts w:ascii="仿宋_GB2312"/>
        </w:rPr>
      </w:pPr>
      <w:bookmarkStart w:id="25" w:name="_Toc67911607"/>
      <w:bookmarkStart w:id="26" w:name="_Toc165277236"/>
      <w:r>
        <w:rPr>
          <w:rFonts w:hint="eastAsia" w:ascii="仿宋_GB2312"/>
        </w:rPr>
        <w:t>·《中华人民共和国政府采购法》</w:t>
      </w:r>
    </w:p>
    <w:p w14:paraId="30C2B451">
      <w:pPr>
        <w:spacing w:line="360" w:lineRule="auto"/>
        <w:ind w:firstLine="560"/>
        <w:rPr>
          <w:rFonts w:ascii="仿宋_GB2312"/>
        </w:rPr>
      </w:pPr>
      <w:r>
        <w:rPr>
          <w:rFonts w:hint="eastAsia" w:ascii="仿宋_GB2312"/>
        </w:rPr>
        <w:t>·关于印发《2023年乌鲁木齐市本级部门预算编制管理工作规程》的通知（乌财预函【2022】15号）</w:t>
      </w:r>
    </w:p>
    <w:p w14:paraId="18468F75">
      <w:pPr>
        <w:spacing w:line="360" w:lineRule="auto"/>
        <w:ind w:firstLine="560"/>
        <w:rPr>
          <w:rFonts w:ascii="仿宋_GB2312"/>
        </w:rPr>
      </w:pPr>
      <w:r>
        <w:rPr>
          <w:rFonts w:hint="eastAsia" w:ascii="仿宋_GB2312"/>
        </w:rPr>
        <w:t>·关于印发《乌鲁木齐市卫生健康委员会政府采购暂行规定》的通知（乌卫规【2023】2号）</w:t>
      </w:r>
    </w:p>
    <w:p w14:paraId="510126C2">
      <w:pPr>
        <w:ind w:firstLine="560"/>
        <w:rPr>
          <w:rFonts w:ascii="黑体" w:hAnsi="黑体" w:eastAsia="黑体" w:cs="Times New Roman"/>
          <w:szCs w:val="28"/>
        </w:rPr>
      </w:pPr>
    </w:p>
    <w:p w14:paraId="64684E16">
      <w:pPr>
        <w:pStyle w:val="3"/>
        <w:ind w:firstLine="643"/>
        <w:rPr>
          <w:rFonts w:ascii="仿宋" w:hAnsi="仿宋" w:eastAsia="仿宋"/>
          <w:lang w:bidi="en-US"/>
        </w:rPr>
      </w:pPr>
      <w:r>
        <w:rPr>
          <w:rFonts w:hint="eastAsia" w:ascii="仿宋" w:hAnsi="仿宋" w:eastAsia="仿宋"/>
          <w:lang w:bidi="en-US"/>
        </w:rPr>
        <w:t>（三）绩效评价工作过程</w:t>
      </w:r>
      <w:bookmarkEnd w:id="25"/>
      <w:bookmarkEnd w:id="26"/>
    </w:p>
    <w:p w14:paraId="53D5BDBB">
      <w:pPr>
        <w:spacing w:line="360" w:lineRule="auto"/>
        <w:ind w:firstLine="560"/>
        <w:rPr>
          <w:rFonts w:ascii="仿宋_GB2312"/>
        </w:rPr>
      </w:pPr>
      <w:r>
        <w:rPr>
          <w:rFonts w:hint="eastAsia" w:ascii="仿宋_GB231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19"/>
          <w:rFonts w:ascii="仿宋_GB2312"/>
        </w:rPr>
        <w:footnoteReference w:id="0"/>
      </w:r>
      <w:r>
        <w:rPr>
          <w:rFonts w:hint="eastAsia" w:ascii="仿宋_GB2312"/>
        </w:rPr>
        <w:t>、材料审核分析、现场核查评价、综合分析评价及报告撰写，评价项目实施情况，展现资金使用效益。</w:t>
      </w:r>
    </w:p>
    <w:p w14:paraId="7D8B24A1">
      <w:pPr>
        <w:pStyle w:val="2"/>
        <w:ind w:firstLine="0" w:firstLineChars="0"/>
        <w:jc w:val="left"/>
        <w:rPr>
          <w:rFonts w:ascii="仿宋" w:hAnsi="仿宋" w:eastAsia="仿宋"/>
          <w:sz w:val="36"/>
          <w:szCs w:val="36"/>
          <w:lang w:bidi="en-US"/>
        </w:rPr>
      </w:pPr>
      <w:bookmarkStart w:id="27" w:name="_Toc165277237"/>
      <w:bookmarkStart w:id="28" w:name="_Toc67911608"/>
      <w:r>
        <w:rPr>
          <w:rFonts w:hint="eastAsia" w:ascii="仿宋" w:hAnsi="仿宋" w:eastAsia="仿宋"/>
          <w:sz w:val="36"/>
          <w:szCs w:val="36"/>
          <w:lang w:bidi="en-US"/>
        </w:rPr>
        <w:t>三、综合评价情况及评价结论</w:t>
      </w:r>
      <w:bookmarkEnd w:id="27"/>
      <w:bookmarkEnd w:id="28"/>
    </w:p>
    <w:p w14:paraId="5A2AC273">
      <w:pPr>
        <w:pStyle w:val="3"/>
        <w:ind w:firstLine="643"/>
        <w:rPr>
          <w:rFonts w:ascii="仿宋" w:hAnsi="仿宋" w:eastAsia="仿宋"/>
          <w:lang w:bidi="en-US"/>
        </w:rPr>
      </w:pPr>
      <w:bookmarkStart w:id="29" w:name="_Toc67911609"/>
      <w:bookmarkStart w:id="30" w:name="_Toc165277238"/>
      <w:r>
        <w:rPr>
          <w:rFonts w:hint="eastAsia" w:ascii="仿宋" w:hAnsi="仿宋" w:eastAsia="仿宋"/>
          <w:lang w:bidi="en-US"/>
        </w:rPr>
        <w:t>（一）评价结论</w:t>
      </w:r>
      <w:bookmarkEnd w:id="29"/>
      <w:bookmarkEnd w:id="30"/>
    </w:p>
    <w:p w14:paraId="281A9BB8">
      <w:pPr>
        <w:spacing w:line="360" w:lineRule="auto"/>
        <w:ind w:firstLine="560"/>
        <w:rPr>
          <w:rFonts w:ascii="仿宋_GB2312"/>
          <w:szCs w:val="28"/>
        </w:rPr>
      </w:pPr>
      <w:r>
        <w:rPr>
          <w:rFonts w:hint="eastAsia" w:ascii="仿宋_GB2312"/>
          <w:szCs w:val="28"/>
        </w:rPr>
        <w:t>结合项目特点，制定符合项目实际的绩效评价指标体系及评分标准，通过数据采集、问卷调查及访谈等形式，对2</w:t>
      </w:r>
      <w:r>
        <w:rPr>
          <w:rFonts w:ascii="仿宋_GB2312"/>
          <w:szCs w:val="28"/>
        </w:rPr>
        <w:t>023</w:t>
      </w:r>
      <w:r>
        <w:rPr>
          <w:rFonts w:hint="eastAsia" w:ascii="仿宋_GB2312"/>
          <w:szCs w:val="28"/>
        </w:rPr>
        <w:t>年</w:t>
      </w:r>
      <w:r>
        <w:rPr>
          <w:rFonts w:hint="eastAsia" w:ascii="仿宋_GB2312"/>
        </w:rPr>
        <w:t>医疗设备、总务后勤保障及信息化建设项目</w:t>
      </w:r>
      <w:r>
        <w:rPr>
          <w:rFonts w:hint="eastAsia" w:ascii="仿宋_GB2312"/>
          <w:szCs w:val="28"/>
        </w:rPr>
        <w:t>进行客观评价，最终评分结果为：总分为100分，绩效评级为“优”</w:t>
      </w:r>
      <w:r>
        <w:rPr>
          <w:rStyle w:val="19"/>
          <w:rFonts w:ascii="仿宋_GB2312"/>
          <w:szCs w:val="28"/>
        </w:rPr>
        <w:footnoteReference w:id="1"/>
      </w:r>
      <w:r>
        <w:rPr>
          <w:rFonts w:hint="eastAsia" w:ascii="仿宋_GB2312"/>
          <w:szCs w:val="28"/>
        </w:rPr>
        <w:t>。</w:t>
      </w:r>
    </w:p>
    <w:p w14:paraId="183B5FA9">
      <w:pPr>
        <w:spacing w:line="360" w:lineRule="auto"/>
        <w:ind w:firstLine="560"/>
        <w:rPr>
          <w:rFonts w:ascii="仿宋_GB2312"/>
          <w:szCs w:val="28"/>
          <w:highlight w:val="none"/>
        </w:rPr>
      </w:pPr>
      <w:r>
        <w:rPr>
          <w:rFonts w:hint="eastAsia" w:ascii="仿宋_GB2312"/>
          <w:szCs w:val="28"/>
          <w:highlight w:val="none"/>
        </w:rPr>
        <w:t>项目各部分权重和绩效分值如附表所示：</w:t>
      </w:r>
    </w:p>
    <w:p w14:paraId="71325D5F">
      <w:pPr>
        <w:spacing w:line="360" w:lineRule="auto"/>
        <w:ind w:firstLine="0" w:firstLineChars="0"/>
        <w:jc w:val="center"/>
        <w:rPr>
          <w:rFonts w:ascii="仿宋_GB2312"/>
          <w:b/>
          <w:bCs/>
          <w:szCs w:val="28"/>
        </w:rPr>
      </w:pPr>
      <w:r>
        <w:rPr>
          <w:rFonts w:ascii="仿宋_GB2312"/>
          <w:b/>
          <w:bCs/>
          <w:szCs w:val="28"/>
        </w:rPr>
        <w:t xml:space="preserve">  </w:t>
      </w:r>
      <w:r>
        <w:rPr>
          <w:rFonts w:hint="eastAsia" w:ascii="仿宋_GB2312"/>
          <w:b/>
          <w:bCs/>
          <w:szCs w:val="28"/>
        </w:rPr>
        <w:t>项目各部分权重和绩效分值</w:t>
      </w:r>
    </w:p>
    <w:tbl>
      <w:tblPr>
        <w:tblStyle w:val="15"/>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1984"/>
        <w:gridCol w:w="2693"/>
        <w:gridCol w:w="898"/>
        <w:gridCol w:w="898"/>
        <w:gridCol w:w="1039"/>
      </w:tblGrid>
      <w:tr w14:paraId="2295E4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550" w:type="dxa"/>
            <w:tcBorders>
              <w:tl2br w:val="nil"/>
              <w:tr2bl w:val="nil"/>
            </w:tcBorders>
            <w:shd w:val="clear" w:color="auto" w:fill="D0CECE"/>
            <w:vAlign w:val="center"/>
          </w:tcPr>
          <w:p w14:paraId="08F568AA">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一级指标</w:t>
            </w:r>
          </w:p>
        </w:tc>
        <w:tc>
          <w:tcPr>
            <w:tcW w:w="1984" w:type="dxa"/>
            <w:tcBorders>
              <w:tl2br w:val="nil"/>
              <w:tr2bl w:val="nil"/>
            </w:tcBorders>
            <w:shd w:val="clear" w:color="auto" w:fill="D0CECE"/>
            <w:vAlign w:val="center"/>
          </w:tcPr>
          <w:p w14:paraId="445FBD08">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二级指标</w:t>
            </w:r>
          </w:p>
        </w:tc>
        <w:tc>
          <w:tcPr>
            <w:tcW w:w="2693" w:type="dxa"/>
            <w:tcBorders>
              <w:tl2br w:val="nil"/>
              <w:tr2bl w:val="nil"/>
            </w:tcBorders>
            <w:shd w:val="clear" w:color="auto" w:fill="D0CECE"/>
            <w:vAlign w:val="center"/>
          </w:tcPr>
          <w:p w14:paraId="34929FF2">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三级指标</w:t>
            </w:r>
          </w:p>
        </w:tc>
        <w:tc>
          <w:tcPr>
            <w:tcW w:w="898" w:type="dxa"/>
            <w:tcBorders>
              <w:tl2br w:val="nil"/>
              <w:tr2bl w:val="nil"/>
            </w:tcBorders>
            <w:shd w:val="clear" w:color="auto" w:fill="D0CECE"/>
            <w:vAlign w:val="center"/>
          </w:tcPr>
          <w:p w14:paraId="78708599">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分值</w:t>
            </w:r>
          </w:p>
        </w:tc>
        <w:tc>
          <w:tcPr>
            <w:tcW w:w="898" w:type="dxa"/>
            <w:tcBorders>
              <w:tl2br w:val="nil"/>
              <w:tr2bl w:val="nil"/>
            </w:tcBorders>
            <w:shd w:val="clear" w:color="auto" w:fill="D0CECE"/>
            <w:vAlign w:val="center"/>
          </w:tcPr>
          <w:p w14:paraId="3E2E1DC8">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得分</w:t>
            </w:r>
          </w:p>
        </w:tc>
        <w:tc>
          <w:tcPr>
            <w:tcW w:w="1039" w:type="dxa"/>
            <w:tcBorders>
              <w:tl2br w:val="nil"/>
              <w:tr2bl w:val="nil"/>
            </w:tcBorders>
            <w:shd w:val="clear" w:color="auto" w:fill="D0CECE"/>
            <w:vAlign w:val="center"/>
          </w:tcPr>
          <w:p w14:paraId="6E5BD156">
            <w:pPr>
              <w:widowControl/>
              <w:ind w:firstLine="0" w:firstLineChars="0"/>
              <w:jc w:val="center"/>
              <w:rPr>
                <w:rFonts w:ascii="仿宋_GB2312" w:hAnsi="Gungsuh" w:cs="宋体"/>
                <w:b/>
                <w:bCs/>
                <w:kern w:val="0"/>
                <w:sz w:val="24"/>
                <w:szCs w:val="24"/>
              </w:rPr>
            </w:pPr>
            <w:r>
              <w:rPr>
                <w:rFonts w:hint="eastAsia" w:ascii="仿宋_GB2312" w:hAnsi="Gungsuh" w:cs="宋体"/>
                <w:b/>
                <w:bCs/>
                <w:kern w:val="0"/>
                <w:sz w:val="24"/>
                <w:szCs w:val="24"/>
              </w:rPr>
              <w:t>得分率</w:t>
            </w:r>
          </w:p>
        </w:tc>
      </w:tr>
      <w:tr w14:paraId="2AFFE3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14:paraId="0AFE9E00">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决策</w:t>
            </w:r>
          </w:p>
        </w:tc>
        <w:tc>
          <w:tcPr>
            <w:tcW w:w="1984" w:type="dxa"/>
            <w:vMerge w:val="restart"/>
            <w:tcBorders>
              <w:tl2br w:val="nil"/>
              <w:tr2bl w:val="nil"/>
            </w:tcBorders>
            <w:shd w:val="clear" w:color="auto" w:fill="FFFFFF"/>
            <w:vAlign w:val="center"/>
          </w:tcPr>
          <w:p w14:paraId="381EB160">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项目立项</w:t>
            </w:r>
          </w:p>
        </w:tc>
        <w:tc>
          <w:tcPr>
            <w:tcW w:w="2693" w:type="dxa"/>
            <w:tcBorders>
              <w:tl2br w:val="nil"/>
              <w:tr2bl w:val="nil"/>
            </w:tcBorders>
            <w:shd w:val="clear" w:color="auto" w:fill="FFFFFF"/>
            <w:vAlign w:val="center"/>
          </w:tcPr>
          <w:p w14:paraId="2BD335DE">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立项依据充分性</w:t>
            </w:r>
          </w:p>
        </w:tc>
        <w:tc>
          <w:tcPr>
            <w:tcW w:w="898" w:type="dxa"/>
            <w:tcBorders>
              <w:tl2br w:val="nil"/>
              <w:tr2bl w:val="nil"/>
            </w:tcBorders>
            <w:shd w:val="clear" w:color="auto" w:fill="FFFFFF"/>
            <w:vAlign w:val="center"/>
          </w:tcPr>
          <w:p w14:paraId="06DF6696">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auto" w:fill="FFFFFF"/>
            <w:vAlign w:val="center"/>
          </w:tcPr>
          <w:p w14:paraId="3E75C05A">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1039" w:type="dxa"/>
            <w:tcBorders>
              <w:tl2br w:val="nil"/>
              <w:tr2bl w:val="nil"/>
            </w:tcBorders>
            <w:shd w:val="clear" w:color="auto" w:fill="FFFFFF"/>
            <w:vAlign w:val="center"/>
          </w:tcPr>
          <w:p w14:paraId="5D719656">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66D756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54D7BE36">
            <w:pPr>
              <w:ind w:firstLine="48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385AE9C7">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368A10E9">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立项程序规范性</w:t>
            </w:r>
          </w:p>
        </w:tc>
        <w:tc>
          <w:tcPr>
            <w:tcW w:w="898" w:type="dxa"/>
            <w:tcBorders>
              <w:tl2br w:val="nil"/>
              <w:tr2bl w:val="nil"/>
            </w:tcBorders>
            <w:shd w:val="clear" w:color="auto" w:fill="FFFFFF"/>
            <w:vAlign w:val="center"/>
          </w:tcPr>
          <w:p w14:paraId="702ED5E6">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auto" w:fill="FFFFFF"/>
            <w:vAlign w:val="center"/>
          </w:tcPr>
          <w:p w14:paraId="374273AE">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1039" w:type="dxa"/>
            <w:tcBorders>
              <w:tl2br w:val="nil"/>
              <w:tr2bl w:val="nil"/>
            </w:tcBorders>
            <w:shd w:val="clear" w:color="auto" w:fill="FFFFFF"/>
            <w:vAlign w:val="center"/>
          </w:tcPr>
          <w:p w14:paraId="73DCA161">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748505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76D801A8">
            <w:pPr>
              <w:ind w:firstLine="48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3424753B">
            <w:pPr>
              <w:ind w:firstLine="0" w:firstLineChars="0"/>
              <w:jc w:val="center"/>
              <w:rPr>
                <w:rFonts w:ascii="仿宋_GB2312" w:hAnsi="宋体" w:cs="宋体"/>
                <w:kern w:val="0"/>
                <w:sz w:val="24"/>
                <w:szCs w:val="24"/>
              </w:rPr>
            </w:pPr>
            <w:r>
              <w:rPr>
                <w:rFonts w:hint="eastAsia" w:ascii="仿宋_GB2312" w:hAnsi="宋体" w:cs="宋体"/>
                <w:kern w:val="0"/>
                <w:sz w:val="24"/>
                <w:szCs w:val="24"/>
              </w:rPr>
              <w:t>绩效目标</w:t>
            </w:r>
          </w:p>
        </w:tc>
        <w:tc>
          <w:tcPr>
            <w:tcW w:w="2693" w:type="dxa"/>
            <w:tcBorders>
              <w:tl2br w:val="nil"/>
              <w:tr2bl w:val="nil"/>
            </w:tcBorders>
            <w:shd w:val="clear" w:color="auto" w:fill="FFFFFF"/>
            <w:vAlign w:val="center"/>
          </w:tcPr>
          <w:p w14:paraId="7A7E17BF">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绩效目标合理性</w:t>
            </w:r>
          </w:p>
        </w:tc>
        <w:tc>
          <w:tcPr>
            <w:tcW w:w="898" w:type="dxa"/>
            <w:tcBorders>
              <w:tl2br w:val="nil"/>
              <w:tr2bl w:val="nil"/>
            </w:tcBorders>
            <w:shd w:val="clear" w:color="000000" w:fill="FFFFFF"/>
            <w:vAlign w:val="center"/>
          </w:tcPr>
          <w:p w14:paraId="58A897A6">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44D08FB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000000" w:fill="FFFFFF"/>
            <w:vAlign w:val="center"/>
          </w:tcPr>
          <w:p w14:paraId="3E6F187C">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73F327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65779A61">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65683A0D">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004D5696">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绩效指标明确性</w:t>
            </w:r>
          </w:p>
        </w:tc>
        <w:tc>
          <w:tcPr>
            <w:tcW w:w="898" w:type="dxa"/>
            <w:tcBorders>
              <w:tl2br w:val="nil"/>
              <w:tr2bl w:val="nil"/>
            </w:tcBorders>
            <w:shd w:val="clear" w:color="000000" w:fill="FFFFFF"/>
            <w:vAlign w:val="center"/>
          </w:tcPr>
          <w:p w14:paraId="42782669">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6B9C645E">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000000" w:fill="FFFFFF"/>
            <w:vAlign w:val="center"/>
          </w:tcPr>
          <w:p w14:paraId="0FD9EAD8">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221105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56044F0F">
            <w:pPr>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3E97AE62">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资金投入</w:t>
            </w:r>
          </w:p>
        </w:tc>
        <w:tc>
          <w:tcPr>
            <w:tcW w:w="2693" w:type="dxa"/>
            <w:tcBorders>
              <w:tl2br w:val="nil"/>
              <w:tr2bl w:val="nil"/>
            </w:tcBorders>
            <w:shd w:val="clear" w:color="auto" w:fill="FFFFFF"/>
            <w:vAlign w:val="center"/>
          </w:tcPr>
          <w:p w14:paraId="424240A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预算编制科学性</w:t>
            </w:r>
          </w:p>
        </w:tc>
        <w:tc>
          <w:tcPr>
            <w:tcW w:w="898" w:type="dxa"/>
            <w:tcBorders>
              <w:tl2br w:val="nil"/>
              <w:tr2bl w:val="nil"/>
            </w:tcBorders>
            <w:shd w:val="clear" w:color="auto" w:fill="FFFFFF"/>
            <w:vAlign w:val="center"/>
          </w:tcPr>
          <w:p w14:paraId="1F62A7F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auto" w:fill="FFFFFF"/>
            <w:vAlign w:val="center"/>
          </w:tcPr>
          <w:p w14:paraId="6E059F8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auto" w:fill="FFFFFF"/>
            <w:vAlign w:val="center"/>
          </w:tcPr>
          <w:p w14:paraId="4B7E51F2">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2AC371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32082B5F">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53E383F9">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346E92FF">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资金分配合理性</w:t>
            </w:r>
          </w:p>
        </w:tc>
        <w:tc>
          <w:tcPr>
            <w:tcW w:w="898" w:type="dxa"/>
            <w:tcBorders>
              <w:tl2br w:val="nil"/>
              <w:tr2bl w:val="nil"/>
            </w:tcBorders>
            <w:shd w:val="clear" w:color="auto" w:fill="FFFFFF"/>
            <w:vAlign w:val="center"/>
          </w:tcPr>
          <w:p w14:paraId="705ADF1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auto" w:fill="FFFFFF"/>
            <w:vAlign w:val="center"/>
          </w:tcPr>
          <w:p w14:paraId="2890C208">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auto" w:fill="FFFFFF"/>
            <w:vAlign w:val="center"/>
          </w:tcPr>
          <w:p w14:paraId="00C46CEA">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4E23D2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14:paraId="6FDC2798">
            <w:pPr>
              <w:ind w:firstLine="0" w:firstLineChars="0"/>
              <w:jc w:val="center"/>
              <w:rPr>
                <w:rFonts w:ascii="仿宋_GB2312" w:hAnsi="宋体" w:cs="宋体"/>
                <w:kern w:val="0"/>
                <w:sz w:val="24"/>
                <w:szCs w:val="24"/>
              </w:rPr>
            </w:pPr>
            <w:r>
              <w:rPr>
                <w:rFonts w:hint="eastAsia" w:ascii="仿宋_GB2312" w:hAnsi="宋体" w:cs="宋体"/>
                <w:kern w:val="0"/>
                <w:sz w:val="24"/>
                <w:szCs w:val="24"/>
              </w:rPr>
              <w:t>过程</w:t>
            </w:r>
          </w:p>
        </w:tc>
        <w:tc>
          <w:tcPr>
            <w:tcW w:w="1984" w:type="dxa"/>
            <w:vMerge w:val="restart"/>
            <w:tcBorders>
              <w:tl2br w:val="nil"/>
              <w:tr2bl w:val="nil"/>
            </w:tcBorders>
            <w:shd w:val="clear" w:color="auto" w:fill="FFFFFF"/>
            <w:vAlign w:val="center"/>
          </w:tcPr>
          <w:p w14:paraId="68122AC6">
            <w:pPr>
              <w:ind w:firstLine="0" w:firstLineChars="0"/>
              <w:jc w:val="center"/>
              <w:rPr>
                <w:rFonts w:ascii="仿宋_GB2312" w:hAnsi="宋体" w:cs="宋体"/>
                <w:kern w:val="0"/>
                <w:sz w:val="24"/>
                <w:szCs w:val="24"/>
              </w:rPr>
            </w:pPr>
            <w:r>
              <w:rPr>
                <w:rFonts w:hint="eastAsia" w:ascii="仿宋_GB2312" w:hAnsi="宋体" w:cs="宋体"/>
                <w:kern w:val="0"/>
                <w:sz w:val="24"/>
                <w:szCs w:val="24"/>
              </w:rPr>
              <w:t>资金管理</w:t>
            </w:r>
          </w:p>
        </w:tc>
        <w:tc>
          <w:tcPr>
            <w:tcW w:w="2693" w:type="dxa"/>
            <w:tcBorders>
              <w:tl2br w:val="nil"/>
              <w:tr2bl w:val="nil"/>
            </w:tcBorders>
            <w:shd w:val="clear" w:color="auto" w:fill="FFFFFF"/>
            <w:vAlign w:val="center"/>
          </w:tcPr>
          <w:p w14:paraId="48F73C7E">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资金到位率</w:t>
            </w:r>
          </w:p>
        </w:tc>
        <w:tc>
          <w:tcPr>
            <w:tcW w:w="898" w:type="dxa"/>
            <w:tcBorders>
              <w:tl2br w:val="nil"/>
              <w:tr2bl w:val="nil"/>
            </w:tcBorders>
            <w:shd w:val="clear" w:color="000000" w:fill="FFFFFF"/>
            <w:vAlign w:val="center"/>
          </w:tcPr>
          <w:p w14:paraId="370DA53C">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898" w:type="dxa"/>
            <w:tcBorders>
              <w:tl2br w:val="nil"/>
              <w:tr2bl w:val="nil"/>
            </w:tcBorders>
            <w:shd w:val="clear" w:color="000000" w:fill="FFFFFF"/>
            <w:vAlign w:val="center"/>
          </w:tcPr>
          <w:p w14:paraId="4E311C3B">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1039" w:type="dxa"/>
            <w:tcBorders>
              <w:tl2br w:val="nil"/>
              <w:tr2bl w:val="nil"/>
            </w:tcBorders>
            <w:shd w:val="clear" w:color="000000" w:fill="FFFFFF"/>
            <w:vAlign w:val="center"/>
          </w:tcPr>
          <w:p w14:paraId="0D83B288">
            <w:pPr>
              <w:widowControl/>
              <w:ind w:firstLine="0" w:firstLineChars="0"/>
              <w:rPr>
                <w:rFonts w:ascii="仿宋_GB2312" w:hAnsi="宋体" w:cs="宋体"/>
                <w:kern w:val="0"/>
                <w:sz w:val="24"/>
                <w:szCs w:val="24"/>
              </w:rPr>
            </w:pPr>
            <w:r>
              <w:rPr>
                <w:rFonts w:hint="eastAsia" w:ascii="仿宋_GB2312" w:hAnsi="宋体" w:cs="宋体"/>
                <w:kern w:val="0"/>
                <w:sz w:val="24"/>
                <w:szCs w:val="24"/>
              </w:rPr>
              <w:t>100%</w:t>
            </w:r>
          </w:p>
        </w:tc>
      </w:tr>
      <w:tr w14:paraId="471DD6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3A2040F4">
            <w:pPr>
              <w:ind w:firstLine="48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5E800092">
            <w:pPr>
              <w:ind w:firstLine="48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23FFDBB9">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预算执行率</w:t>
            </w:r>
          </w:p>
        </w:tc>
        <w:tc>
          <w:tcPr>
            <w:tcW w:w="898" w:type="dxa"/>
            <w:tcBorders>
              <w:tl2br w:val="nil"/>
              <w:tr2bl w:val="nil"/>
            </w:tcBorders>
            <w:shd w:val="clear" w:color="auto" w:fill="FFFFFF"/>
            <w:vAlign w:val="center"/>
          </w:tcPr>
          <w:p w14:paraId="5FC4AABC">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898" w:type="dxa"/>
            <w:tcBorders>
              <w:tl2br w:val="nil"/>
              <w:tr2bl w:val="nil"/>
            </w:tcBorders>
            <w:shd w:val="clear" w:color="auto" w:fill="FFFFFF"/>
            <w:vAlign w:val="center"/>
          </w:tcPr>
          <w:p w14:paraId="047E019A">
            <w:pPr>
              <w:widowControl/>
              <w:ind w:firstLine="0" w:firstLineChars="0"/>
              <w:jc w:val="center"/>
              <w:rPr>
                <w:rFonts w:hint="eastAsia"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5</w:t>
            </w:r>
          </w:p>
        </w:tc>
        <w:tc>
          <w:tcPr>
            <w:tcW w:w="1039" w:type="dxa"/>
            <w:tcBorders>
              <w:tl2br w:val="nil"/>
              <w:tr2bl w:val="nil"/>
            </w:tcBorders>
            <w:shd w:val="clear" w:color="auto" w:fill="FFFFFF"/>
            <w:vAlign w:val="center"/>
          </w:tcPr>
          <w:p w14:paraId="0C1C9F70">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r>
              <w:rPr>
                <w:rFonts w:hint="eastAsia" w:ascii="仿宋_GB2312" w:hAnsi="宋体" w:cs="宋体"/>
                <w:kern w:val="0"/>
                <w:sz w:val="24"/>
                <w:szCs w:val="24"/>
              </w:rPr>
              <w:t>%</w:t>
            </w:r>
          </w:p>
        </w:tc>
      </w:tr>
      <w:tr w14:paraId="166413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296BE8A5">
            <w:pPr>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2B7E12D8">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3B3967F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资金使用合规性</w:t>
            </w:r>
          </w:p>
        </w:tc>
        <w:tc>
          <w:tcPr>
            <w:tcW w:w="898" w:type="dxa"/>
            <w:tcBorders>
              <w:tl2br w:val="nil"/>
              <w:tr2bl w:val="nil"/>
            </w:tcBorders>
            <w:shd w:val="clear" w:color="000000" w:fill="FFFFFF"/>
            <w:vAlign w:val="center"/>
          </w:tcPr>
          <w:p w14:paraId="3D9784AB">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45D7FE3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000000" w:fill="FFFFFF"/>
            <w:vAlign w:val="center"/>
          </w:tcPr>
          <w:p w14:paraId="082DC4B1">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1F2337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374B0760">
            <w:pPr>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2B2C623C">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组织实施</w:t>
            </w:r>
          </w:p>
        </w:tc>
        <w:tc>
          <w:tcPr>
            <w:tcW w:w="2693" w:type="dxa"/>
            <w:tcBorders>
              <w:tl2br w:val="nil"/>
              <w:tr2bl w:val="nil"/>
            </w:tcBorders>
            <w:shd w:val="clear" w:color="auto" w:fill="FFFFFF"/>
            <w:vAlign w:val="center"/>
          </w:tcPr>
          <w:p w14:paraId="2BAD6F40">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管理制度健全性</w:t>
            </w:r>
          </w:p>
        </w:tc>
        <w:tc>
          <w:tcPr>
            <w:tcW w:w="898" w:type="dxa"/>
            <w:tcBorders>
              <w:tl2br w:val="nil"/>
              <w:tr2bl w:val="nil"/>
            </w:tcBorders>
            <w:shd w:val="clear" w:color="000000" w:fill="FFFFFF"/>
            <w:vAlign w:val="center"/>
          </w:tcPr>
          <w:p w14:paraId="59C82411">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339E17EC">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000000" w:fill="FFFFFF"/>
            <w:vAlign w:val="center"/>
          </w:tcPr>
          <w:p w14:paraId="0AE4C555">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451CB4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34F39D99">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14858E67">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26AF0CA9">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制度执行有效性</w:t>
            </w:r>
          </w:p>
        </w:tc>
        <w:tc>
          <w:tcPr>
            <w:tcW w:w="898" w:type="dxa"/>
            <w:tcBorders>
              <w:tl2br w:val="nil"/>
              <w:tr2bl w:val="nil"/>
            </w:tcBorders>
            <w:shd w:val="clear" w:color="000000" w:fill="FFFFFF"/>
            <w:vAlign w:val="center"/>
          </w:tcPr>
          <w:p w14:paraId="4C67E4CF">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000000" w:fill="FFFFFF"/>
            <w:vAlign w:val="center"/>
          </w:tcPr>
          <w:p w14:paraId="63B74DA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1039" w:type="dxa"/>
            <w:tcBorders>
              <w:tl2br w:val="nil"/>
              <w:tr2bl w:val="nil"/>
            </w:tcBorders>
            <w:shd w:val="clear" w:color="000000" w:fill="FFFFFF"/>
            <w:vAlign w:val="center"/>
          </w:tcPr>
          <w:p w14:paraId="0796C779">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12A52A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44" w:hRule="atLeast"/>
          <w:jc w:val="center"/>
        </w:trPr>
        <w:tc>
          <w:tcPr>
            <w:tcW w:w="1550" w:type="dxa"/>
            <w:vMerge w:val="restart"/>
            <w:tcBorders>
              <w:tl2br w:val="nil"/>
              <w:tr2bl w:val="nil"/>
            </w:tcBorders>
            <w:shd w:val="clear" w:color="auto" w:fill="FFFFFF"/>
            <w:vAlign w:val="center"/>
          </w:tcPr>
          <w:p w14:paraId="60481318">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w:t>
            </w:r>
          </w:p>
        </w:tc>
        <w:tc>
          <w:tcPr>
            <w:tcW w:w="1984" w:type="dxa"/>
            <w:tcBorders>
              <w:tl2br w:val="nil"/>
              <w:tr2bl w:val="nil"/>
            </w:tcBorders>
            <w:shd w:val="clear" w:color="auto" w:fill="FFFFFF"/>
            <w:vAlign w:val="center"/>
          </w:tcPr>
          <w:p w14:paraId="5B0C57F9">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产出数量</w:t>
            </w:r>
          </w:p>
        </w:tc>
        <w:tc>
          <w:tcPr>
            <w:tcW w:w="2693" w:type="dxa"/>
            <w:tcBorders>
              <w:tl2br w:val="nil"/>
              <w:tr2bl w:val="nil"/>
            </w:tcBorders>
            <w:shd w:val="clear" w:color="auto" w:fill="FFFFFF"/>
          </w:tcPr>
          <w:p w14:paraId="4BDEAD6A">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购置工作完成率</w:t>
            </w:r>
          </w:p>
        </w:tc>
        <w:tc>
          <w:tcPr>
            <w:tcW w:w="898" w:type="dxa"/>
            <w:tcBorders>
              <w:tl2br w:val="nil"/>
              <w:tr2bl w:val="nil"/>
            </w:tcBorders>
            <w:shd w:val="clear" w:color="000000" w:fill="FFFFFF"/>
            <w:vAlign w:val="center"/>
          </w:tcPr>
          <w:p w14:paraId="7B7C9F99">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w:t>
            </w:r>
          </w:p>
        </w:tc>
        <w:tc>
          <w:tcPr>
            <w:tcW w:w="898" w:type="dxa"/>
            <w:tcBorders>
              <w:tl2br w:val="nil"/>
              <w:tr2bl w:val="nil"/>
            </w:tcBorders>
            <w:shd w:val="clear" w:color="000000" w:fill="FFFFFF"/>
            <w:vAlign w:val="center"/>
          </w:tcPr>
          <w:p w14:paraId="75E1301C">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w:t>
            </w:r>
          </w:p>
        </w:tc>
        <w:tc>
          <w:tcPr>
            <w:tcW w:w="1039" w:type="dxa"/>
            <w:tcBorders>
              <w:tl2br w:val="nil"/>
              <w:tr2bl w:val="nil"/>
            </w:tcBorders>
            <w:shd w:val="clear" w:color="000000" w:fill="FFFFFF"/>
            <w:vAlign w:val="center"/>
          </w:tcPr>
          <w:p w14:paraId="50CC9C41">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p w14:paraId="155C5B20">
            <w:pPr>
              <w:widowControl/>
              <w:ind w:firstLine="0" w:firstLineChars="0"/>
              <w:jc w:val="center"/>
              <w:rPr>
                <w:rFonts w:ascii="仿宋_GB2312" w:hAnsi="宋体" w:cs="宋体"/>
                <w:kern w:val="0"/>
                <w:sz w:val="24"/>
                <w:szCs w:val="24"/>
              </w:rPr>
            </w:pPr>
          </w:p>
        </w:tc>
      </w:tr>
      <w:tr w14:paraId="3B955E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66" w:hRule="atLeast"/>
          <w:jc w:val="center"/>
        </w:trPr>
        <w:tc>
          <w:tcPr>
            <w:tcW w:w="1550" w:type="dxa"/>
            <w:vMerge w:val="continue"/>
            <w:tcBorders>
              <w:tl2br w:val="nil"/>
              <w:tr2bl w:val="nil"/>
            </w:tcBorders>
            <w:shd w:val="clear" w:color="auto" w:fill="FFFFFF"/>
            <w:vAlign w:val="center"/>
          </w:tcPr>
          <w:p w14:paraId="26EA348C">
            <w:pPr>
              <w:widowControl/>
              <w:ind w:firstLine="0" w:firstLineChars="0"/>
              <w:jc w:val="center"/>
              <w:rPr>
                <w:rFonts w:ascii="仿宋_GB2312" w:hAnsi="宋体" w:cs="宋体"/>
                <w:kern w:val="0"/>
                <w:sz w:val="24"/>
                <w:szCs w:val="24"/>
              </w:rPr>
            </w:pPr>
          </w:p>
        </w:tc>
        <w:tc>
          <w:tcPr>
            <w:tcW w:w="1984" w:type="dxa"/>
            <w:tcBorders>
              <w:tl2br w:val="nil"/>
              <w:tr2bl w:val="nil"/>
            </w:tcBorders>
            <w:shd w:val="clear" w:color="auto" w:fill="FFFFFF"/>
            <w:vAlign w:val="center"/>
          </w:tcPr>
          <w:p w14:paraId="4A4C6976">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产出质量</w:t>
            </w:r>
          </w:p>
        </w:tc>
        <w:tc>
          <w:tcPr>
            <w:tcW w:w="2693" w:type="dxa"/>
            <w:tcBorders>
              <w:tl2br w:val="nil"/>
              <w:tr2bl w:val="nil"/>
            </w:tcBorders>
            <w:shd w:val="clear" w:color="auto" w:fill="FFFFFF"/>
            <w:vAlign w:val="center"/>
          </w:tcPr>
          <w:p w14:paraId="757A00AD">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购置工作完成率</w:t>
            </w:r>
          </w:p>
        </w:tc>
        <w:tc>
          <w:tcPr>
            <w:tcW w:w="898" w:type="dxa"/>
            <w:tcBorders>
              <w:tl2br w:val="nil"/>
              <w:tr2bl w:val="nil"/>
            </w:tcBorders>
            <w:shd w:val="clear" w:color="000000" w:fill="FFFFFF"/>
            <w:vAlign w:val="center"/>
          </w:tcPr>
          <w:p w14:paraId="772836A8">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w:t>
            </w:r>
          </w:p>
        </w:tc>
        <w:tc>
          <w:tcPr>
            <w:tcW w:w="898" w:type="dxa"/>
            <w:tcBorders>
              <w:tl2br w:val="nil"/>
              <w:tr2bl w:val="nil"/>
            </w:tcBorders>
            <w:shd w:val="clear" w:color="000000" w:fill="FFFFFF"/>
            <w:vAlign w:val="center"/>
          </w:tcPr>
          <w:p w14:paraId="248148F9">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w:t>
            </w:r>
          </w:p>
        </w:tc>
        <w:tc>
          <w:tcPr>
            <w:tcW w:w="1039" w:type="dxa"/>
            <w:tcBorders>
              <w:tl2br w:val="nil"/>
              <w:tr2bl w:val="nil"/>
            </w:tcBorders>
            <w:shd w:val="clear" w:color="000000" w:fill="FFFFFF"/>
            <w:vAlign w:val="center"/>
          </w:tcPr>
          <w:p w14:paraId="492638FF">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p w14:paraId="23BCD627">
            <w:pPr>
              <w:widowControl/>
              <w:ind w:firstLine="0" w:firstLineChars="0"/>
              <w:jc w:val="center"/>
              <w:rPr>
                <w:rFonts w:ascii="仿宋_GB2312" w:hAnsi="宋体" w:cs="宋体"/>
                <w:kern w:val="0"/>
                <w:sz w:val="24"/>
                <w:szCs w:val="24"/>
              </w:rPr>
            </w:pPr>
          </w:p>
        </w:tc>
      </w:tr>
      <w:tr w14:paraId="7D05BE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550" w:type="dxa"/>
            <w:vMerge w:val="continue"/>
            <w:tcBorders>
              <w:tl2br w:val="nil"/>
              <w:tr2bl w:val="nil"/>
            </w:tcBorders>
            <w:shd w:val="clear" w:color="auto" w:fill="FFFFFF"/>
            <w:vAlign w:val="center"/>
          </w:tcPr>
          <w:p w14:paraId="49F1F738">
            <w:pPr>
              <w:ind w:firstLine="0" w:firstLineChars="0"/>
              <w:jc w:val="center"/>
              <w:rPr>
                <w:rFonts w:ascii="仿宋_GB2312" w:hAnsi="宋体" w:cs="宋体"/>
                <w:kern w:val="0"/>
                <w:sz w:val="24"/>
                <w:szCs w:val="24"/>
              </w:rPr>
            </w:pPr>
          </w:p>
        </w:tc>
        <w:tc>
          <w:tcPr>
            <w:tcW w:w="1984" w:type="dxa"/>
            <w:tcBorders>
              <w:tl2br w:val="nil"/>
              <w:tr2bl w:val="nil"/>
            </w:tcBorders>
            <w:shd w:val="clear" w:color="auto" w:fill="FFFFFF"/>
            <w:vAlign w:val="center"/>
          </w:tcPr>
          <w:p w14:paraId="297D0515">
            <w:pPr>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产出时效</w:t>
            </w:r>
          </w:p>
        </w:tc>
        <w:tc>
          <w:tcPr>
            <w:tcW w:w="2693" w:type="dxa"/>
            <w:tcBorders>
              <w:tl2br w:val="nil"/>
              <w:tr2bl w:val="nil"/>
            </w:tcBorders>
            <w:shd w:val="clear" w:color="auto" w:fill="FFFFFF"/>
            <w:vAlign w:val="center"/>
          </w:tcPr>
          <w:p w14:paraId="3113876D">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购置及时率</w:t>
            </w:r>
          </w:p>
        </w:tc>
        <w:tc>
          <w:tcPr>
            <w:tcW w:w="898" w:type="dxa"/>
            <w:tcBorders>
              <w:tl2br w:val="nil"/>
              <w:tr2bl w:val="nil"/>
            </w:tcBorders>
            <w:shd w:val="clear" w:color="000000" w:fill="FFFFFF"/>
            <w:vAlign w:val="center"/>
          </w:tcPr>
          <w:p w14:paraId="780470E4">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w:t>
            </w:r>
          </w:p>
        </w:tc>
        <w:tc>
          <w:tcPr>
            <w:tcW w:w="898" w:type="dxa"/>
            <w:tcBorders>
              <w:tl2br w:val="nil"/>
              <w:tr2bl w:val="nil"/>
            </w:tcBorders>
            <w:shd w:val="clear" w:color="000000" w:fill="FFFFFF"/>
            <w:vAlign w:val="center"/>
          </w:tcPr>
          <w:p w14:paraId="3B938F53">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w:t>
            </w:r>
          </w:p>
        </w:tc>
        <w:tc>
          <w:tcPr>
            <w:tcW w:w="1039" w:type="dxa"/>
            <w:tcBorders>
              <w:tl2br w:val="nil"/>
              <w:tr2bl w:val="nil"/>
            </w:tcBorders>
            <w:shd w:val="clear" w:color="000000" w:fill="FFFFFF"/>
            <w:vAlign w:val="center"/>
          </w:tcPr>
          <w:p w14:paraId="6DE04D9A">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3C6736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88" w:hRule="atLeast"/>
          <w:jc w:val="center"/>
        </w:trPr>
        <w:tc>
          <w:tcPr>
            <w:tcW w:w="1550" w:type="dxa"/>
            <w:vMerge w:val="continue"/>
            <w:tcBorders>
              <w:tl2br w:val="nil"/>
              <w:tr2bl w:val="nil"/>
            </w:tcBorders>
            <w:shd w:val="clear" w:color="auto" w:fill="FFFFFF"/>
            <w:vAlign w:val="center"/>
          </w:tcPr>
          <w:p w14:paraId="7E6C36FF">
            <w:pPr>
              <w:widowControl/>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612380C0">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产出成本</w:t>
            </w:r>
          </w:p>
        </w:tc>
        <w:tc>
          <w:tcPr>
            <w:tcW w:w="2693" w:type="dxa"/>
            <w:tcBorders>
              <w:tl2br w:val="nil"/>
              <w:tr2bl w:val="nil"/>
            </w:tcBorders>
            <w:shd w:val="clear" w:color="auto" w:fill="FFFFFF"/>
            <w:vAlign w:val="center"/>
          </w:tcPr>
          <w:p w14:paraId="65C0AF4E">
            <w:pPr>
              <w:widowControl/>
              <w:ind w:firstLine="0" w:firstLineChars="0"/>
              <w:jc w:val="center"/>
              <w:rPr>
                <w:rFonts w:hint="default" w:ascii="宋体" w:hAnsi="宋体" w:eastAsia="宋体" w:cs="宋体"/>
                <w:color w:val="000000"/>
                <w:kern w:val="0"/>
                <w:sz w:val="22"/>
                <w:lang w:val="en-US" w:eastAsia="zh-CN"/>
              </w:rPr>
            </w:pPr>
            <w:r>
              <w:rPr>
                <w:rFonts w:hint="eastAsia" w:ascii="Arial" w:hAnsi="Arial" w:eastAsia="宋体" w:cs="Arial"/>
                <w:color w:val="333333"/>
                <w:sz w:val="19"/>
                <w:szCs w:val="19"/>
                <w:shd w:val="clear" w:color="070000" w:fill="FFFFFF"/>
                <w:lang w:val="en-US" w:eastAsia="zh-CN"/>
              </w:rPr>
              <w:t>成本控制率</w:t>
            </w:r>
          </w:p>
        </w:tc>
        <w:tc>
          <w:tcPr>
            <w:tcW w:w="898" w:type="dxa"/>
            <w:tcBorders>
              <w:tl2br w:val="nil"/>
              <w:tr2bl w:val="nil"/>
            </w:tcBorders>
            <w:shd w:val="clear" w:color="000000" w:fill="FFFFFF"/>
            <w:vAlign w:val="center"/>
          </w:tcPr>
          <w:p w14:paraId="39DC6CC2">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w:t>
            </w:r>
          </w:p>
        </w:tc>
        <w:tc>
          <w:tcPr>
            <w:tcW w:w="898" w:type="dxa"/>
            <w:tcBorders>
              <w:tl2br w:val="nil"/>
              <w:tr2bl w:val="nil"/>
            </w:tcBorders>
            <w:shd w:val="clear" w:color="000000" w:fill="FFFFFF"/>
            <w:vAlign w:val="center"/>
          </w:tcPr>
          <w:p w14:paraId="49808617">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w:t>
            </w:r>
          </w:p>
        </w:tc>
        <w:tc>
          <w:tcPr>
            <w:tcW w:w="1039" w:type="dxa"/>
            <w:tcBorders>
              <w:tl2br w:val="nil"/>
              <w:tr2bl w:val="nil"/>
            </w:tcBorders>
            <w:shd w:val="clear" w:color="000000" w:fill="FFFFFF"/>
            <w:vAlign w:val="center"/>
          </w:tcPr>
          <w:p w14:paraId="22824B0C">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lang w:val="en-US" w:eastAsia="zh-CN"/>
              </w:rPr>
              <w:t>100</w:t>
            </w:r>
            <w:r>
              <w:rPr>
                <w:rFonts w:hint="eastAsia" w:ascii="仿宋_GB2312" w:hAnsi="宋体" w:cs="宋体"/>
                <w:kern w:val="0"/>
                <w:sz w:val="24"/>
                <w:szCs w:val="24"/>
              </w:rPr>
              <w:t>%</w:t>
            </w:r>
          </w:p>
        </w:tc>
      </w:tr>
      <w:tr w14:paraId="4B1FBA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14:paraId="0497C083">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效益</w:t>
            </w:r>
          </w:p>
        </w:tc>
        <w:tc>
          <w:tcPr>
            <w:tcW w:w="1984" w:type="dxa"/>
            <w:vMerge w:val="restart"/>
            <w:tcBorders>
              <w:tl2br w:val="nil"/>
              <w:tr2bl w:val="nil"/>
            </w:tcBorders>
            <w:shd w:val="clear" w:color="auto" w:fill="FFFFFF"/>
            <w:vAlign w:val="center"/>
          </w:tcPr>
          <w:p w14:paraId="44163DCC">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项目效益</w:t>
            </w:r>
          </w:p>
        </w:tc>
        <w:tc>
          <w:tcPr>
            <w:tcW w:w="2693" w:type="dxa"/>
            <w:tcBorders>
              <w:tl2br w:val="nil"/>
              <w:tr2bl w:val="nil"/>
            </w:tcBorders>
            <w:shd w:val="clear" w:color="auto" w:fill="FFFFFF"/>
            <w:vAlign w:val="center"/>
          </w:tcPr>
          <w:p w14:paraId="343E842C">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项目实施后给医院带来经济效益提升</w:t>
            </w:r>
          </w:p>
        </w:tc>
        <w:tc>
          <w:tcPr>
            <w:tcW w:w="898" w:type="dxa"/>
            <w:tcBorders>
              <w:tl2br w:val="nil"/>
              <w:tr2bl w:val="nil"/>
            </w:tcBorders>
            <w:shd w:val="clear" w:color="auto" w:fill="FFFFFF"/>
            <w:vAlign w:val="center"/>
          </w:tcPr>
          <w:p w14:paraId="00067F2B">
            <w:pPr>
              <w:widowControl/>
              <w:ind w:firstLine="0" w:firstLineChars="0"/>
              <w:jc w:val="center"/>
              <w:rPr>
                <w:rFonts w:hint="eastAsia" w:ascii="仿宋_GB2312" w:hAnsi="宋体" w:eastAsia="仿宋_GB2312" w:cs="宋体"/>
                <w:kern w:val="0"/>
                <w:sz w:val="24"/>
                <w:szCs w:val="24"/>
                <w:lang w:eastAsia="zh-CN"/>
              </w:rPr>
            </w:pPr>
            <w:r>
              <w:rPr>
                <w:rFonts w:hint="eastAsia" w:ascii="仿宋_GB2312" w:hAnsi="宋体" w:cs="宋体"/>
                <w:kern w:val="0"/>
                <w:sz w:val="24"/>
                <w:szCs w:val="24"/>
                <w:lang w:val="en-US" w:eastAsia="zh-CN"/>
              </w:rPr>
              <w:t>5</w:t>
            </w:r>
          </w:p>
        </w:tc>
        <w:tc>
          <w:tcPr>
            <w:tcW w:w="898" w:type="dxa"/>
            <w:tcBorders>
              <w:tl2br w:val="nil"/>
              <w:tr2bl w:val="nil"/>
            </w:tcBorders>
            <w:shd w:val="clear" w:color="auto" w:fill="FFFFFF"/>
            <w:vAlign w:val="center"/>
          </w:tcPr>
          <w:p w14:paraId="73B1095D">
            <w:pPr>
              <w:widowControl/>
              <w:ind w:firstLine="0" w:firstLineChars="0"/>
              <w:jc w:val="center"/>
              <w:rPr>
                <w:rFonts w:hint="eastAsia" w:ascii="仿宋_GB2312" w:hAnsi="宋体" w:eastAsia="仿宋_GB2312" w:cs="宋体"/>
                <w:kern w:val="0"/>
                <w:sz w:val="24"/>
                <w:szCs w:val="24"/>
                <w:lang w:eastAsia="zh-CN"/>
              </w:rPr>
            </w:pPr>
            <w:r>
              <w:rPr>
                <w:rFonts w:hint="eastAsia" w:ascii="仿宋_GB2312" w:hAnsi="宋体" w:cs="宋体"/>
                <w:kern w:val="0"/>
                <w:sz w:val="24"/>
                <w:szCs w:val="24"/>
                <w:lang w:val="en-US" w:eastAsia="zh-CN"/>
              </w:rPr>
              <w:t>5</w:t>
            </w:r>
          </w:p>
        </w:tc>
        <w:tc>
          <w:tcPr>
            <w:tcW w:w="1039" w:type="dxa"/>
            <w:tcBorders>
              <w:tl2br w:val="nil"/>
              <w:tr2bl w:val="nil"/>
            </w:tcBorders>
            <w:shd w:val="clear" w:color="auto" w:fill="FFFFFF"/>
            <w:vAlign w:val="center"/>
          </w:tcPr>
          <w:p w14:paraId="2EC21491">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21EB75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4F0B92ED">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75DE39D5">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74215ABD">
            <w:pPr>
              <w:widowControl/>
              <w:ind w:firstLine="0" w:firstLineChars="0"/>
              <w:jc w:val="center"/>
              <w:rPr>
                <w:rFonts w:ascii="仿宋_GB2312" w:hAnsi="宋体" w:cs="宋体"/>
                <w:kern w:val="0"/>
                <w:sz w:val="24"/>
                <w:szCs w:val="24"/>
              </w:rPr>
            </w:pPr>
            <w:r>
              <w:rPr>
                <w:rFonts w:ascii="Arial" w:hAnsi="Arial" w:eastAsia="宋体" w:cs="Arial"/>
                <w:color w:val="333333"/>
                <w:sz w:val="19"/>
                <w:szCs w:val="19"/>
                <w:shd w:val="clear" w:color="070000" w:fill="FFFFFF"/>
              </w:rPr>
              <w:t>医疗设备的投入提升医院为患者服务的能力</w:t>
            </w:r>
          </w:p>
        </w:tc>
        <w:tc>
          <w:tcPr>
            <w:tcW w:w="898" w:type="dxa"/>
            <w:tcBorders>
              <w:tl2br w:val="nil"/>
              <w:tr2bl w:val="nil"/>
            </w:tcBorders>
            <w:shd w:val="clear" w:color="000000" w:fill="FFFFFF"/>
            <w:vAlign w:val="center"/>
          </w:tcPr>
          <w:p w14:paraId="59FE9DE1">
            <w:pPr>
              <w:widowControl/>
              <w:ind w:firstLine="0" w:firstLineChars="0"/>
              <w:jc w:val="center"/>
              <w:rPr>
                <w:rFonts w:ascii="仿宋_GB2312" w:hAnsi="宋体" w:cs="宋体"/>
                <w:kern w:val="0"/>
                <w:sz w:val="24"/>
                <w:szCs w:val="24"/>
              </w:rPr>
            </w:pPr>
            <w:r>
              <w:rPr>
                <w:rFonts w:ascii="仿宋_GB2312" w:hAnsi="宋体" w:cs="宋体"/>
                <w:kern w:val="0"/>
                <w:sz w:val="24"/>
                <w:szCs w:val="24"/>
              </w:rPr>
              <w:t>5</w:t>
            </w:r>
          </w:p>
        </w:tc>
        <w:tc>
          <w:tcPr>
            <w:tcW w:w="898" w:type="dxa"/>
            <w:tcBorders>
              <w:tl2br w:val="nil"/>
              <w:tr2bl w:val="nil"/>
            </w:tcBorders>
            <w:shd w:val="clear" w:color="000000" w:fill="FFFFFF"/>
            <w:vAlign w:val="center"/>
          </w:tcPr>
          <w:p w14:paraId="542CFFAA">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1039" w:type="dxa"/>
            <w:tcBorders>
              <w:tl2br w:val="nil"/>
              <w:tr2bl w:val="nil"/>
            </w:tcBorders>
            <w:shd w:val="clear" w:color="000000" w:fill="FFFFFF"/>
            <w:vAlign w:val="center"/>
          </w:tcPr>
          <w:p w14:paraId="1E65F894">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4C53B4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14:paraId="5241FB97">
            <w:pPr>
              <w:widowControl/>
              <w:ind w:firstLine="0" w:firstLineChars="0"/>
              <w:jc w:val="center"/>
              <w:rPr>
                <w:rFonts w:ascii="仿宋_GB2312" w:hAnsi="宋体" w:cs="宋体"/>
                <w:kern w:val="0"/>
                <w:sz w:val="24"/>
                <w:szCs w:val="24"/>
              </w:rPr>
            </w:pPr>
            <w:r>
              <w:rPr>
                <w:rFonts w:ascii="宋体" w:hAnsi="宋体" w:eastAsia="宋体" w:cs="宋体"/>
                <w:color w:val="000000"/>
                <w:kern w:val="0"/>
                <w:sz w:val="22"/>
              </w:rPr>
              <w:t>满意度指标完成情况分析</w:t>
            </w:r>
          </w:p>
        </w:tc>
        <w:tc>
          <w:tcPr>
            <w:tcW w:w="1984" w:type="dxa"/>
            <w:tcBorders>
              <w:tl2br w:val="nil"/>
              <w:tr2bl w:val="nil"/>
            </w:tcBorders>
            <w:shd w:val="clear" w:color="auto" w:fill="FFFFFF"/>
            <w:vAlign w:val="center"/>
          </w:tcPr>
          <w:p w14:paraId="0BF9FFEC">
            <w:pPr>
              <w:widowControl/>
              <w:ind w:firstLine="0" w:firstLineChars="0"/>
              <w:jc w:val="center"/>
              <w:rPr>
                <w:rFonts w:ascii="仿宋_GB2312" w:hAnsi="宋体" w:cs="宋体"/>
                <w:kern w:val="0"/>
                <w:sz w:val="24"/>
                <w:szCs w:val="24"/>
              </w:rPr>
            </w:pPr>
            <w:r>
              <w:rPr>
                <w:rFonts w:hint="eastAsia" w:ascii="宋体" w:hAnsi="宋体" w:eastAsia="宋体" w:cs="宋体"/>
                <w:color w:val="000000"/>
                <w:kern w:val="0"/>
                <w:sz w:val="22"/>
              </w:rPr>
              <w:t>满意度指标</w:t>
            </w:r>
          </w:p>
        </w:tc>
        <w:tc>
          <w:tcPr>
            <w:tcW w:w="2693" w:type="dxa"/>
            <w:tcBorders>
              <w:tl2br w:val="nil"/>
              <w:tr2bl w:val="nil"/>
            </w:tcBorders>
            <w:shd w:val="clear" w:color="auto" w:fill="FFFFFF"/>
            <w:vAlign w:val="center"/>
          </w:tcPr>
          <w:p w14:paraId="79D87FFE">
            <w:pPr>
              <w:widowControl/>
              <w:ind w:firstLine="0" w:firstLineChars="0"/>
              <w:jc w:val="center"/>
              <w:rPr>
                <w:rFonts w:hint="default" w:ascii="宋体" w:hAnsi="宋体" w:eastAsia="宋体" w:cs="宋体"/>
                <w:color w:val="000000"/>
                <w:kern w:val="0"/>
                <w:sz w:val="22"/>
                <w:lang w:val="en-US" w:eastAsia="zh-CN"/>
              </w:rPr>
            </w:pPr>
            <w:r>
              <w:rPr>
                <w:rFonts w:hint="eastAsia" w:ascii="宋体" w:hAnsi="宋体" w:eastAsia="宋体" w:cs="宋体"/>
                <w:color w:val="000000"/>
                <w:kern w:val="0"/>
                <w:sz w:val="22"/>
                <w:lang w:val="en-US" w:eastAsia="zh-CN"/>
              </w:rPr>
              <w:t>服务对象满意度</w:t>
            </w:r>
          </w:p>
        </w:tc>
        <w:tc>
          <w:tcPr>
            <w:tcW w:w="898" w:type="dxa"/>
            <w:tcBorders>
              <w:tl2br w:val="nil"/>
              <w:tr2bl w:val="nil"/>
            </w:tcBorders>
            <w:shd w:val="clear" w:color="000000" w:fill="FFFFFF"/>
            <w:vAlign w:val="center"/>
          </w:tcPr>
          <w:p w14:paraId="7475105B">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w:t>
            </w:r>
          </w:p>
        </w:tc>
        <w:tc>
          <w:tcPr>
            <w:tcW w:w="898" w:type="dxa"/>
            <w:tcBorders>
              <w:tl2br w:val="nil"/>
              <w:tr2bl w:val="nil"/>
            </w:tcBorders>
            <w:shd w:val="clear" w:color="000000" w:fill="FFFFFF"/>
            <w:vAlign w:val="center"/>
          </w:tcPr>
          <w:p w14:paraId="72F2BDFA">
            <w:pPr>
              <w:widowControl/>
              <w:ind w:firstLine="0" w:firstLineChars="0"/>
              <w:jc w:val="center"/>
              <w:rPr>
                <w:rFonts w:hint="default" w:ascii="仿宋_GB2312" w:hAnsi="宋体" w:eastAsia="仿宋_GB2312" w:cs="宋体"/>
                <w:kern w:val="0"/>
                <w:sz w:val="24"/>
                <w:szCs w:val="24"/>
                <w:lang w:val="en-US" w:eastAsia="zh-CN"/>
              </w:rPr>
            </w:pPr>
            <w:r>
              <w:rPr>
                <w:rFonts w:hint="eastAsia" w:ascii="仿宋_GB2312" w:hAnsi="宋体" w:cs="宋体"/>
                <w:kern w:val="0"/>
                <w:sz w:val="24"/>
                <w:szCs w:val="24"/>
                <w:lang w:val="en-US" w:eastAsia="zh-CN"/>
              </w:rPr>
              <w:t>10</w:t>
            </w:r>
          </w:p>
        </w:tc>
        <w:tc>
          <w:tcPr>
            <w:tcW w:w="1039" w:type="dxa"/>
            <w:tcBorders>
              <w:tl2br w:val="nil"/>
              <w:tr2bl w:val="nil"/>
            </w:tcBorders>
            <w:shd w:val="clear" w:color="000000" w:fill="FFFFFF"/>
            <w:vAlign w:val="center"/>
          </w:tcPr>
          <w:p w14:paraId="091F8AD5">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bl>
    <w:p w14:paraId="72737181">
      <w:pPr>
        <w:pStyle w:val="3"/>
        <w:ind w:firstLine="643"/>
        <w:rPr>
          <w:rFonts w:ascii="仿宋" w:hAnsi="仿宋" w:eastAsia="仿宋"/>
          <w:lang w:bidi="en-US"/>
        </w:rPr>
      </w:pPr>
      <w:bookmarkStart w:id="31" w:name="_Toc67911610"/>
      <w:bookmarkStart w:id="32" w:name="_Toc165277239"/>
      <w:r>
        <w:rPr>
          <w:rFonts w:hint="eastAsia" w:ascii="仿宋" w:hAnsi="仿宋" w:eastAsia="仿宋"/>
          <w:lang w:bidi="en-US"/>
        </w:rPr>
        <w:t>（二）主要绩效</w:t>
      </w:r>
      <w:bookmarkEnd w:id="31"/>
      <w:bookmarkEnd w:id="32"/>
    </w:p>
    <w:p w14:paraId="721EE9ED">
      <w:pPr>
        <w:spacing w:line="360" w:lineRule="auto"/>
        <w:ind w:firstLine="560"/>
        <w:rPr>
          <w:rFonts w:ascii="仿宋_GB2312"/>
        </w:rPr>
      </w:pPr>
      <w:r>
        <w:rPr>
          <w:rFonts w:hint="eastAsia" w:ascii="仿宋_GB2312"/>
          <w:bCs/>
          <w:szCs w:val="28"/>
        </w:rPr>
        <w:t>该项目资金属于单位自有资金，单</w:t>
      </w:r>
      <w:r>
        <w:rPr>
          <w:rFonts w:hint="eastAsia" w:ascii="仿宋_GB2312"/>
          <w:bCs/>
          <w:szCs w:val="28"/>
          <w:highlight w:val="none"/>
        </w:rPr>
        <w:t>位在此次评价期间内，有序完成设定目标的部分工作任务，已完成</w:t>
      </w:r>
      <w:r>
        <w:rPr>
          <w:rFonts w:hint="eastAsia" w:ascii="仿宋_GB2312"/>
          <w:highlight w:val="none"/>
        </w:rPr>
        <w:t>①</w:t>
      </w:r>
      <w:r>
        <w:rPr>
          <w:rFonts w:hint="eastAsia" w:ascii="仿宋_GB2312"/>
          <w:highlight w:val="none"/>
          <w:lang w:val="en-US" w:eastAsia="zh-CN"/>
        </w:rPr>
        <w:t>办公费46.82万元</w:t>
      </w:r>
      <w:r>
        <w:rPr>
          <w:rFonts w:hint="eastAsia" w:ascii="仿宋_GB2312"/>
          <w:highlight w:val="none"/>
        </w:rPr>
        <w:t>②</w:t>
      </w:r>
      <w:r>
        <w:rPr>
          <w:rFonts w:hint="eastAsia" w:ascii="仿宋_GB2312"/>
          <w:highlight w:val="none"/>
          <w:lang w:val="en-US" w:eastAsia="zh-CN"/>
        </w:rPr>
        <w:t>印刷费14.98万元</w:t>
      </w:r>
      <w:r>
        <w:rPr>
          <w:rFonts w:hint="eastAsia" w:ascii="仿宋_GB2312"/>
          <w:highlight w:val="none"/>
        </w:rPr>
        <w:t>③</w:t>
      </w:r>
      <w:r>
        <w:rPr>
          <w:rFonts w:hint="eastAsia" w:ascii="仿宋_GB2312"/>
          <w:highlight w:val="none"/>
          <w:lang w:val="en-US" w:eastAsia="zh-CN"/>
        </w:rPr>
        <w:t>物业管理费142.3万元</w:t>
      </w:r>
      <w:r>
        <w:rPr>
          <w:rFonts w:hint="eastAsia" w:ascii="仿宋_GB2312"/>
          <w:highlight w:val="none"/>
        </w:rPr>
        <w:t>④</w:t>
      </w:r>
      <w:r>
        <w:rPr>
          <w:rFonts w:hint="eastAsia" w:ascii="仿宋_GB2312"/>
          <w:highlight w:val="none"/>
          <w:lang w:val="en-US" w:eastAsia="zh-CN"/>
        </w:rPr>
        <w:t>维修（护）费33.54万元</w:t>
      </w:r>
      <w:r>
        <w:rPr>
          <w:rFonts w:hint="eastAsia" w:ascii="仿宋_GB2312"/>
          <w:highlight w:val="none"/>
        </w:rPr>
        <w:t>⑤</w:t>
      </w:r>
      <w:r>
        <w:rPr>
          <w:rFonts w:hint="eastAsia" w:ascii="仿宋_GB2312"/>
          <w:highlight w:val="none"/>
          <w:lang w:val="en-US" w:eastAsia="zh-CN"/>
        </w:rPr>
        <w:t>专用材料费3800.87万元</w:t>
      </w:r>
      <w:r>
        <w:rPr>
          <w:rFonts w:hint="eastAsia" w:ascii="仿宋_GB2312"/>
          <w:highlight w:val="none"/>
        </w:rPr>
        <w:t>⑥</w:t>
      </w:r>
      <w:r>
        <w:rPr>
          <w:rFonts w:hint="eastAsia" w:ascii="仿宋_GB2312"/>
          <w:highlight w:val="none"/>
          <w:lang w:val="en-US" w:eastAsia="zh-CN"/>
        </w:rPr>
        <w:t>被装购置费3.43万元</w:t>
      </w:r>
      <w:r>
        <w:rPr>
          <w:rFonts w:hint="eastAsia" w:ascii="仿宋_GB2312"/>
          <w:highlight w:val="none"/>
        </w:rPr>
        <w:t>⑦</w:t>
      </w:r>
      <w:r>
        <w:rPr>
          <w:rFonts w:hint="eastAsia" w:ascii="仿宋_GB2312"/>
          <w:highlight w:val="none"/>
          <w:lang w:val="en-US" w:eastAsia="zh-CN"/>
        </w:rPr>
        <w:t>其他商品和服务支出29.8万元</w:t>
      </w:r>
      <w:r>
        <w:rPr>
          <w:rFonts w:hint="eastAsia" w:ascii="仿宋_GB2312"/>
          <w:highlight w:val="none"/>
        </w:rPr>
        <w:t>⑧</w:t>
      </w:r>
      <w:r>
        <w:rPr>
          <w:rFonts w:hint="eastAsia" w:ascii="仿宋_GB2312"/>
          <w:highlight w:val="none"/>
          <w:lang w:val="en-US" w:eastAsia="zh-CN"/>
        </w:rPr>
        <w:t>办公设备购置2.05万元</w:t>
      </w:r>
      <w:r>
        <w:rPr>
          <w:rFonts w:hint="eastAsia" w:ascii="仿宋_GB2312"/>
          <w:highlight w:val="none"/>
        </w:rPr>
        <w:t>⑨</w:t>
      </w:r>
      <w:r>
        <w:rPr>
          <w:rFonts w:hint="eastAsia" w:ascii="仿宋_GB2312"/>
          <w:highlight w:val="none"/>
          <w:lang w:val="en-US" w:eastAsia="zh-CN"/>
        </w:rPr>
        <w:t>专用设备购置1334.32万元</w:t>
      </w:r>
      <w:r>
        <w:rPr>
          <w:rFonts w:hint="eastAsia" w:ascii="仿宋_GB2312"/>
          <w:highlight w:val="none"/>
        </w:rPr>
        <w:t>⑩</w:t>
      </w:r>
      <w:r>
        <w:rPr>
          <w:rFonts w:hint="eastAsia" w:ascii="仿宋_GB2312"/>
          <w:highlight w:val="none"/>
          <w:lang w:val="en-US" w:eastAsia="zh-CN"/>
        </w:rPr>
        <w:t>大型修缮205.64万元</w:t>
      </w:r>
      <w:r>
        <w:rPr>
          <w:rFonts w:hint="eastAsia" w:ascii="仿宋_GB2312"/>
          <w:highlight w:val="none"/>
        </w:rPr>
        <w:t>⑪</w:t>
      </w:r>
      <w:r>
        <w:rPr>
          <w:rFonts w:hint="eastAsia" w:ascii="仿宋_GB2312"/>
          <w:highlight w:val="none"/>
          <w:lang w:val="en-US" w:eastAsia="zh-CN"/>
        </w:rPr>
        <w:t>信息网络及软件购置更新163.26万元，合计5777.01万元。预算执行率100%。</w:t>
      </w:r>
      <w:r>
        <w:rPr>
          <w:rFonts w:hint="eastAsia" w:ascii="仿宋_GB2312"/>
        </w:rPr>
        <w:t>我单位依据《中华人民共和国政府采购法》、《招投标法》等基本法律，坚持做到“公平、公正、公开”合理、节约、效率的阳光采购原则，严格工作程序，规范申报制度，杜绝单位逃避政府采购流程，违规操作等行为，基本完成年初制定的目标。深化公立医院综合改革，建立健全现代化医院管理制度，协调推行医疗价格、药品物流、医保支付改革，提高医疗卫生服务质量。为患者更好的服务，使患者的满意度有所提高。</w:t>
      </w:r>
    </w:p>
    <w:p w14:paraId="0D452048">
      <w:pPr>
        <w:spacing w:line="360" w:lineRule="auto"/>
        <w:ind w:firstLine="548" w:firstLineChars="196"/>
        <w:rPr>
          <w:rFonts w:ascii="仿宋_GB2312"/>
          <w:bCs/>
          <w:szCs w:val="28"/>
          <w:highlight w:val="yellow"/>
        </w:rPr>
      </w:pPr>
    </w:p>
    <w:p w14:paraId="0BFE5720">
      <w:pPr>
        <w:pStyle w:val="2"/>
        <w:ind w:firstLine="0" w:firstLineChars="0"/>
        <w:jc w:val="left"/>
        <w:rPr>
          <w:rFonts w:ascii="仿宋" w:hAnsi="仿宋" w:eastAsia="仿宋"/>
          <w:sz w:val="36"/>
          <w:szCs w:val="36"/>
          <w:lang w:bidi="en-US"/>
        </w:rPr>
      </w:pPr>
      <w:bookmarkStart w:id="33" w:name="_Toc67911611"/>
      <w:bookmarkStart w:id="34" w:name="_Toc165277240"/>
      <w:r>
        <w:rPr>
          <w:rFonts w:hint="eastAsia" w:ascii="仿宋" w:hAnsi="仿宋" w:eastAsia="仿宋"/>
          <w:sz w:val="36"/>
          <w:szCs w:val="36"/>
          <w:lang w:bidi="en-US"/>
        </w:rPr>
        <w:t>四、绩效评价指标分析</w:t>
      </w:r>
      <w:bookmarkEnd w:id="33"/>
      <w:bookmarkEnd w:id="34"/>
    </w:p>
    <w:p w14:paraId="4F9B72E4">
      <w:pPr>
        <w:pStyle w:val="3"/>
        <w:ind w:firstLine="643"/>
        <w:rPr>
          <w:rFonts w:ascii="仿宋" w:hAnsi="仿宋" w:eastAsia="仿宋"/>
          <w:lang w:bidi="en-US"/>
        </w:rPr>
      </w:pPr>
      <w:bookmarkStart w:id="35" w:name="_Toc165277241"/>
      <w:bookmarkStart w:id="36" w:name="_Toc67911612"/>
      <w:r>
        <w:rPr>
          <w:rFonts w:hint="eastAsia" w:ascii="仿宋" w:hAnsi="仿宋" w:eastAsia="仿宋"/>
          <w:lang w:bidi="en-US"/>
        </w:rPr>
        <w:t>（一）项目决策情况</w:t>
      </w:r>
      <w:bookmarkEnd w:id="35"/>
      <w:bookmarkEnd w:id="36"/>
    </w:p>
    <w:p w14:paraId="49D2A883">
      <w:pPr>
        <w:spacing w:line="360" w:lineRule="auto"/>
        <w:ind w:firstLine="560"/>
        <w:rPr>
          <w:rFonts w:ascii="仿宋_GB2312"/>
          <w:szCs w:val="28"/>
        </w:rPr>
      </w:pPr>
      <w:r>
        <w:rPr>
          <w:rFonts w:hint="eastAsia" w:ascii="仿宋_GB2312"/>
          <w:szCs w:val="28"/>
        </w:rPr>
        <w:t>项目决算指标由3个二级指标和6个三级指标构成，权重为</w:t>
      </w:r>
      <w:r>
        <w:rPr>
          <w:rFonts w:ascii="仿宋_GB2312"/>
          <w:szCs w:val="28"/>
        </w:rPr>
        <w:t>20</w:t>
      </w:r>
      <w:r>
        <w:rPr>
          <w:rFonts w:hint="eastAsia" w:ascii="仿宋_GB2312"/>
          <w:szCs w:val="28"/>
        </w:rPr>
        <w:t>分，实际得分20分。</w:t>
      </w:r>
    </w:p>
    <w:p w14:paraId="0E5AA64C">
      <w:pPr>
        <w:pStyle w:val="4"/>
        <w:ind w:firstLine="643"/>
      </w:pPr>
      <w:bookmarkStart w:id="37" w:name="_Toc165277242"/>
      <w:r>
        <w:t>1.</w:t>
      </w:r>
      <w:r>
        <w:rPr>
          <w:rFonts w:hint="eastAsia"/>
        </w:rPr>
        <w:t>项目立项</w:t>
      </w:r>
      <w:bookmarkEnd w:id="37"/>
    </w:p>
    <w:p w14:paraId="31BBAAAA">
      <w:pPr>
        <w:spacing w:line="360" w:lineRule="auto"/>
        <w:ind w:firstLine="562"/>
        <w:rPr>
          <w:rFonts w:ascii="仿宋_GB2312"/>
          <w:szCs w:val="28"/>
        </w:rPr>
      </w:pPr>
      <w:r>
        <w:rPr>
          <w:rFonts w:hint="eastAsia" w:ascii="仿宋_GB2312"/>
          <w:b/>
          <w:bCs/>
          <w:szCs w:val="28"/>
        </w:rPr>
        <w:t>立项依据充分性：</w:t>
      </w:r>
      <w:r>
        <w:rPr>
          <w:rFonts w:hint="eastAsia" w:ascii="仿宋_GB2312"/>
          <w:szCs w:val="28"/>
        </w:rPr>
        <w:t>项目立项符合</w:t>
      </w:r>
      <w:r>
        <w:rPr>
          <w:rFonts w:hint="eastAsia" w:ascii="仿宋_GB2312"/>
        </w:rPr>
        <w:t>《中华人民共和国政府采购法》、《招投标法》等基本法律</w:t>
      </w:r>
      <w:r>
        <w:rPr>
          <w:rFonts w:hint="eastAsia" w:ascii="仿宋_GB2312"/>
          <w:szCs w:val="28"/>
        </w:rPr>
        <w:t>。</w:t>
      </w:r>
      <w:r>
        <w:rPr>
          <w:rFonts w:hint="eastAsia" w:ascii="仿宋_GB2312"/>
          <w:szCs w:val="28"/>
          <w:highlight w:val="none"/>
        </w:rPr>
        <w:t>同时，项目与部门职责范围相符，属于部门履职所需。此外，本项目属</w:t>
      </w:r>
      <w:r>
        <w:rPr>
          <w:rFonts w:hint="eastAsia" w:ascii="仿宋_GB2312"/>
          <w:szCs w:val="28"/>
        </w:rPr>
        <w:t>于公共财政支持范围，符合中央、地方事权支出责任划分原则。因此，立项依据充分，得4分。</w:t>
      </w:r>
    </w:p>
    <w:p w14:paraId="5776499C">
      <w:pPr>
        <w:spacing w:line="360" w:lineRule="auto"/>
        <w:ind w:firstLine="562"/>
        <w:rPr>
          <w:rFonts w:ascii="仿宋_GB2312"/>
          <w:szCs w:val="28"/>
        </w:rPr>
      </w:pPr>
      <w:r>
        <w:rPr>
          <w:rFonts w:hint="eastAsia" w:ascii="仿宋_GB2312"/>
          <w:b/>
          <w:bCs/>
          <w:szCs w:val="28"/>
        </w:rPr>
        <w:t>立项程序规范性</w:t>
      </w:r>
      <w:r>
        <w:rPr>
          <w:rFonts w:ascii="仿宋_GB2312"/>
          <w:b/>
          <w:bCs/>
          <w:szCs w:val="28"/>
        </w:rPr>
        <w:t>:</w:t>
      </w:r>
      <w:r>
        <w:rPr>
          <w:rFonts w:hint="eastAsia"/>
        </w:rPr>
        <w:t xml:space="preserve"> </w:t>
      </w:r>
      <w:r>
        <w:rPr>
          <w:rFonts w:hint="eastAsia" w:ascii="仿宋_GB2312"/>
          <w:szCs w:val="28"/>
        </w:rPr>
        <w:t>项目</w:t>
      </w:r>
      <w:r>
        <w:rPr>
          <w:rFonts w:hint="eastAsia" w:ascii="仿宋_GB2312"/>
        </w:rPr>
        <w:t>根据关于印发《2023年乌鲁木齐市本级部门预算编制管理工作规程》的通知（乌财预函【2022】15号），关于印发《乌鲁木齐市卫生健康委员会政府采购暂行规定》的通知（乌卫规【2023】2号）</w:t>
      </w:r>
      <w:r>
        <w:rPr>
          <w:rFonts w:hint="eastAsia" w:ascii="仿宋_GB2312"/>
          <w:szCs w:val="28"/>
        </w:rPr>
        <w:t>规定的</w:t>
      </w:r>
      <w:r>
        <w:rPr>
          <w:rFonts w:hint="eastAsia" w:ascii="仿宋_GB2312"/>
          <w:szCs w:val="28"/>
          <w:lang w:eastAsia="zh-CN"/>
        </w:rPr>
        <w:t>，</w:t>
      </w:r>
      <w:r>
        <w:rPr>
          <w:rFonts w:hint="eastAsia" w:ascii="仿宋_GB2312"/>
          <w:szCs w:val="28"/>
          <w:lang w:val="en-US" w:eastAsia="zh-CN"/>
        </w:rPr>
        <w:t>业务科室申报给财务科归集，通过预算委员会制定预算后经过党委会议执行，</w:t>
      </w:r>
      <w:r>
        <w:rPr>
          <w:rFonts w:hint="eastAsia" w:ascii="仿宋_GB2312"/>
          <w:szCs w:val="28"/>
        </w:rPr>
        <w:t>故立项程序规范，得4分。</w:t>
      </w:r>
    </w:p>
    <w:p w14:paraId="27627468">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8</w:t>
      </w:r>
      <w:r>
        <w:rPr>
          <w:rFonts w:hint="eastAsia" w:ascii="仿宋_GB2312" w:hAnsi="仿宋" w:cs="宋体"/>
          <w:b/>
          <w:kern w:val="0"/>
          <w:szCs w:val="28"/>
        </w:rPr>
        <w:t>分，得分8分。</w:t>
      </w:r>
    </w:p>
    <w:p w14:paraId="2747A888">
      <w:pPr>
        <w:pStyle w:val="4"/>
        <w:ind w:firstLine="643"/>
      </w:pPr>
      <w:bookmarkStart w:id="38" w:name="_Toc165277243"/>
      <w:r>
        <w:rPr>
          <w:rFonts w:hint="eastAsia"/>
        </w:rPr>
        <w:t>2</w:t>
      </w:r>
      <w:r>
        <w:t>.</w:t>
      </w:r>
      <w:r>
        <w:rPr>
          <w:rFonts w:hint="eastAsia"/>
        </w:rPr>
        <w:t>绩效目标</w:t>
      </w:r>
      <w:bookmarkEnd w:id="38"/>
    </w:p>
    <w:p w14:paraId="2566D693">
      <w:pPr>
        <w:spacing w:line="360" w:lineRule="auto"/>
        <w:ind w:firstLine="562"/>
        <w:rPr>
          <w:rFonts w:ascii="仿宋_GB2312"/>
          <w:szCs w:val="28"/>
        </w:rPr>
      </w:pPr>
      <w:r>
        <w:rPr>
          <w:rFonts w:hint="eastAsia" w:ascii="仿宋_GB2312"/>
          <w:b/>
          <w:bCs/>
          <w:szCs w:val="28"/>
        </w:rPr>
        <w:t>绩效目标合理性：</w:t>
      </w:r>
      <w:r>
        <w:rPr>
          <w:rFonts w:hint="eastAsia" w:ascii="仿宋_GB2312"/>
          <w:szCs w:val="28"/>
        </w:rPr>
        <w:t>本项目的绩效目标按照产出、效益和满意度构建绩效评价指标，且具有明确性、可衡量性、可实现性、相关性和时限性等特点，能较为全面地反映本项目的产出和效益，故绩效目标合理性指标得分</w:t>
      </w:r>
      <w:r>
        <w:rPr>
          <w:rFonts w:ascii="仿宋_GB2312"/>
          <w:szCs w:val="28"/>
        </w:rPr>
        <w:t>3</w:t>
      </w:r>
      <w:r>
        <w:rPr>
          <w:rFonts w:hint="eastAsia" w:ascii="仿宋_GB2312"/>
          <w:szCs w:val="28"/>
        </w:rPr>
        <w:t>分。</w:t>
      </w:r>
    </w:p>
    <w:p w14:paraId="0C616D4F">
      <w:pPr>
        <w:autoSpaceDE w:val="0"/>
        <w:spacing w:line="600" w:lineRule="exact"/>
        <w:ind w:firstLine="562"/>
        <w:rPr>
          <w:rFonts w:ascii="仿宋_GB2312" w:hAnsi="仿宋" w:cs="宋体"/>
          <w:kern w:val="0"/>
          <w:szCs w:val="28"/>
        </w:rPr>
      </w:pPr>
      <w:r>
        <w:rPr>
          <w:rFonts w:hint="eastAsia" w:ascii="仿宋_GB2312" w:hAnsi="仿宋" w:cs="宋体"/>
          <w:b/>
          <w:kern w:val="0"/>
          <w:szCs w:val="28"/>
        </w:rPr>
        <w:t>绩效目标明确性：</w:t>
      </w:r>
      <w:r>
        <w:rPr>
          <w:rFonts w:hint="eastAsia" w:ascii="仿宋_GB2312" w:hAnsi="仿宋" w:cs="宋体"/>
          <w:kern w:val="0"/>
          <w:szCs w:val="28"/>
        </w:rPr>
        <w:t>其中，目标已细化为具体的绩效指标，可通过数量指标、质量指标、时效指标和成本指标</w:t>
      </w:r>
      <w:r>
        <w:rPr>
          <w:rFonts w:hint="eastAsia" w:ascii="仿宋_GB2312" w:hAnsi="仿宋" w:cs="宋体"/>
          <w:kern w:val="0"/>
          <w:szCs w:val="28"/>
          <w:highlight w:val="none"/>
        </w:rPr>
        <w:t>予以量化</w:t>
      </w:r>
      <w:r>
        <w:rPr>
          <w:rFonts w:hint="eastAsia" w:ascii="仿宋_GB2312" w:hAnsi="仿宋" w:cs="宋体"/>
          <w:kern w:val="0"/>
          <w:szCs w:val="28"/>
        </w:rPr>
        <w:t>，</w:t>
      </w:r>
      <w:r>
        <w:rPr>
          <w:rFonts w:hint="eastAsia" w:ascii="仿宋_GB2312" w:hAnsi="仿宋" w:cs="宋体"/>
          <w:kern w:val="0"/>
          <w:szCs w:val="28"/>
          <w:lang w:val="en-US" w:eastAsia="zh-CN"/>
        </w:rPr>
        <w:t>一级指标5个，二级指标11个，三级指标18个，</w:t>
      </w:r>
      <w:r>
        <w:rPr>
          <w:rFonts w:hint="eastAsia" w:ascii="仿宋_GB2312" w:hAnsi="仿宋" w:cs="宋体"/>
          <w:kern w:val="0"/>
          <w:szCs w:val="28"/>
        </w:rPr>
        <w:t>并具有确切的评价标准，且指标设定均与目标相关。各项指标均能在现实条件下收集到相关数据进行佐证，医院本着为患者服务，厉行节约为主，依据2023年度政府采购目录标准，通过医院临床各科室提供所需设备购置等，报送可行性论证报告，经医院预算管理委员会研讨，上院党委会讨论研究决定，制订2023年度医院政府采购项目预算。 并与当年项目年度计划相对应，故绩效目标明确性指标得分</w:t>
      </w:r>
      <w:r>
        <w:rPr>
          <w:rFonts w:ascii="仿宋_GB2312" w:hAnsi="仿宋" w:cs="宋体"/>
          <w:kern w:val="0"/>
          <w:szCs w:val="28"/>
        </w:rPr>
        <w:t>3</w:t>
      </w:r>
      <w:r>
        <w:rPr>
          <w:rFonts w:hint="eastAsia" w:ascii="仿宋_GB2312" w:hAnsi="仿宋" w:cs="宋体"/>
          <w:kern w:val="0"/>
          <w:szCs w:val="28"/>
        </w:rPr>
        <w:t>分。</w:t>
      </w:r>
    </w:p>
    <w:p w14:paraId="3C423855">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6</w:t>
      </w:r>
      <w:r>
        <w:rPr>
          <w:rFonts w:hint="eastAsia" w:ascii="仿宋_GB2312" w:hAnsi="仿宋" w:cs="宋体"/>
          <w:b/>
          <w:kern w:val="0"/>
          <w:szCs w:val="28"/>
        </w:rPr>
        <w:t>分，得分6分。</w:t>
      </w:r>
    </w:p>
    <w:p w14:paraId="5FAB2F5A">
      <w:pPr>
        <w:pStyle w:val="4"/>
        <w:ind w:firstLine="643"/>
      </w:pPr>
      <w:bookmarkStart w:id="39" w:name="_Toc165277244"/>
      <w:r>
        <w:rPr>
          <w:rFonts w:hint="eastAsia"/>
        </w:rPr>
        <w:t>3.资金投入</w:t>
      </w:r>
      <w:bookmarkEnd w:id="39"/>
    </w:p>
    <w:p w14:paraId="274ED420">
      <w:pPr>
        <w:autoSpaceDE w:val="0"/>
        <w:spacing w:line="600" w:lineRule="exact"/>
        <w:ind w:firstLine="560"/>
        <w:rPr>
          <w:rFonts w:ascii="仿宋_GB2312" w:hAnsi="仿宋" w:cs="宋体"/>
          <w:bCs/>
          <w:kern w:val="0"/>
          <w:szCs w:val="28"/>
        </w:rPr>
      </w:pPr>
      <w:r>
        <w:rPr>
          <w:rFonts w:hint="eastAsia" w:ascii="仿宋_GB2312" w:hAnsi="仿宋" w:cs="宋体"/>
          <w:kern w:val="0"/>
          <w:szCs w:val="28"/>
        </w:rPr>
        <w:t>预算编制科学性：本年度单位根据上年收入情况以及各科室的采购需求，下一年度发展需要，根据医院的发展，完善科室设备老化更新，医疗诊断和患者治疗需求，医院医疗技术的提升，充分满足医院各方面的需求，能够对医院发展带来更多的提升并创造更大的经济效益。经院预算管理委员会、党委会研究决定，制定2023年政府采购项目。2023年医院购置医疗设备、办公设备、信息网络及软件、大型修缮等的预算目标制定完成。故预算编制科学性指标得分3分。</w:t>
      </w:r>
    </w:p>
    <w:p w14:paraId="4DA3C0DB">
      <w:pPr>
        <w:autoSpaceDE w:val="0"/>
        <w:spacing w:line="600" w:lineRule="exact"/>
        <w:ind w:firstLine="0" w:firstLineChars="0"/>
        <w:rPr>
          <w:rFonts w:ascii="仿宋_GB2312" w:hAnsi="仿宋" w:cs="宋体"/>
          <w:bCs/>
          <w:kern w:val="0"/>
          <w:szCs w:val="28"/>
        </w:rPr>
      </w:pPr>
    </w:p>
    <w:p w14:paraId="33B9C0B3">
      <w:pPr>
        <w:spacing w:line="360" w:lineRule="auto"/>
        <w:ind w:firstLine="562"/>
      </w:pPr>
      <w:r>
        <w:rPr>
          <w:rFonts w:hint="eastAsia"/>
          <w:b/>
          <w:bCs/>
        </w:rPr>
        <w:t>资金分配合理性</w:t>
      </w:r>
      <w:r>
        <w:rPr>
          <w:rFonts w:hint="eastAsia"/>
        </w:rPr>
        <w:t>：</w:t>
      </w:r>
      <w:r>
        <w:rPr>
          <w:rFonts w:hint="eastAsia" w:ascii="仿宋_GB2312"/>
          <w:szCs w:val="28"/>
        </w:rPr>
        <w:t>项目</w:t>
      </w:r>
      <w:r>
        <w:rPr>
          <w:rFonts w:hint="eastAsia" w:ascii="仿宋_GB2312"/>
        </w:rPr>
        <w:t>根据关于印发《2023年乌鲁木齐市本级部门预算编制管理工作规程》的通知（乌财预函【2022】15号），2023年医院购置医疗设备、办公设备、信息网络及软件、大型修缮等的预算目标制定完成，医疗设备是医院提拱医疗服务的重要条件之一，合理购置医疗设备能够提高医院的服务质量，满足患者的医疗需求，办公设备</w:t>
      </w:r>
      <w:r>
        <w:rPr>
          <w:rFonts w:hint="eastAsia" w:ascii="仿宋_GB2312" w:hAnsi="仿宋" w:cs="宋体"/>
          <w:kern w:val="0"/>
          <w:szCs w:val="28"/>
        </w:rPr>
        <w:t>老化更新，医疗诊断和患者治疗需求，信息网络及软件购置提高医院信息化建设和水平，满足患者看病流程的便捷，数据统计的高效准确</w:t>
      </w:r>
      <w:r>
        <w:rPr>
          <w:rFonts w:hint="eastAsia" w:ascii="仿宋_GB2312" w:hAnsi="仿宋" w:cs="宋体"/>
          <w:b/>
          <w:kern w:val="0"/>
          <w:szCs w:val="28"/>
        </w:rPr>
        <w:t>。</w:t>
      </w:r>
      <w:r>
        <w:rPr>
          <w:rFonts w:hint="eastAsia" w:ascii="仿宋_GB2312" w:hAnsi="仿宋" w:cs="宋体"/>
          <w:kern w:val="0"/>
          <w:szCs w:val="28"/>
        </w:rPr>
        <w:t>故资金分配合理性指标得分</w:t>
      </w:r>
      <w:r>
        <w:rPr>
          <w:rFonts w:ascii="仿宋_GB2312" w:hAnsi="仿宋" w:cs="宋体"/>
          <w:kern w:val="0"/>
          <w:szCs w:val="28"/>
        </w:rPr>
        <w:t>3</w:t>
      </w:r>
      <w:r>
        <w:rPr>
          <w:rFonts w:hint="eastAsia" w:ascii="仿宋_GB2312" w:hAnsi="仿宋" w:cs="宋体"/>
          <w:kern w:val="0"/>
          <w:szCs w:val="28"/>
        </w:rPr>
        <w:t>分。</w:t>
      </w:r>
    </w:p>
    <w:p w14:paraId="1355225E">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6</w:t>
      </w:r>
      <w:r>
        <w:rPr>
          <w:rFonts w:hint="eastAsia" w:ascii="仿宋_GB2312" w:hAnsi="仿宋" w:cs="宋体"/>
          <w:b/>
          <w:kern w:val="0"/>
          <w:szCs w:val="28"/>
        </w:rPr>
        <w:t>分，得分6分。</w:t>
      </w:r>
    </w:p>
    <w:p w14:paraId="2F495DB0">
      <w:pPr>
        <w:pStyle w:val="3"/>
        <w:ind w:firstLine="643"/>
        <w:rPr>
          <w:rFonts w:ascii="仿宋" w:hAnsi="仿宋" w:eastAsia="仿宋"/>
          <w:lang w:bidi="en-US"/>
        </w:rPr>
      </w:pPr>
      <w:bookmarkStart w:id="40" w:name="_Toc165277245"/>
      <w:bookmarkStart w:id="41" w:name="_Toc67911613"/>
      <w:r>
        <w:rPr>
          <w:rFonts w:hint="eastAsia" w:ascii="仿宋" w:hAnsi="仿宋" w:eastAsia="仿宋"/>
          <w:lang w:bidi="en-US"/>
        </w:rPr>
        <w:t>（二）项目过程情况</w:t>
      </w:r>
      <w:bookmarkEnd w:id="40"/>
      <w:bookmarkEnd w:id="41"/>
    </w:p>
    <w:p w14:paraId="05E8D7D7">
      <w:pPr>
        <w:spacing w:line="360" w:lineRule="auto"/>
        <w:ind w:firstLine="560"/>
        <w:rPr>
          <w:rFonts w:ascii="仿宋_GB2312"/>
          <w:szCs w:val="28"/>
        </w:rPr>
      </w:pPr>
      <w:r>
        <w:rPr>
          <w:rFonts w:hint="eastAsia" w:ascii="仿宋_GB2312"/>
          <w:szCs w:val="28"/>
        </w:rPr>
        <w:t>项目过程指标由2个二级指标和</w:t>
      </w:r>
      <w:r>
        <w:rPr>
          <w:rFonts w:ascii="仿宋_GB2312"/>
          <w:szCs w:val="28"/>
        </w:rPr>
        <w:t>5</w:t>
      </w:r>
      <w:r>
        <w:rPr>
          <w:rFonts w:hint="eastAsia" w:ascii="仿宋_GB2312"/>
          <w:szCs w:val="28"/>
        </w:rPr>
        <w:t>个三级指标构成，权重为</w:t>
      </w:r>
      <w:r>
        <w:rPr>
          <w:rFonts w:ascii="仿宋_GB2312"/>
          <w:szCs w:val="28"/>
        </w:rPr>
        <w:t>20</w:t>
      </w:r>
      <w:r>
        <w:rPr>
          <w:rFonts w:hint="eastAsia" w:ascii="仿宋_GB2312"/>
          <w:szCs w:val="28"/>
        </w:rPr>
        <w:t>分，实际得分</w:t>
      </w:r>
      <w:r>
        <w:rPr>
          <w:rFonts w:hint="eastAsia" w:ascii="仿宋_GB2312"/>
          <w:szCs w:val="28"/>
          <w:lang w:val="en-US" w:eastAsia="zh-CN"/>
        </w:rPr>
        <w:t>20</w:t>
      </w:r>
      <w:r>
        <w:rPr>
          <w:rFonts w:hint="eastAsia" w:ascii="仿宋_GB2312"/>
          <w:szCs w:val="28"/>
        </w:rPr>
        <w:t>分。</w:t>
      </w:r>
    </w:p>
    <w:p w14:paraId="4738807E">
      <w:pPr>
        <w:pStyle w:val="4"/>
        <w:ind w:firstLine="643"/>
      </w:pPr>
      <w:bookmarkStart w:id="42" w:name="_Toc165277246"/>
      <w:r>
        <w:t>1.</w:t>
      </w:r>
      <w:r>
        <w:rPr>
          <w:rFonts w:hint="eastAsia"/>
        </w:rPr>
        <w:t>资金管理</w:t>
      </w:r>
      <w:bookmarkEnd w:id="42"/>
    </w:p>
    <w:p w14:paraId="0A5E4B39">
      <w:pPr>
        <w:spacing w:line="360" w:lineRule="auto"/>
        <w:ind w:firstLine="562"/>
        <w:rPr>
          <w:rFonts w:ascii="仿宋_GB2312"/>
          <w:szCs w:val="28"/>
        </w:rPr>
      </w:pPr>
      <w:r>
        <w:rPr>
          <w:rFonts w:hint="eastAsia" w:ascii="仿宋_GB2312"/>
          <w:b/>
          <w:bCs/>
          <w:szCs w:val="28"/>
        </w:rPr>
        <w:t>资金到位率：</w:t>
      </w:r>
      <w:r>
        <w:t xml:space="preserve"> </w:t>
      </w:r>
      <w:r>
        <w:rPr>
          <w:rFonts w:hint="eastAsia" w:ascii="仿宋_GB2312" w:hAnsi="仿宋" w:cs="宋体"/>
          <w:kern w:val="0"/>
          <w:szCs w:val="28"/>
        </w:rPr>
        <w:t>该项目为单位自有资金，资金直接支付到各供应商。</w:t>
      </w:r>
      <w:r>
        <w:rPr>
          <w:rFonts w:hint="eastAsia" w:ascii="仿宋_GB2312" w:hAnsi="仿宋" w:cs="宋体"/>
          <w:kern w:val="0"/>
          <w:szCs w:val="28"/>
          <w:highlight w:val="none"/>
          <w:lang w:val="en-US" w:eastAsia="zh-CN"/>
        </w:rPr>
        <w:t>资金到位率100%，</w:t>
      </w:r>
      <w:r>
        <w:rPr>
          <w:rFonts w:hint="eastAsia" w:ascii="仿宋_GB2312" w:hAnsi="仿宋" w:cs="宋体"/>
          <w:kern w:val="0"/>
          <w:szCs w:val="28"/>
        </w:rPr>
        <w:t>故资金到位率指标得分</w:t>
      </w:r>
      <w:r>
        <w:rPr>
          <w:rFonts w:ascii="仿宋_GB2312" w:hAnsi="仿宋" w:cs="宋体"/>
          <w:kern w:val="0"/>
          <w:szCs w:val="28"/>
        </w:rPr>
        <w:t>5</w:t>
      </w:r>
      <w:r>
        <w:rPr>
          <w:rFonts w:hint="eastAsia" w:ascii="仿宋_GB2312" w:hAnsi="仿宋" w:cs="宋体"/>
          <w:kern w:val="0"/>
          <w:szCs w:val="28"/>
        </w:rPr>
        <w:t>分。</w:t>
      </w:r>
    </w:p>
    <w:p w14:paraId="220A00E9">
      <w:pPr>
        <w:spacing w:line="360" w:lineRule="auto"/>
        <w:ind w:firstLine="560"/>
        <w:rPr>
          <w:rFonts w:ascii="仿宋_GB2312"/>
          <w:szCs w:val="28"/>
        </w:rPr>
      </w:pPr>
    </w:p>
    <w:p w14:paraId="213A001C">
      <w:pPr>
        <w:spacing w:line="360" w:lineRule="auto"/>
        <w:ind w:firstLine="562"/>
        <w:rPr>
          <w:rFonts w:ascii="仿宋_GB2312"/>
          <w:szCs w:val="28"/>
        </w:rPr>
      </w:pPr>
      <w:r>
        <w:rPr>
          <w:rFonts w:hint="eastAsia" w:ascii="仿宋_GB2312"/>
          <w:b/>
          <w:bCs/>
          <w:szCs w:val="28"/>
        </w:rPr>
        <w:t>预算执行率：</w:t>
      </w:r>
      <w:r>
        <w:rPr>
          <w:rFonts w:hint="eastAsia" w:ascii="仿宋_GB2312"/>
          <w:szCs w:val="28"/>
          <w:lang w:eastAsia="zh-CN"/>
        </w:rPr>
        <w:t>项目</w:t>
      </w:r>
      <w:r>
        <w:rPr>
          <w:rFonts w:hint="eastAsia" w:ascii="仿宋_GB2312"/>
          <w:lang w:eastAsia="zh-CN"/>
        </w:rPr>
        <w:t>为单位自有资金，</w:t>
      </w:r>
      <w:r>
        <w:rPr>
          <w:rFonts w:hint="eastAsia" w:ascii="仿宋_GB2312"/>
          <w:szCs w:val="28"/>
        </w:rPr>
        <w:t>全年执行数</w:t>
      </w:r>
      <w:r>
        <w:rPr>
          <w:rFonts w:hint="eastAsia" w:ascii="仿宋_GB2312"/>
          <w:szCs w:val="28"/>
          <w:lang w:val="en-US" w:eastAsia="zh-CN"/>
        </w:rPr>
        <w:t>10644.78</w:t>
      </w:r>
      <w:r>
        <w:rPr>
          <w:rFonts w:hint="eastAsia" w:ascii="仿宋_GB2312"/>
          <w:szCs w:val="28"/>
        </w:rPr>
        <w:t>万元，</w:t>
      </w:r>
      <w:r>
        <w:rPr>
          <w:rFonts w:hint="eastAsia" w:ascii="仿宋_GB2312"/>
          <w:szCs w:val="28"/>
          <w:lang w:eastAsia="zh-CN"/>
        </w:rPr>
        <w:t>实际完成</w:t>
      </w:r>
      <w:r>
        <w:rPr>
          <w:rFonts w:hint="eastAsia" w:ascii="仿宋_GB2312"/>
          <w:szCs w:val="28"/>
          <w:lang w:val="en-US" w:eastAsia="zh-CN"/>
        </w:rPr>
        <w:t>5777.01万元</w:t>
      </w:r>
      <w:r>
        <w:rPr>
          <w:rFonts w:hint="eastAsia" w:ascii="仿宋_GB2312"/>
          <w:lang w:eastAsia="zh-CN"/>
        </w:rPr>
        <w:t>，</w:t>
      </w:r>
      <w:r>
        <w:rPr>
          <w:rFonts w:hint="eastAsia" w:ascii="仿宋_GB2312"/>
          <w:lang w:val="en-US" w:eastAsia="zh-CN"/>
        </w:rPr>
        <w:t>预算执行率为100%。</w:t>
      </w:r>
      <w:r>
        <w:rPr>
          <w:rFonts w:hint="eastAsia" w:ascii="仿宋_GB2312"/>
          <w:szCs w:val="28"/>
        </w:rPr>
        <w:t>故预算执行率得分为</w:t>
      </w:r>
      <w:r>
        <w:rPr>
          <w:rFonts w:hint="eastAsia" w:ascii="仿宋_GB2312"/>
          <w:szCs w:val="28"/>
          <w:highlight w:val="none"/>
          <w:lang w:val="en-US" w:eastAsia="zh-CN"/>
        </w:rPr>
        <w:t>5</w:t>
      </w:r>
      <w:r>
        <w:rPr>
          <w:rFonts w:hint="eastAsia" w:ascii="仿宋_GB2312"/>
          <w:szCs w:val="28"/>
        </w:rPr>
        <w:t>分。</w:t>
      </w:r>
    </w:p>
    <w:p w14:paraId="2C7AF56D">
      <w:pPr>
        <w:spacing w:line="360" w:lineRule="auto"/>
        <w:ind w:firstLine="562"/>
        <w:rPr>
          <w:rFonts w:ascii="仿宋_GB2312"/>
          <w:b/>
          <w:bCs/>
          <w:szCs w:val="28"/>
        </w:rPr>
      </w:pPr>
    </w:p>
    <w:p w14:paraId="0139F71B">
      <w:pPr>
        <w:spacing w:line="360" w:lineRule="auto"/>
        <w:ind w:firstLine="562"/>
        <w:rPr>
          <w:rFonts w:ascii="仿宋_GB2312"/>
          <w:szCs w:val="28"/>
        </w:rPr>
      </w:pPr>
      <w:r>
        <w:rPr>
          <w:rFonts w:hint="eastAsia" w:ascii="仿宋_GB2312"/>
          <w:b/>
          <w:bCs/>
          <w:szCs w:val="28"/>
        </w:rPr>
        <w:t>资金使用合规性：</w:t>
      </w:r>
      <w:r>
        <w:rPr>
          <w:rFonts w:hint="eastAsia" w:ascii="仿宋_GB2312"/>
          <w:szCs w:val="28"/>
        </w:rPr>
        <w:t>本项目资金的使用符合</w:t>
      </w:r>
      <w:r>
        <w:rPr>
          <w:rFonts w:hint="eastAsia" w:ascii="仿宋_GB2312"/>
          <w:szCs w:val="28"/>
          <w:lang w:eastAsia="zh-CN"/>
        </w:rPr>
        <w:t>《</w:t>
      </w:r>
      <w:r>
        <w:rPr>
          <w:rFonts w:hint="eastAsia" w:ascii="仿宋_GB2312"/>
          <w:szCs w:val="28"/>
          <w:lang w:val="en-US" w:eastAsia="zh-CN"/>
        </w:rPr>
        <w:t>乌鲁木齐市中医医院预算管理制度</w:t>
      </w:r>
      <w:r>
        <w:rPr>
          <w:rFonts w:hint="eastAsia" w:ascii="仿宋_GB2312"/>
          <w:szCs w:val="28"/>
          <w:lang w:eastAsia="zh-CN"/>
        </w:rPr>
        <w:t>》</w:t>
      </w:r>
      <w:r>
        <w:rPr>
          <w:rFonts w:hint="eastAsia" w:ascii="仿宋_GB2312"/>
          <w:szCs w:val="28"/>
        </w:rPr>
        <w:t>。同时，资金的拨付有使用计划的申请和资金支付的审批程序，需要</w:t>
      </w:r>
      <w:r>
        <w:rPr>
          <w:rFonts w:hint="eastAsia" w:ascii="仿宋_GB2312"/>
          <w:szCs w:val="28"/>
          <w:lang w:val="en-US" w:eastAsia="zh-CN"/>
        </w:rPr>
        <w:t>科室</w:t>
      </w:r>
      <w:r>
        <w:rPr>
          <w:rFonts w:hint="eastAsia" w:ascii="仿宋_GB2312"/>
          <w:szCs w:val="28"/>
        </w:rPr>
        <w:t>负责人</w:t>
      </w:r>
      <w:r>
        <w:rPr>
          <w:rFonts w:hint="eastAsia" w:ascii="仿宋_GB2312"/>
          <w:szCs w:val="28"/>
          <w:lang w:eastAsia="zh-CN"/>
        </w:rPr>
        <w:t>、</w:t>
      </w:r>
      <w:r>
        <w:rPr>
          <w:rFonts w:hint="eastAsia" w:ascii="仿宋_GB2312"/>
          <w:szCs w:val="28"/>
          <w:lang w:val="en-US" w:eastAsia="zh-CN"/>
        </w:rPr>
        <w:t>财务负责人及院长</w:t>
      </w:r>
      <w:r>
        <w:rPr>
          <w:rFonts w:hint="eastAsia" w:ascii="仿宋_GB2312"/>
          <w:szCs w:val="28"/>
        </w:rPr>
        <w:t>签批手续，符合项目预算批复或合同规定的用途，不存在截留、挤占、挪用、虚列支出等情况。故资金使用合规性得分为3分。</w:t>
      </w:r>
    </w:p>
    <w:p w14:paraId="29F7C3B3">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13</w:t>
      </w:r>
      <w:r>
        <w:rPr>
          <w:rFonts w:hint="eastAsia" w:ascii="仿宋_GB2312" w:hAnsi="仿宋" w:cs="宋体"/>
          <w:b/>
          <w:kern w:val="0"/>
          <w:szCs w:val="28"/>
        </w:rPr>
        <w:t>分，得分1</w:t>
      </w:r>
      <w:r>
        <w:rPr>
          <w:rFonts w:hint="eastAsia" w:ascii="仿宋_GB2312" w:hAnsi="仿宋" w:cs="宋体"/>
          <w:b/>
          <w:kern w:val="0"/>
          <w:szCs w:val="28"/>
          <w:lang w:val="en-US" w:eastAsia="zh-CN"/>
        </w:rPr>
        <w:t>3</w:t>
      </w:r>
      <w:r>
        <w:rPr>
          <w:rFonts w:hint="eastAsia" w:ascii="仿宋_GB2312" w:hAnsi="仿宋" w:cs="宋体"/>
          <w:b/>
          <w:kern w:val="0"/>
          <w:szCs w:val="28"/>
        </w:rPr>
        <w:t>分。</w:t>
      </w:r>
    </w:p>
    <w:p w14:paraId="08258DDA">
      <w:pPr>
        <w:pStyle w:val="4"/>
        <w:ind w:firstLine="643"/>
      </w:pPr>
      <w:bookmarkStart w:id="43" w:name="_Toc165277247"/>
      <w:r>
        <w:t>2.</w:t>
      </w:r>
      <w:r>
        <w:rPr>
          <w:rFonts w:hint="eastAsia"/>
        </w:rPr>
        <w:t>组织实施</w:t>
      </w:r>
      <w:bookmarkEnd w:id="43"/>
    </w:p>
    <w:p w14:paraId="7AC47A9F">
      <w:pPr>
        <w:spacing w:line="360" w:lineRule="auto"/>
        <w:ind w:firstLine="562"/>
        <w:rPr>
          <w:rFonts w:ascii="仿宋_GB2312"/>
          <w:szCs w:val="28"/>
        </w:rPr>
      </w:pPr>
      <w:r>
        <w:rPr>
          <w:rFonts w:hint="eastAsia" w:ascii="仿宋_GB2312"/>
          <w:b/>
          <w:bCs/>
          <w:szCs w:val="28"/>
        </w:rPr>
        <w:t>管理制度健全性</w:t>
      </w:r>
      <w:r>
        <w:rPr>
          <w:rFonts w:hint="eastAsia" w:ascii="仿宋_GB2312"/>
          <w:szCs w:val="28"/>
        </w:rPr>
        <w:t>：已制定</w:t>
      </w:r>
      <w:r>
        <w:rPr>
          <w:rFonts w:hint="eastAsia" w:ascii="仿宋_GB2312"/>
          <w:szCs w:val="28"/>
          <w:lang w:eastAsia="zh-CN"/>
        </w:rPr>
        <w:t>《</w:t>
      </w:r>
      <w:r>
        <w:rPr>
          <w:rFonts w:hint="eastAsia" w:ascii="仿宋_GB2312"/>
          <w:szCs w:val="28"/>
          <w:lang w:val="en-US" w:eastAsia="zh-CN"/>
        </w:rPr>
        <w:t>乌鲁木齐市中医医院政府</w:t>
      </w:r>
      <w:r>
        <w:rPr>
          <w:rFonts w:hint="eastAsia" w:ascii="仿宋_GB2312"/>
          <w:szCs w:val="28"/>
        </w:rPr>
        <w:t>采购</w:t>
      </w:r>
      <w:r>
        <w:rPr>
          <w:rFonts w:hint="eastAsia" w:ascii="仿宋_GB2312"/>
          <w:szCs w:val="28"/>
          <w:lang w:val="en-US" w:eastAsia="zh-CN"/>
        </w:rPr>
        <w:t>制度</w:t>
      </w:r>
      <w:r>
        <w:rPr>
          <w:rFonts w:hint="eastAsia" w:ascii="仿宋_GB2312"/>
          <w:szCs w:val="28"/>
        </w:rPr>
        <w:t>和预算管理制度</w:t>
      </w:r>
      <w:r>
        <w:rPr>
          <w:rFonts w:hint="eastAsia" w:ascii="仿宋_GB2312"/>
          <w:szCs w:val="28"/>
          <w:lang w:eastAsia="zh-CN"/>
        </w:rPr>
        <w:t>》</w:t>
      </w:r>
      <w:r>
        <w:rPr>
          <w:rFonts w:hint="eastAsia" w:ascii="仿宋_GB2312"/>
          <w:szCs w:val="28"/>
        </w:rPr>
        <w:t>，且制度合法、合规、完整，为项目顺利实施提供重要保障。故管理制度健全性得分为3分。</w:t>
      </w:r>
    </w:p>
    <w:p w14:paraId="1E8D6B63">
      <w:pPr>
        <w:spacing w:line="360" w:lineRule="auto"/>
        <w:ind w:firstLine="562"/>
        <w:rPr>
          <w:rFonts w:ascii="仿宋_GB2312"/>
          <w:szCs w:val="28"/>
        </w:rPr>
      </w:pPr>
      <w:r>
        <w:rPr>
          <w:rFonts w:hint="eastAsia" w:ascii="仿宋_GB2312"/>
          <w:b/>
          <w:bCs/>
          <w:szCs w:val="28"/>
        </w:rPr>
        <w:t>制度执行有效性：</w:t>
      </w:r>
      <w:r>
        <w:rPr>
          <w:rFonts w:hint="eastAsia" w:ascii="仿宋_GB2312"/>
          <w:szCs w:val="28"/>
        </w:rPr>
        <w:t>根据评价小组核查情况，乌鲁木齐市中医医院严格遵守相关法律法规和相关管理规定，项目调整及支出调整手续完备，整体管理合理有序，项目完成后，及时将会计凭证、固定资产入库单等相关资料分类归档，制度执行有效。故制度执行有效性指标得分</w:t>
      </w:r>
      <w:r>
        <w:rPr>
          <w:rFonts w:ascii="仿宋_GB2312"/>
          <w:szCs w:val="28"/>
        </w:rPr>
        <w:t>4</w:t>
      </w:r>
      <w:r>
        <w:rPr>
          <w:rFonts w:hint="eastAsia" w:ascii="仿宋_GB2312"/>
          <w:szCs w:val="28"/>
        </w:rPr>
        <w:t>分。</w:t>
      </w:r>
    </w:p>
    <w:p w14:paraId="53F796BF">
      <w:pPr>
        <w:autoSpaceDE w:val="0"/>
        <w:spacing w:line="600" w:lineRule="exact"/>
        <w:ind w:firstLine="562"/>
        <w:rPr>
          <w:rFonts w:ascii="仿宋_GB2312" w:hAnsi="仿宋" w:cs="宋体"/>
          <w:b/>
          <w:kern w:val="0"/>
          <w:szCs w:val="28"/>
        </w:rPr>
      </w:pPr>
      <w:bookmarkStart w:id="44" w:name="_Hlk67670213"/>
      <w:r>
        <w:rPr>
          <w:rFonts w:hint="eastAsia" w:ascii="仿宋_GB2312" w:hAnsi="仿宋" w:cs="宋体"/>
          <w:b/>
          <w:kern w:val="0"/>
          <w:szCs w:val="28"/>
        </w:rPr>
        <w:t>综上，该指标满分</w:t>
      </w:r>
      <w:r>
        <w:rPr>
          <w:rFonts w:ascii="仿宋_GB2312" w:hAnsi="仿宋" w:cs="宋体"/>
          <w:b/>
          <w:kern w:val="0"/>
          <w:szCs w:val="28"/>
        </w:rPr>
        <w:t>7</w:t>
      </w:r>
      <w:r>
        <w:rPr>
          <w:rFonts w:hint="eastAsia" w:ascii="仿宋_GB2312" w:hAnsi="仿宋" w:cs="宋体"/>
          <w:b/>
          <w:kern w:val="0"/>
          <w:szCs w:val="28"/>
        </w:rPr>
        <w:t>分，得分</w:t>
      </w:r>
      <w:r>
        <w:rPr>
          <w:rFonts w:ascii="仿宋_GB2312" w:hAnsi="仿宋" w:cs="宋体"/>
          <w:b/>
          <w:kern w:val="0"/>
          <w:szCs w:val="28"/>
        </w:rPr>
        <w:t>7</w:t>
      </w:r>
      <w:r>
        <w:rPr>
          <w:rFonts w:hint="eastAsia" w:ascii="仿宋_GB2312" w:hAnsi="仿宋" w:cs="宋体"/>
          <w:b/>
          <w:kern w:val="0"/>
          <w:szCs w:val="28"/>
        </w:rPr>
        <w:t>分。</w:t>
      </w:r>
    </w:p>
    <w:bookmarkEnd w:id="44"/>
    <w:p w14:paraId="5B35FC99">
      <w:pPr>
        <w:pStyle w:val="3"/>
        <w:tabs>
          <w:tab w:val="center" w:pos="4474"/>
        </w:tabs>
        <w:ind w:firstLine="643"/>
        <w:rPr>
          <w:rFonts w:ascii="仿宋" w:hAnsi="仿宋" w:eastAsia="仿宋"/>
          <w:lang w:bidi="en-US"/>
        </w:rPr>
      </w:pPr>
      <w:bookmarkStart w:id="45" w:name="_Toc67911614"/>
      <w:bookmarkStart w:id="46" w:name="_Toc165277248"/>
      <w:r>
        <w:rPr>
          <w:rFonts w:hint="eastAsia" w:ascii="仿宋" w:hAnsi="仿宋" w:eastAsia="仿宋"/>
          <w:lang w:bidi="en-US"/>
        </w:rPr>
        <w:t>（三）项目产出情况</w:t>
      </w:r>
      <w:bookmarkEnd w:id="45"/>
      <w:bookmarkEnd w:id="46"/>
    </w:p>
    <w:p w14:paraId="187FD641">
      <w:pPr>
        <w:spacing w:line="360" w:lineRule="auto"/>
        <w:ind w:firstLine="560"/>
        <w:rPr>
          <w:rFonts w:ascii="仿宋_GB2312"/>
          <w:szCs w:val="28"/>
        </w:rPr>
      </w:pPr>
      <w:r>
        <w:rPr>
          <w:rFonts w:hint="eastAsia" w:ascii="仿宋_GB2312"/>
          <w:szCs w:val="28"/>
        </w:rPr>
        <w:t>项目产出指标由4个二级指标和</w:t>
      </w:r>
      <w:r>
        <w:rPr>
          <w:rFonts w:hint="eastAsia" w:ascii="仿宋_GB2312"/>
          <w:szCs w:val="28"/>
          <w:lang w:val="en-US" w:eastAsia="zh-CN"/>
        </w:rPr>
        <w:t>4</w:t>
      </w:r>
      <w:r>
        <w:rPr>
          <w:rFonts w:hint="eastAsia" w:ascii="仿宋_GB2312"/>
          <w:szCs w:val="28"/>
        </w:rPr>
        <w:t>个三级指标构成，权重为</w:t>
      </w:r>
      <w:r>
        <w:rPr>
          <w:rFonts w:ascii="仿宋_GB2312"/>
          <w:szCs w:val="28"/>
        </w:rPr>
        <w:t>40</w:t>
      </w:r>
      <w:r>
        <w:rPr>
          <w:rFonts w:hint="eastAsia" w:ascii="仿宋_GB2312"/>
          <w:szCs w:val="28"/>
        </w:rPr>
        <w:t>分，实际得分</w:t>
      </w:r>
      <w:r>
        <w:rPr>
          <w:rFonts w:hint="eastAsia" w:ascii="仿宋_GB2312"/>
          <w:szCs w:val="28"/>
          <w:lang w:val="en-US" w:eastAsia="zh-CN"/>
        </w:rPr>
        <w:t>40</w:t>
      </w:r>
      <w:r>
        <w:rPr>
          <w:rFonts w:hint="eastAsia" w:ascii="仿宋_GB2312"/>
          <w:szCs w:val="28"/>
        </w:rPr>
        <w:t>分。</w:t>
      </w:r>
    </w:p>
    <w:p w14:paraId="3BAC2DCB">
      <w:pPr>
        <w:pStyle w:val="4"/>
        <w:ind w:firstLine="643"/>
      </w:pPr>
      <w:bookmarkStart w:id="47" w:name="_Toc165277249"/>
      <w:r>
        <w:rPr>
          <w:rFonts w:hint="eastAsia"/>
        </w:rPr>
        <w:t>1</w:t>
      </w:r>
      <w:r>
        <w:t>.</w:t>
      </w:r>
      <w:r>
        <w:rPr>
          <w:rFonts w:hint="eastAsia"/>
        </w:rPr>
        <w:t>产出数量</w:t>
      </w:r>
      <w:bookmarkEnd w:id="47"/>
    </w:p>
    <w:p w14:paraId="1B110A27">
      <w:pPr>
        <w:spacing w:line="360" w:lineRule="auto"/>
        <w:ind w:firstLine="560"/>
        <w:rPr>
          <w:rFonts w:ascii="仿宋_GB2312"/>
          <w:bCs/>
          <w:szCs w:val="28"/>
          <w:highlight w:val="none"/>
        </w:rPr>
      </w:pPr>
      <w:r>
        <w:rPr>
          <w:rFonts w:hint="eastAsia" w:ascii="仿宋_GB2312"/>
          <w:bCs/>
          <w:szCs w:val="28"/>
          <w:highlight w:val="none"/>
        </w:rPr>
        <w:t>数量指标</w:t>
      </w:r>
      <w:r>
        <w:rPr>
          <w:rFonts w:hint="eastAsia" w:ascii="仿宋_GB2312"/>
          <w:bCs/>
          <w:szCs w:val="28"/>
          <w:highlight w:val="none"/>
          <w:lang w:eastAsia="zh-CN"/>
        </w:rPr>
        <w:t>“</w:t>
      </w:r>
      <w:r>
        <w:rPr>
          <w:rFonts w:hint="eastAsia" w:ascii="仿宋_GB2312"/>
          <w:bCs/>
          <w:szCs w:val="28"/>
          <w:highlight w:val="none"/>
          <w:lang w:val="en-US" w:eastAsia="zh-CN"/>
        </w:rPr>
        <w:t>购置工作完成率</w:t>
      </w:r>
      <w:r>
        <w:rPr>
          <w:rFonts w:hint="eastAsia" w:ascii="仿宋_GB2312"/>
          <w:bCs/>
          <w:szCs w:val="28"/>
          <w:highlight w:val="none"/>
          <w:lang w:eastAsia="zh-CN"/>
        </w:rPr>
        <w:t>”</w:t>
      </w:r>
      <w:r>
        <w:rPr>
          <w:rFonts w:hint="eastAsia" w:ascii="仿宋_GB2312"/>
          <w:bCs/>
          <w:szCs w:val="28"/>
          <w:highlight w:val="none"/>
          <w:lang w:val="en-US" w:eastAsia="zh-CN"/>
        </w:rPr>
        <w:t>完成100%，其中，“</w:t>
      </w:r>
      <w:r>
        <w:rPr>
          <w:rFonts w:hint="eastAsia" w:ascii="仿宋_GB2312"/>
          <w:bCs/>
          <w:szCs w:val="28"/>
          <w:highlight w:val="none"/>
        </w:rPr>
        <w:t>医疗设备购置数量”的目标值是131台，2023年度我单位实际完成</w:t>
      </w:r>
      <w:r>
        <w:rPr>
          <w:rFonts w:ascii="仿宋_GB2312"/>
          <w:bCs/>
          <w:szCs w:val="28"/>
          <w:highlight w:val="none"/>
        </w:rPr>
        <w:t>100%</w:t>
      </w:r>
      <w:r>
        <w:rPr>
          <w:rFonts w:hint="eastAsia" w:ascii="仿宋_GB2312"/>
          <w:bCs/>
          <w:szCs w:val="28"/>
          <w:highlight w:val="none"/>
          <w:lang w:eastAsia="zh-CN"/>
        </w:rPr>
        <w:t>；</w:t>
      </w:r>
      <w:r>
        <w:rPr>
          <w:rFonts w:hint="eastAsia" w:ascii="仿宋_GB2312"/>
          <w:bCs/>
          <w:szCs w:val="28"/>
          <w:highlight w:val="none"/>
        </w:rPr>
        <w:t>“信息化建设购置数量”的目标值是8套，2023年度我单位实际完成</w:t>
      </w:r>
      <w:r>
        <w:rPr>
          <w:rFonts w:hint="eastAsia" w:ascii="仿宋_GB2312"/>
          <w:bCs/>
          <w:szCs w:val="28"/>
          <w:highlight w:val="none"/>
          <w:lang w:val="en-US" w:eastAsia="zh-CN"/>
        </w:rPr>
        <w:t>100</w:t>
      </w:r>
      <w:r>
        <w:rPr>
          <w:rFonts w:ascii="仿宋_GB2312"/>
          <w:bCs/>
          <w:szCs w:val="28"/>
          <w:highlight w:val="none"/>
        </w:rPr>
        <w:t>%</w:t>
      </w:r>
      <w:r>
        <w:rPr>
          <w:rFonts w:hint="eastAsia" w:ascii="仿宋_GB2312"/>
          <w:bCs/>
          <w:szCs w:val="28"/>
          <w:highlight w:val="none"/>
          <w:lang w:eastAsia="zh-CN"/>
        </w:rPr>
        <w:t>；</w:t>
      </w:r>
      <w:r>
        <w:rPr>
          <w:rFonts w:hint="eastAsia" w:ascii="仿宋_GB2312"/>
          <w:bCs/>
          <w:szCs w:val="28"/>
          <w:highlight w:val="none"/>
        </w:rPr>
        <w:t>“房屋改造工程数量”的目标值是18项，2023年度我单位实际完成</w:t>
      </w:r>
      <w:r>
        <w:rPr>
          <w:rFonts w:ascii="仿宋_GB2312"/>
          <w:bCs/>
          <w:szCs w:val="28"/>
          <w:highlight w:val="none"/>
        </w:rPr>
        <w:t>100%</w:t>
      </w:r>
      <w:r>
        <w:rPr>
          <w:rFonts w:hint="eastAsia" w:ascii="仿宋_GB2312"/>
          <w:bCs/>
          <w:szCs w:val="28"/>
          <w:highlight w:val="none"/>
          <w:lang w:eastAsia="zh-CN"/>
        </w:rPr>
        <w:t>；</w:t>
      </w:r>
      <w:r>
        <w:rPr>
          <w:rFonts w:hint="eastAsia" w:ascii="仿宋_GB2312"/>
          <w:bCs/>
          <w:szCs w:val="28"/>
          <w:highlight w:val="none"/>
        </w:rPr>
        <w:t>“办公设备购置数量”的目标值是287项，2023年度我单位实际完成100%。</w:t>
      </w:r>
    </w:p>
    <w:p w14:paraId="2E5AD60C">
      <w:pPr>
        <w:spacing w:line="360" w:lineRule="auto"/>
        <w:ind w:firstLine="562"/>
        <w:rPr>
          <w:rFonts w:ascii="仿宋_GB2312"/>
          <w:szCs w:val="28"/>
        </w:rPr>
      </w:pPr>
      <w:r>
        <w:rPr>
          <w:rFonts w:hint="eastAsia" w:ascii="仿宋_GB2312"/>
          <w:b/>
          <w:bCs/>
          <w:szCs w:val="28"/>
        </w:rPr>
        <w:t>实际完成率：</w:t>
      </w:r>
      <w:r>
        <w:rPr>
          <w:rFonts w:hint="eastAsia" w:ascii="仿宋_GB2312"/>
          <w:szCs w:val="28"/>
          <w:lang w:val="en-US" w:eastAsia="zh-CN"/>
        </w:rPr>
        <w:t>100</w:t>
      </w:r>
      <w:r>
        <w:rPr>
          <w:rFonts w:hint="eastAsia" w:ascii="仿宋_GB2312"/>
          <w:szCs w:val="28"/>
        </w:rPr>
        <w:t>%，故实际完成率得分为</w:t>
      </w:r>
      <w:r>
        <w:rPr>
          <w:rFonts w:hint="eastAsia" w:ascii="仿宋_GB2312"/>
          <w:szCs w:val="28"/>
          <w:lang w:val="en-US" w:eastAsia="zh-CN"/>
        </w:rPr>
        <w:t>10</w:t>
      </w:r>
      <w:r>
        <w:rPr>
          <w:rFonts w:hint="eastAsia" w:ascii="仿宋_GB2312"/>
          <w:szCs w:val="28"/>
        </w:rPr>
        <w:t>分。</w:t>
      </w:r>
    </w:p>
    <w:p w14:paraId="70C8993A">
      <w:pPr>
        <w:pStyle w:val="4"/>
        <w:numPr>
          <w:ilvl w:val="0"/>
          <w:numId w:val="0"/>
        </w:numPr>
        <w:ind w:firstLine="643" w:firstLineChars="200"/>
        <w:rPr>
          <w:ins w:id="5" w:author="毛倩" w:date="2024-05-15T18:23:00Z"/>
        </w:rPr>
      </w:pPr>
      <w:bookmarkStart w:id="48" w:name="_Toc165277250"/>
      <w:r>
        <w:rPr>
          <w:rFonts w:hint="eastAsia"/>
          <w:lang w:val="en-US" w:eastAsia="zh-CN"/>
        </w:rPr>
        <w:t>2.</w:t>
      </w:r>
      <w:r>
        <w:rPr>
          <w:rFonts w:hint="eastAsia"/>
        </w:rPr>
        <w:t>产出质量</w:t>
      </w:r>
      <w:bookmarkEnd w:id="48"/>
    </w:p>
    <w:p w14:paraId="01B0CA43">
      <w:pPr>
        <w:spacing w:line="360" w:lineRule="auto"/>
        <w:ind w:firstLine="560"/>
        <w:rPr>
          <w:rFonts w:hint="eastAsia" w:ascii="仿宋_GB2312"/>
          <w:bCs/>
          <w:szCs w:val="28"/>
          <w:highlight w:val="none"/>
        </w:rPr>
      </w:pPr>
      <w:r>
        <w:rPr>
          <w:rFonts w:hint="eastAsia" w:ascii="仿宋_GB2312"/>
          <w:bCs/>
          <w:szCs w:val="28"/>
          <w:highlight w:val="none"/>
          <w:lang w:val="en-US" w:eastAsia="zh-CN"/>
        </w:rPr>
        <w:t>购置验收合格率完成100%，其中，专用设备131台，</w:t>
      </w:r>
      <w:r>
        <w:rPr>
          <w:rFonts w:hint="eastAsia" w:ascii="仿宋_GB2312"/>
          <w:bCs/>
          <w:szCs w:val="28"/>
          <w:highlight w:val="none"/>
        </w:rPr>
        <w:t>设备合格率的目标值是</w:t>
      </w:r>
      <w:r>
        <w:rPr>
          <w:rFonts w:hint="eastAsia" w:ascii="仿宋_GB2312"/>
          <w:bCs/>
          <w:szCs w:val="28"/>
          <w:highlight w:val="none"/>
          <w:lang w:val="en-US" w:eastAsia="zh-CN"/>
        </w:rPr>
        <w:t>100</w:t>
      </w:r>
      <w:r>
        <w:rPr>
          <w:rFonts w:hint="eastAsia" w:ascii="仿宋_GB2312"/>
          <w:bCs/>
          <w:szCs w:val="28"/>
          <w:highlight w:val="none"/>
        </w:rPr>
        <w:t>%，2023年度我单位实际完成100%。</w:t>
      </w:r>
    </w:p>
    <w:p w14:paraId="3076FBCD">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综上，该指标满分10分，得分10分。</w:t>
      </w:r>
    </w:p>
    <w:p w14:paraId="17EFE9CB">
      <w:pPr>
        <w:pStyle w:val="4"/>
        <w:ind w:firstLine="0" w:firstLineChars="0"/>
      </w:pPr>
      <w:bookmarkStart w:id="49" w:name="_Toc165277251"/>
      <w:r>
        <w:rPr>
          <w:rFonts w:hint="eastAsia"/>
        </w:rPr>
        <w:t xml:space="preserve">    3</w:t>
      </w:r>
      <w:r>
        <w:t>.</w:t>
      </w:r>
      <w:r>
        <w:rPr>
          <w:rFonts w:hint="eastAsia"/>
        </w:rPr>
        <w:t>产出时效</w:t>
      </w:r>
      <w:bookmarkEnd w:id="49"/>
    </w:p>
    <w:p w14:paraId="09123C4C">
      <w:pPr>
        <w:spacing w:line="360" w:lineRule="auto"/>
        <w:ind w:firstLine="560"/>
        <w:rPr>
          <w:rFonts w:ascii="仿宋_GB2312"/>
          <w:szCs w:val="28"/>
        </w:rPr>
      </w:pPr>
      <w:r>
        <w:rPr>
          <w:rFonts w:hint="eastAsia" w:ascii="仿宋_GB2312"/>
          <w:bCs/>
          <w:szCs w:val="28"/>
          <w:highlight w:val="none"/>
          <w:lang w:val="en-US" w:eastAsia="zh-CN"/>
        </w:rPr>
        <w:t>购置及时率完成100%，</w:t>
      </w:r>
      <w:r>
        <w:rPr>
          <w:rFonts w:hint="eastAsia" w:ascii="仿宋_GB2312"/>
          <w:szCs w:val="28"/>
        </w:rPr>
        <w:t>我单位</w:t>
      </w:r>
      <w:r>
        <w:rPr>
          <w:rFonts w:hint="eastAsia" w:ascii="仿宋_GB2312"/>
          <w:szCs w:val="28"/>
          <w:lang w:val="en-US" w:eastAsia="zh-CN"/>
        </w:rPr>
        <w:t>在年度内采购专业</w:t>
      </w:r>
      <w:r>
        <w:rPr>
          <w:rFonts w:hint="eastAsia" w:ascii="仿宋_GB2312"/>
          <w:szCs w:val="28"/>
        </w:rPr>
        <w:t>设备</w:t>
      </w:r>
      <w:r>
        <w:rPr>
          <w:rFonts w:hint="eastAsia" w:ascii="仿宋_GB2312"/>
          <w:szCs w:val="28"/>
          <w:lang w:eastAsia="zh-CN"/>
        </w:rPr>
        <w:t>、</w:t>
      </w:r>
      <w:r>
        <w:rPr>
          <w:rFonts w:hint="eastAsia" w:ascii="仿宋_GB2312"/>
          <w:szCs w:val="28"/>
          <w:lang w:val="en-US" w:eastAsia="zh-CN"/>
        </w:rPr>
        <w:t>办公设备及软件</w:t>
      </w:r>
      <w:r>
        <w:rPr>
          <w:rFonts w:hint="eastAsia" w:ascii="仿宋_GB2312"/>
          <w:szCs w:val="28"/>
        </w:rPr>
        <w:t>，故完成及时性得分为10分。</w:t>
      </w:r>
    </w:p>
    <w:p w14:paraId="3F784A5D">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综上，该部分指标满分1</w:t>
      </w:r>
      <w:r>
        <w:rPr>
          <w:rFonts w:ascii="仿宋_GB2312" w:hAnsi="仿宋" w:cs="宋体"/>
          <w:b/>
          <w:kern w:val="0"/>
          <w:szCs w:val="28"/>
        </w:rPr>
        <w:t>0</w:t>
      </w:r>
      <w:r>
        <w:rPr>
          <w:rFonts w:hint="eastAsia" w:ascii="仿宋_GB2312" w:hAnsi="仿宋" w:cs="宋体"/>
          <w:b/>
          <w:kern w:val="0"/>
          <w:szCs w:val="28"/>
        </w:rPr>
        <w:t>分，得分</w:t>
      </w:r>
      <w:r>
        <w:rPr>
          <w:rFonts w:hint="eastAsia" w:ascii="仿宋_GB2312"/>
          <w:szCs w:val="28"/>
        </w:rPr>
        <w:t>10</w:t>
      </w:r>
      <w:r>
        <w:rPr>
          <w:rFonts w:hint="eastAsia" w:ascii="仿宋_GB2312" w:hAnsi="仿宋" w:cs="宋体"/>
          <w:b/>
          <w:kern w:val="0"/>
          <w:szCs w:val="28"/>
        </w:rPr>
        <w:t>分。</w:t>
      </w:r>
    </w:p>
    <w:p w14:paraId="3E02C0B6">
      <w:pPr>
        <w:numPr>
          <w:ilvl w:val="0"/>
          <w:numId w:val="0"/>
        </w:numPr>
        <w:autoSpaceDE w:val="0"/>
        <w:spacing w:line="600" w:lineRule="exact"/>
        <w:ind w:firstLine="562" w:firstLineChars="200"/>
        <w:rPr>
          <w:ins w:id="6" w:author="毛倩" w:date="2024-05-15T18:31:00Z"/>
          <w:rFonts w:ascii="仿宋_GB2312" w:hAnsi="仿宋" w:cs="宋体"/>
          <w:b/>
          <w:kern w:val="0"/>
          <w:szCs w:val="28"/>
        </w:rPr>
      </w:pPr>
      <w:r>
        <w:rPr>
          <w:rFonts w:hint="eastAsia" w:ascii="仿宋_GB2312" w:hAnsi="仿宋" w:cs="宋体"/>
          <w:b/>
          <w:kern w:val="0"/>
          <w:szCs w:val="28"/>
          <w:lang w:val="en-US" w:eastAsia="zh-CN"/>
        </w:rPr>
        <w:t>4.</w:t>
      </w:r>
      <w:r>
        <w:rPr>
          <w:rFonts w:hint="eastAsia" w:ascii="仿宋_GB2312" w:hAnsi="仿宋" w:cs="宋体"/>
          <w:b/>
          <w:kern w:val="0"/>
          <w:szCs w:val="28"/>
        </w:rPr>
        <w:t>产出成本</w:t>
      </w:r>
    </w:p>
    <w:p w14:paraId="6F719862">
      <w:pPr>
        <w:spacing w:line="360" w:lineRule="auto"/>
        <w:ind w:firstLine="560"/>
        <w:rPr>
          <w:rFonts w:hint="eastAsia" w:ascii="仿宋_GB2312"/>
          <w:bCs/>
          <w:szCs w:val="28"/>
          <w:highlight w:val="none"/>
          <w:lang w:val="en-US" w:eastAsia="zh-CN"/>
        </w:rPr>
      </w:pPr>
      <w:r>
        <w:rPr>
          <w:rFonts w:hint="eastAsia" w:ascii="仿宋_GB2312"/>
          <w:bCs/>
          <w:szCs w:val="28"/>
          <w:highlight w:val="none"/>
          <w:lang w:val="en-US" w:eastAsia="zh-CN"/>
        </w:rPr>
        <w:t>成本控制率完成100%，其中，医疗设备预算项目2023年度预算数为1476万元，我单位实际完成1334.32万元。</w:t>
      </w:r>
    </w:p>
    <w:p w14:paraId="13A50988">
      <w:pPr>
        <w:spacing w:line="360" w:lineRule="auto"/>
        <w:ind w:firstLine="560"/>
        <w:rPr>
          <w:rFonts w:ascii="仿宋_GB2312"/>
          <w:bCs/>
          <w:szCs w:val="28"/>
        </w:rPr>
      </w:pPr>
      <w:r>
        <w:rPr>
          <w:rFonts w:hint="eastAsia" w:ascii="仿宋_GB2312"/>
          <w:bCs/>
          <w:szCs w:val="28"/>
          <w:highlight w:val="none"/>
          <w:lang w:val="en-US" w:eastAsia="zh-CN"/>
        </w:rPr>
        <w:t>信息网络及软件购置更新</w:t>
      </w:r>
      <w:r>
        <w:rPr>
          <w:rFonts w:hint="eastAsia" w:ascii="仿宋_GB2312"/>
          <w:szCs w:val="28"/>
        </w:rPr>
        <w:t>项目</w:t>
      </w:r>
      <w:r>
        <w:rPr>
          <w:rFonts w:ascii="仿宋_GB2312"/>
          <w:bCs/>
          <w:szCs w:val="28"/>
        </w:rPr>
        <w:t>2023年度</w:t>
      </w:r>
      <w:r>
        <w:rPr>
          <w:rFonts w:hint="eastAsia" w:ascii="仿宋_GB2312"/>
          <w:bCs/>
          <w:szCs w:val="28"/>
          <w:lang w:val="en-US" w:eastAsia="zh-CN"/>
        </w:rPr>
        <w:t>预算数为331.67万元，</w:t>
      </w:r>
      <w:r>
        <w:rPr>
          <w:rFonts w:ascii="仿宋_GB2312"/>
          <w:bCs/>
          <w:szCs w:val="28"/>
        </w:rPr>
        <w:t>我单位</w:t>
      </w:r>
      <w:r>
        <w:rPr>
          <w:rFonts w:hint="eastAsia" w:ascii="仿宋_GB2312"/>
          <w:bCs/>
          <w:szCs w:val="28"/>
        </w:rPr>
        <w:t>实际完成</w:t>
      </w:r>
      <w:r>
        <w:rPr>
          <w:rFonts w:hint="eastAsia" w:ascii="仿宋_GB2312"/>
          <w:bCs/>
          <w:szCs w:val="28"/>
          <w:lang w:val="en-US" w:eastAsia="zh-CN"/>
        </w:rPr>
        <w:t>163.26</w:t>
      </w:r>
      <w:r>
        <w:rPr>
          <w:rFonts w:hint="eastAsia" w:ascii="仿宋_GB2312"/>
          <w:bCs/>
          <w:szCs w:val="28"/>
        </w:rPr>
        <w:t>万元</w:t>
      </w:r>
      <w:r>
        <w:rPr>
          <w:rFonts w:hint="eastAsia" w:ascii="仿宋_GB2312"/>
          <w:szCs w:val="28"/>
        </w:rPr>
        <w:t>。</w:t>
      </w:r>
    </w:p>
    <w:p w14:paraId="34BDC10A">
      <w:pPr>
        <w:autoSpaceDE w:val="0"/>
        <w:spacing w:line="600" w:lineRule="exact"/>
        <w:ind w:firstLine="560" w:firstLineChars="200"/>
        <w:rPr>
          <w:rFonts w:ascii="仿宋_GB2312"/>
          <w:szCs w:val="28"/>
        </w:rPr>
      </w:pPr>
      <w:r>
        <w:rPr>
          <w:rFonts w:hint="eastAsia" w:ascii="仿宋_GB2312"/>
          <w:szCs w:val="28"/>
        </w:rPr>
        <w:t>房屋改造工程预算项目</w:t>
      </w:r>
      <w:r>
        <w:rPr>
          <w:rFonts w:ascii="仿宋_GB2312"/>
          <w:bCs/>
          <w:szCs w:val="28"/>
        </w:rPr>
        <w:t>2023年度</w:t>
      </w:r>
      <w:r>
        <w:rPr>
          <w:rFonts w:hint="eastAsia" w:ascii="仿宋_GB2312"/>
          <w:bCs/>
          <w:szCs w:val="28"/>
          <w:lang w:val="en-US" w:eastAsia="zh-CN"/>
        </w:rPr>
        <w:t>预算数为1073.1万元，</w:t>
      </w:r>
      <w:r>
        <w:rPr>
          <w:rFonts w:ascii="仿宋_GB2312"/>
          <w:bCs/>
          <w:szCs w:val="28"/>
        </w:rPr>
        <w:t>我单位</w:t>
      </w:r>
      <w:r>
        <w:rPr>
          <w:rFonts w:hint="eastAsia" w:ascii="仿宋_GB2312"/>
          <w:bCs/>
          <w:szCs w:val="28"/>
        </w:rPr>
        <w:t>实际完成</w:t>
      </w:r>
      <w:r>
        <w:rPr>
          <w:rFonts w:hint="eastAsia" w:ascii="仿宋_GB2312"/>
          <w:bCs/>
          <w:szCs w:val="28"/>
          <w:lang w:val="en-US" w:eastAsia="zh-CN"/>
        </w:rPr>
        <w:t>205.63</w:t>
      </w:r>
      <w:r>
        <w:rPr>
          <w:rFonts w:hint="eastAsia" w:ascii="仿宋_GB2312"/>
          <w:bCs/>
          <w:szCs w:val="28"/>
        </w:rPr>
        <w:t>万元</w:t>
      </w:r>
      <w:r>
        <w:rPr>
          <w:rFonts w:hint="eastAsia" w:ascii="仿宋_GB2312"/>
          <w:szCs w:val="28"/>
        </w:rPr>
        <w:t>。</w:t>
      </w:r>
    </w:p>
    <w:p w14:paraId="462DE39E">
      <w:pPr>
        <w:autoSpaceDE w:val="0"/>
        <w:spacing w:line="600" w:lineRule="exact"/>
        <w:ind w:firstLine="560"/>
        <w:rPr>
          <w:rFonts w:ascii="仿宋_GB2312"/>
          <w:bCs/>
          <w:szCs w:val="28"/>
        </w:rPr>
      </w:pPr>
      <w:r>
        <w:rPr>
          <w:rFonts w:hint="eastAsia" w:ascii="仿宋_GB2312"/>
          <w:szCs w:val="28"/>
        </w:rPr>
        <w:t>办公设备预算项目</w:t>
      </w:r>
      <w:r>
        <w:rPr>
          <w:rFonts w:ascii="仿宋_GB2312"/>
          <w:bCs/>
          <w:szCs w:val="28"/>
        </w:rPr>
        <w:t>2023年度</w:t>
      </w:r>
      <w:r>
        <w:rPr>
          <w:rFonts w:hint="eastAsia" w:ascii="仿宋_GB2312"/>
          <w:bCs/>
          <w:szCs w:val="28"/>
          <w:lang w:val="en-US" w:eastAsia="zh-CN"/>
        </w:rPr>
        <w:t>预算数为339.61万元，</w:t>
      </w:r>
      <w:r>
        <w:rPr>
          <w:rFonts w:ascii="仿宋_GB2312"/>
          <w:bCs/>
          <w:szCs w:val="28"/>
        </w:rPr>
        <w:t>我单位</w:t>
      </w:r>
      <w:r>
        <w:rPr>
          <w:rFonts w:hint="eastAsia" w:ascii="仿宋_GB2312"/>
          <w:bCs/>
          <w:szCs w:val="28"/>
        </w:rPr>
        <w:t>实际完成</w:t>
      </w:r>
      <w:r>
        <w:rPr>
          <w:rFonts w:hint="eastAsia" w:ascii="仿宋_GB2312"/>
          <w:bCs/>
          <w:szCs w:val="28"/>
          <w:lang w:val="en-US" w:eastAsia="zh-CN"/>
        </w:rPr>
        <w:t>46.82</w:t>
      </w:r>
      <w:r>
        <w:rPr>
          <w:rFonts w:hint="eastAsia" w:ascii="仿宋_GB2312"/>
          <w:bCs/>
          <w:szCs w:val="28"/>
        </w:rPr>
        <w:t>万元</w:t>
      </w:r>
      <w:r>
        <w:rPr>
          <w:rFonts w:hint="eastAsia" w:ascii="仿宋_GB2312"/>
          <w:szCs w:val="28"/>
        </w:rPr>
        <w:t>。</w:t>
      </w:r>
    </w:p>
    <w:p w14:paraId="25E0550A">
      <w:pPr>
        <w:autoSpaceDE w:val="0"/>
        <w:spacing w:line="600" w:lineRule="exact"/>
        <w:ind w:firstLine="0" w:firstLineChars="0"/>
        <w:rPr>
          <w:rFonts w:ascii="仿宋_GB2312" w:hAnsi="仿宋" w:cs="宋体"/>
          <w:b/>
          <w:kern w:val="0"/>
          <w:szCs w:val="28"/>
        </w:rPr>
      </w:pPr>
      <w:r>
        <w:rPr>
          <w:rFonts w:hint="eastAsia" w:ascii="仿宋_GB2312" w:hAnsi="仿宋" w:cs="宋体"/>
          <w:b/>
          <w:kern w:val="0"/>
          <w:szCs w:val="28"/>
        </w:rPr>
        <w:t xml:space="preserve">    综上，该部分指标满分1</w:t>
      </w:r>
      <w:r>
        <w:rPr>
          <w:rFonts w:ascii="仿宋_GB2312" w:hAnsi="仿宋" w:cs="宋体"/>
          <w:b/>
          <w:kern w:val="0"/>
          <w:szCs w:val="28"/>
        </w:rPr>
        <w:t>0</w:t>
      </w:r>
      <w:r>
        <w:rPr>
          <w:rFonts w:hint="eastAsia" w:ascii="仿宋_GB2312" w:hAnsi="仿宋" w:cs="宋体"/>
          <w:b/>
          <w:kern w:val="0"/>
          <w:szCs w:val="28"/>
        </w:rPr>
        <w:t>分，得分</w:t>
      </w:r>
      <w:r>
        <w:rPr>
          <w:rFonts w:hint="eastAsia" w:ascii="仿宋_GB2312" w:hAnsi="仿宋" w:cs="宋体"/>
          <w:b/>
          <w:kern w:val="0"/>
          <w:szCs w:val="28"/>
          <w:lang w:val="en-US" w:eastAsia="zh-CN"/>
        </w:rPr>
        <w:t>10</w:t>
      </w:r>
      <w:r>
        <w:rPr>
          <w:rFonts w:hint="eastAsia" w:ascii="仿宋_GB2312" w:hAnsi="仿宋" w:cs="宋体"/>
          <w:b/>
          <w:kern w:val="0"/>
          <w:szCs w:val="28"/>
        </w:rPr>
        <w:t>分。</w:t>
      </w:r>
      <w:bookmarkStart w:id="50" w:name="_Toc165277253"/>
      <w:bookmarkStart w:id="51" w:name="_Toc67911615"/>
    </w:p>
    <w:p w14:paraId="1F631059">
      <w:pPr>
        <w:autoSpaceDE w:val="0"/>
        <w:spacing w:line="600" w:lineRule="exact"/>
        <w:ind w:firstLine="560"/>
        <w:rPr>
          <w:rFonts w:ascii="仿宋" w:hAnsi="仿宋" w:eastAsia="仿宋"/>
          <w:lang w:bidi="en-US"/>
        </w:rPr>
      </w:pPr>
      <w:r>
        <w:rPr>
          <w:rFonts w:hint="eastAsia" w:ascii="仿宋" w:hAnsi="仿宋" w:eastAsia="仿宋"/>
          <w:lang w:bidi="en-US"/>
        </w:rPr>
        <w:t>（四）项目效益情况</w:t>
      </w:r>
      <w:bookmarkEnd w:id="50"/>
      <w:bookmarkEnd w:id="51"/>
    </w:p>
    <w:p w14:paraId="51DA0F3B">
      <w:pPr>
        <w:spacing w:line="360" w:lineRule="auto"/>
        <w:ind w:firstLine="560"/>
        <w:rPr>
          <w:rFonts w:ascii="仿宋_GB2312"/>
          <w:szCs w:val="28"/>
        </w:rPr>
      </w:pPr>
      <w:r>
        <w:rPr>
          <w:rFonts w:hint="eastAsia" w:ascii="仿宋_GB2312"/>
          <w:szCs w:val="28"/>
        </w:rPr>
        <w:t>项目效益指标由</w:t>
      </w:r>
      <w:r>
        <w:rPr>
          <w:rFonts w:hint="eastAsia" w:ascii="仿宋_GB2312"/>
          <w:szCs w:val="28"/>
          <w:lang w:val="en-US" w:eastAsia="zh-CN"/>
        </w:rPr>
        <w:t>1</w:t>
      </w:r>
      <w:r>
        <w:rPr>
          <w:rFonts w:hint="eastAsia" w:ascii="仿宋_GB2312"/>
          <w:szCs w:val="28"/>
        </w:rPr>
        <w:t>个二级指标和</w:t>
      </w:r>
      <w:r>
        <w:rPr>
          <w:rFonts w:ascii="仿宋_GB2312"/>
          <w:szCs w:val="28"/>
        </w:rPr>
        <w:t>2</w:t>
      </w:r>
      <w:r>
        <w:rPr>
          <w:rFonts w:hint="eastAsia" w:ascii="仿宋_GB2312"/>
          <w:szCs w:val="28"/>
        </w:rPr>
        <w:t>个三级指标构成，权重为</w:t>
      </w:r>
      <w:r>
        <w:rPr>
          <w:rFonts w:hint="eastAsia" w:ascii="仿宋_GB2312"/>
          <w:szCs w:val="28"/>
          <w:lang w:val="en-US" w:eastAsia="zh-CN"/>
        </w:rPr>
        <w:t>1</w:t>
      </w:r>
      <w:r>
        <w:rPr>
          <w:rFonts w:ascii="仿宋_GB2312"/>
          <w:szCs w:val="28"/>
        </w:rPr>
        <w:t>0</w:t>
      </w:r>
      <w:r>
        <w:rPr>
          <w:rFonts w:hint="eastAsia" w:ascii="仿宋_GB2312"/>
          <w:szCs w:val="28"/>
        </w:rPr>
        <w:t>分，实际得分</w:t>
      </w:r>
      <w:r>
        <w:rPr>
          <w:rFonts w:hint="eastAsia" w:ascii="仿宋_GB2312"/>
          <w:szCs w:val="28"/>
          <w:lang w:val="en-US" w:eastAsia="zh-CN"/>
        </w:rPr>
        <w:t>1</w:t>
      </w:r>
      <w:r>
        <w:rPr>
          <w:rFonts w:hint="eastAsia" w:ascii="仿宋_GB2312"/>
          <w:szCs w:val="28"/>
        </w:rPr>
        <w:t>0分。</w:t>
      </w:r>
      <w:r>
        <w:rPr>
          <w:rFonts w:ascii="仿宋_GB2312"/>
          <w:szCs w:val="28"/>
        </w:rPr>
        <w:t xml:space="preserve"> </w:t>
      </w:r>
    </w:p>
    <w:p w14:paraId="1B322314">
      <w:pPr>
        <w:pStyle w:val="4"/>
        <w:ind w:firstLine="643"/>
      </w:pPr>
      <w:bookmarkStart w:id="52" w:name="_Toc165277254"/>
      <w:r>
        <w:rPr>
          <w:rFonts w:hint="eastAsia"/>
        </w:rPr>
        <w:t>1</w:t>
      </w:r>
      <w:r>
        <w:t>.</w:t>
      </w:r>
      <w:r>
        <w:rPr>
          <w:rFonts w:hint="eastAsia"/>
        </w:rPr>
        <w:t>项目效益</w:t>
      </w:r>
      <w:bookmarkEnd w:id="52"/>
    </w:p>
    <w:p w14:paraId="3B05FEC5">
      <w:pPr>
        <w:spacing w:line="360" w:lineRule="auto"/>
        <w:ind w:firstLine="562"/>
        <w:rPr>
          <w:rFonts w:ascii="仿宋_GB2312"/>
          <w:b/>
          <w:bCs/>
          <w:szCs w:val="28"/>
        </w:rPr>
      </w:pPr>
      <w:r>
        <w:rPr>
          <w:rFonts w:hint="eastAsia" w:ascii="仿宋_GB2312"/>
          <w:b/>
          <w:bCs/>
          <w:szCs w:val="28"/>
        </w:rPr>
        <w:t>（1）实施效益</w:t>
      </w:r>
    </w:p>
    <w:p w14:paraId="57571DF6">
      <w:pPr>
        <w:spacing w:line="360" w:lineRule="auto"/>
        <w:ind w:firstLine="562"/>
        <w:rPr>
          <w:rFonts w:hint="eastAsia" w:ascii="仿宋_GB2312"/>
          <w:szCs w:val="28"/>
          <w:lang w:val="en-US" w:eastAsia="zh-CN"/>
        </w:rPr>
      </w:pPr>
      <w:r>
        <w:rPr>
          <w:rFonts w:hint="eastAsia" w:ascii="仿宋_GB2312"/>
          <w:b/>
          <w:bCs/>
          <w:szCs w:val="28"/>
        </w:rPr>
        <w:t>经济效益指标：</w:t>
      </w:r>
      <w:r>
        <w:rPr>
          <w:rFonts w:hint="eastAsia" w:ascii="仿宋_GB2312"/>
          <w:szCs w:val="28"/>
        </w:rPr>
        <w:t>评价指标“项目实施后给医院带来经济效益提升”,指标值：提升，实际完成值：达成年度指标。本项目的实施通过2023年的预算项目采购，完成设备质量合格率达到95%以上，设备验收通过率达到95%以上，通过项目的采购完成，设备正常运转后能使医院的经济效益提升</w:t>
      </w:r>
      <w:r>
        <w:rPr>
          <w:rFonts w:hint="eastAsia" w:ascii="仿宋_GB2312"/>
          <w:szCs w:val="28"/>
          <w:lang w:eastAsia="zh-CN"/>
        </w:rPr>
        <w:t>，</w:t>
      </w:r>
      <w:r>
        <w:rPr>
          <w:rFonts w:hint="eastAsia" w:ascii="仿宋_GB2312"/>
          <w:szCs w:val="28"/>
          <w:lang w:val="en-US" w:eastAsia="zh-CN"/>
        </w:rPr>
        <w:t>故经济效益指标得分5分。</w:t>
      </w:r>
    </w:p>
    <w:p w14:paraId="37225684">
      <w:pPr>
        <w:spacing w:line="360" w:lineRule="auto"/>
        <w:ind w:firstLine="562"/>
        <w:rPr>
          <w:rFonts w:ascii="仿宋_GB2312"/>
          <w:szCs w:val="28"/>
        </w:rPr>
      </w:pPr>
      <w:r>
        <w:rPr>
          <w:rFonts w:hint="eastAsia" w:ascii="仿宋_GB2312"/>
          <w:b/>
          <w:bCs/>
          <w:szCs w:val="28"/>
        </w:rPr>
        <w:t>社会效益指标</w:t>
      </w:r>
      <w:r>
        <w:rPr>
          <w:rFonts w:hint="eastAsia" w:ascii="仿宋_GB2312"/>
          <w:szCs w:val="28"/>
        </w:rPr>
        <w:t>：评价指标“医疗设备的投入提升医院为患者服务的能力”，指标值：显著提升，实际完成值：达成年度指标。本项目的实施深化公立医院综合改革，建立健全现代化医院管理制度，协调推行医疗价格、药品物流、医保支付改革，提高医疗卫生服务质量。为患者更好的服务，使患者的满意度有所提高</w:t>
      </w:r>
      <w:r>
        <w:rPr>
          <w:rFonts w:hint="eastAsia" w:ascii="仿宋_GB2312"/>
          <w:szCs w:val="28"/>
          <w:lang w:eastAsia="zh-CN"/>
        </w:rPr>
        <w:t>，</w:t>
      </w:r>
      <w:r>
        <w:rPr>
          <w:rFonts w:hint="eastAsia" w:ascii="仿宋_GB2312"/>
          <w:szCs w:val="28"/>
          <w:lang w:val="en-US" w:eastAsia="zh-CN"/>
        </w:rPr>
        <w:t>故社会效益指标得分5分。</w:t>
      </w:r>
    </w:p>
    <w:p w14:paraId="7DB4EF5E">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10</w:t>
      </w:r>
      <w:r>
        <w:rPr>
          <w:rFonts w:hint="eastAsia" w:ascii="仿宋_GB2312" w:hAnsi="仿宋" w:cs="宋体"/>
          <w:b/>
          <w:kern w:val="0"/>
          <w:szCs w:val="28"/>
        </w:rPr>
        <w:t>分，得分10分。</w:t>
      </w:r>
    </w:p>
    <w:p w14:paraId="25133387">
      <w:pPr>
        <w:pStyle w:val="4"/>
        <w:ind w:firstLine="643"/>
      </w:pPr>
      <w:bookmarkStart w:id="53" w:name="_Toc165277255"/>
      <w:r>
        <w:t>2. 满意度指标完成情况分析</w:t>
      </w:r>
      <w:bookmarkEnd w:id="53"/>
    </w:p>
    <w:p w14:paraId="44F234B7">
      <w:pPr>
        <w:spacing w:line="360" w:lineRule="auto"/>
        <w:ind w:firstLine="562"/>
        <w:rPr>
          <w:rFonts w:ascii="仿宋_GB2312"/>
          <w:b/>
          <w:bCs/>
          <w:szCs w:val="28"/>
        </w:rPr>
      </w:pPr>
      <w:r>
        <w:rPr>
          <w:rFonts w:hint="eastAsia" w:ascii="仿宋_GB2312"/>
          <w:b/>
          <w:bCs/>
          <w:szCs w:val="28"/>
        </w:rPr>
        <w:t>（</w:t>
      </w:r>
      <w:r>
        <w:rPr>
          <w:rFonts w:ascii="仿宋_GB2312"/>
          <w:b/>
          <w:bCs/>
          <w:szCs w:val="28"/>
        </w:rPr>
        <w:t>1</w:t>
      </w:r>
      <w:r>
        <w:rPr>
          <w:rFonts w:hint="eastAsia" w:ascii="仿宋_GB2312"/>
          <w:b/>
          <w:bCs/>
          <w:szCs w:val="28"/>
        </w:rPr>
        <w:t>）满意度指标</w:t>
      </w:r>
    </w:p>
    <w:p w14:paraId="654D55AE">
      <w:pPr>
        <w:spacing w:line="360" w:lineRule="auto"/>
        <w:ind w:firstLine="562"/>
        <w:rPr>
          <w:rFonts w:ascii="仿宋_GB2312"/>
          <w:szCs w:val="28"/>
        </w:rPr>
      </w:pPr>
      <w:r>
        <w:rPr>
          <w:rFonts w:hint="eastAsia" w:ascii="仿宋_GB2312"/>
          <w:b/>
          <w:bCs/>
          <w:szCs w:val="28"/>
        </w:rPr>
        <w:t>群众满意度：</w:t>
      </w:r>
      <w:r>
        <w:rPr>
          <w:rFonts w:hint="eastAsia" w:ascii="仿宋_GB2312"/>
          <w:szCs w:val="28"/>
        </w:rPr>
        <w:t>评价指标“满意度指标”，指标值：</w:t>
      </w:r>
      <w:r>
        <w:rPr>
          <w:rFonts w:hint="eastAsia" w:ascii="华文宋体" w:hAnsi="华文宋体" w:eastAsia="华文宋体"/>
          <w:szCs w:val="28"/>
        </w:rPr>
        <w:t>≥</w:t>
      </w:r>
      <w:r>
        <w:rPr>
          <w:rFonts w:hint="eastAsia" w:ascii="仿宋_GB2312" w:eastAsia="华文宋体"/>
          <w:szCs w:val="28"/>
        </w:rPr>
        <w:t>90</w:t>
      </w:r>
      <w:r>
        <w:rPr>
          <w:rFonts w:hint="eastAsia" w:ascii="仿宋_GB2312"/>
          <w:szCs w:val="28"/>
        </w:rPr>
        <w:t>%，实际完成值：</w:t>
      </w:r>
      <w:r>
        <w:rPr>
          <w:rFonts w:hint="eastAsia" w:ascii="华文宋体" w:hAnsi="华文宋体" w:eastAsia="华文宋体"/>
          <w:szCs w:val="28"/>
        </w:rPr>
        <w:t>=96.97</w:t>
      </w:r>
      <w:r>
        <w:rPr>
          <w:rFonts w:hint="eastAsia" w:ascii="仿宋_GB2312"/>
          <w:szCs w:val="28"/>
        </w:rPr>
        <w:t>%。通过设置问卷调查的方式进行考评评价，共计调查样本总量为512个样本，有效调查问卷512份。其中，统计“门诊患者满意度”的平均值为96.97%。故满意度指标得分为10分。</w:t>
      </w:r>
    </w:p>
    <w:p w14:paraId="79A22F6E">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10</w:t>
      </w:r>
      <w:r>
        <w:rPr>
          <w:rFonts w:hint="eastAsia" w:ascii="仿宋_GB2312" w:hAnsi="仿宋" w:cs="宋体"/>
          <w:b/>
          <w:kern w:val="0"/>
          <w:szCs w:val="28"/>
        </w:rPr>
        <w:t>分，得分10分。</w:t>
      </w:r>
    </w:p>
    <w:p w14:paraId="111760B9">
      <w:pPr>
        <w:pStyle w:val="2"/>
        <w:ind w:firstLine="0" w:firstLineChars="0"/>
        <w:jc w:val="left"/>
        <w:rPr>
          <w:rFonts w:ascii="仿宋" w:hAnsi="仿宋" w:eastAsia="仿宋"/>
          <w:sz w:val="36"/>
          <w:szCs w:val="36"/>
          <w:lang w:bidi="en-US"/>
        </w:rPr>
      </w:pPr>
      <w:bookmarkStart w:id="54" w:name="_Toc165277256"/>
      <w:bookmarkStart w:id="55" w:name="_Toc67911617"/>
      <w:r>
        <w:rPr>
          <w:rFonts w:hint="eastAsia" w:ascii="仿宋" w:hAnsi="仿宋" w:eastAsia="仿宋"/>
          <w:sz w:val="36"/>
          <w:szCs w:val="36"/>
          <w:lang w:bidi="en-US"/>
        </w:rPr>
        <w:t>五、主要经验及做法、存在的问题及原因分析</w:t>
      </w:r>
      <w:bookmarkEnd w:id="54"/>
      <w:bookmarkEnd w:id="55"/>
    </w:p>
    <w:p w14:paraId="79D7793A">
      <w:pPr>
        <w:pStyle w:val="3"/>
        <w:ind w:firstLine="643"/>
        <w:rPr>
          <w:rFonts w:ascii="仿宋" w:hAnsi="仿宋" w:eastAsia="仿宋"/>
          <w:lang w:bidi="en-US"/>
        </w:rPr>
      </w:pPr>
      <w:bookmarkStart w:id="56" w:name="_Toc67911618"/>
      <w:bookmarkStart w:id="57" w:name="_Toc165277257"/>
      <w:r>
        <w:rPr>
          <w:rFonts w:hint="eastAsia" w:ascii="仿宋" w:hAnsi="仿宋" w:eastAsia="仿宋"/>
          <w:lang w:bidi="en-US"/>
        </w:rPr>
        <w:t>（一）主要经验及做法</w:t>
      </w:r>
      <w:bookmarkEnd w:id="56"/>
      <w:bookmarkEnd w:id="57"/>
    </w:p>
    <w:p w14:paraId="3C425123">
      <w:pPr>
        <w:autoSpaceDE w:val="0"/>
        <w:spacing w:line="600" w:lineRule="exact"/>
        <w:ind w:firstLine="840" w:firstLineChars="300"/>
        <w:rPr>
          <w:rFonts w:ascii="仿宋_GB2312" w:hAnsi="仿宋" w:cs="宋体"/>
          <w:kern w:val="0"/>
          <w:szCs w:val="28"/>
        </w:rPr>
      </w:pPr>
      <w:r>
        <w:rPr>
          <w:rFonts w:hint="eastAsia" w:ascii="仿宋_GB2312" w:hAnsi="仿宋" w:cs="宋体"/>
          <w:kern w:val="0"/>
          <w:szCs w:val="28"/>
        </w:rPr>
        <w:t>我单位依据《中华人民共和国政府采购法》、《招投标法》等基本法律，坚持做到“公平、公正、公开”合理、节约、效率的阳光采购原则，严格工作程序，规范申报制度，杜绝单位逃避政府采购流程，违规操作等行为，基本完成年初制定的目标。财务科申报采购，提供资金保障，各科室积极配合，完成年度的项目采购。医院要可持续发展，以强大的医疗技术和先进的医疗设备为基础，以良好的就医环境为条件，以职工敬业和饱满的工作态度为准绳，为广大患者提供优质的医疗服务。按照项目实施预算期限完成项目的采购计划。</w:t>
      </w:r>
    </w:p>
    <w:p w14:paraId="252D66FF">
      <w:pPr>
        <w:pStyle w:val="3"/>
        <w:ind w:firstLine="643"/>
        <w:rPr>
          <w:rFonts w:ascii="仿宋" w:hAnsi="仿宋" w:eastAsia="仿宋"/>
          <w:lang w:bidi="en-US"/>
        </w:rPr>
      </w:pPr>
      <w:bookmarkStart w:id="58" w:name="_Toc165277258"/>
      <w:r>
        <w:rPr>
          <w:rFonts w:hint="eastAsia" w:ascii="仿宋" w:hAnsi="仿宋" w:eastAsia="仿宋"/>
          <w:lang w:bidi="en-US"/>
        </w:rPr>
        <w:t>（二）存在的问题及原因分析</w:t>
      </w:r>
      <w:bookmarkEnd w:id="58"/>
    </w:p>
    <w:p w14:paraId="13C7CC43">
      <w:pPr>
        <w:spacing w:line="360" w:lineRule="auto"/>
        <w:ind w:firstLine="560"/>
        <w:rPr>
          <w:rFonts w:ascii="仿宋_GB2312" w:hAnsi="仿宋" w:cs="宋体"/>
          <w:kern w:val="0"/>
          <w:szCs w:val="28"/>
        </w:rPr>
      </w:pPr>
      <w:r>
        <w:rPr>
          <w:rFonts w:hint="eastAsia" w:ascii="仿宋_GB2312" w:hAnsi="仿宋" w:cs="宋体"/>
          <w:kern w:val="0"/>
          <w:szCs w:val="28"/>
        </w:rPr>
        <w:t>在政府采购活动中，各部门零星需要，随机需要采购次数多，量小，采购规模小，不能有效整合。</w:t>
      </w:r>
    </w:p>
    <w:p w14:paraId="18E74268">
      <w:pPr>
        <w:pStyle w:val="2"/>
        <w:numPr>
          <w:ilvl w:val="0"/>
          <w:numId w:val="1"/>
        </w:numPr>
        <w:ind w:firstLine="0" w:firstLineChars="0"/>
        <w:jc w:val="left"/>
        <w:rPr>
          <w:rFonts w:ascii="仿宋" w:hAnsi="仿宋" w:eastAsia="仿宋"/>
          <w:sz w:val="36"/>
          <w:szCs w:val="36"/>
          <w:lang w:bidi="en-US"/>
        </w:rPr>
      </w:pPr>
      <w:bookmarkStart w:id="59" w:name="_Toc67911620"/>
      <w:bookmarkStart w:id="60" w:name="_Toc165277259"/>
      <w:bookmarkStart w:id="61" w:name="_Toc67911619"/>
      <w:r>
        <w:rPr>
          <w:rFonts w:hint="eastAsia" w:ascii="仿宋" w:hAnsi="仿宋" w:eastAsia="仿宋"/>
          <w:sz w:val="36"/>
          <w:szCs w:val="36"/>
          <w:lang w:bidi="en-US"/>
        </w:rPr>
        <w:t>有关建议</w:t>
      </w:r>
      <w:bookmarkEnd w:id="59"/>
      <w:bookmarkEnd w:id="60"/>
    </w:p>
    <w:p w14:paraId="4A51ED8A">
      <w:pPr>
        <w:spacing w:line="360" w:lineRule="auto"/>
        <w:ind w:firstLine="560"/>
        <w:rPr>
          <w:rFonts w:ascii="仿宋_GB2312" w:hAnsi="仿宋" w:cs="宋体"/>
          <w:kern w:val="0"/>
          <w:szCs w:val="28"/>
        </w:rPr>
      </w:pPr>
      <w:r>
        <w:rPr>
          <w:rFonts w:hint="eastAsia" w:ascii="仿宋_GB2312" w:hAnsi="仿宋" w:cs="宋体"/>
          <w:kern w:val="0"/>
          <w:szCs w:val="28"/>
        </w:rPr>
        <w:t>1.积极探索开展工程和服务类采购活动，努力促进各项政府采购的有序进行。</w:t>
      </w:r>
    </w:p>
    <w:p w14:paraId="6EDA49DF">
      <w:pPr>
        <w:spacing w:line="360" w:lineRule="auto"/>
        <w:ind w:firstLine="560"/>
        <w:rPr>
          <w:rFonts w:ascii="仿宋_GB2312" w:hAnsi="仿宋" w:cs="宋体"/>
          <w:kern w:val="0"/>
          <w:szCs w:val="28"/>
        </w:rPr>
      </w:pPr>
      <w:r>
        <w:rPr>
          <w:rFonts w:hint="eastAsia" w:ascii="仿宋_GB2312" w:hAnsi="仿宋" w:cs="宋体"/>
          <w:kern w:val="0"/>
          <w:szCs w:val="28"/>
        </w:rPr>
        <w:t>2.增加政府采购计划性，督促各部门必须加强和提高政府采购预算编制的科学性和准确性，严格按照政府采购预算细化的要求编制采购计划，做到先有计划，后有执行。</w:t>
      </w:r>
    </w:p>
    <w:p w14:paraId="4E007846">
      <w:pPr>
        <w:spacing w:line="360" w:lineRule="auto"/>
        <w:ind w:firstLine="560"/>
        <w:rPr>
          <w:rFonts w:ascii="仿宋_GB2312" w:hAnsi="仿宋" w:cs="宋体"/>
          <w:kern w:val="0"/>
          <w:szCs w:val="28"/>
        </w:rPr>
      </w:pPr>
      <w:r>
        <w:rPr>
          <w:rFonts w:hint="eastAsia" w:ascii="仿宋_GB2312" w:hAnsi="仿宋" w:cs="宋体"/>
          <w:kern w:val="0"/>
          <w:szCs w:val="28"/>
        </w:rPr>
        <w:t>3.加强监督检查，配合监察、审计、纪检和各部门，对采购工作定期进行监督检查。</w:t>
      </w:r>
    </w:p>
    <w:p w14:paraId="0611E051">
      <w:pPr>
        <w:spacing w:line="360" w:lineRule="auto"/>
        <w:ind w:firstLine="560"/>
        <w:rPr>
          <w:rFonts w:ascii="仿宋_GB2312" w:hAnsi="仿宋" w:cs="宋体"/>
          <w:kern w:val="0"/>
          <w:szCs w:val="28"/>
        </w:rPr>
      </w:pPr>
      <w:r>
        <w:rPr>
          <w:rFonts w:hint="eastAsia" w:ascii="仿宋_GB2312" w:hAnsi="仿宋" w:cs="宋体"/>
          <w:kern w:val="0"/>
          <w:szCs w:val="28"/>
        </w:rPr>
        <w:t>4.严格按照采购流程，认真执行党风廉政建设和采购人员廉洁自律五不准，坚决杜绝政府采购活动中的腐败行为。</w:t>
      </w:r>
    </w:p>
    <w:p w14:paraId="6177B999">
      <w:pPr>
        <w:pStyle w:val="2"/>
        <w:ind w:firstLine="0" w:firstLineChars="0"/>
        <w:jc w:val="left"/>
        <w:rPr>
          <w:rFonts w:ascii="仿宋" w:hAnsi="仿宋" w:eastAsia="仿宋"/>
          <w:sz w:val="36"/>
          <w:szCs w:val="36"/>
          <w:lang w:bidi="en-US"/>
        </w:rPr>
      </w:pPr>
      <w:bookmarkStart w:id="62" w:name="_Toc165277260"/>
      <w:r>
        <w:rPr>
          <w:rFonts w:hint="eastAsia" w:ascii="仿宋" w:hAnsi="仿宋" w:eastAsia="仿宋"/>
          <w:sz w:val="36"/>
          <w:szCs w:val="36"/>
          <w:lang w:bidi="en-US"/>
        </w:rPr>
        <w:t>七、其他需要说明的问题</w:t>
      </w:r>
      <w:bookmarkEnd w:id="61"/>
      <w:bookmarkEnd w:id="62"/>
    </w:p>
    <w:p w14:paraId="6ADE25BA">
      <w:pPr>
        <w:spacing w:line="360" w:lineRule="auto"/>
        <w:ind w:firstLine="560"/>
        <w:rPr>
          <w:rFonts w:ascii="仿宋_GB2312"/>
          <w:szCs w:val="28"/>
        </w:rPr>
      </w:pPr>
      <w:r>
        <w:rPr>
          <w:rFonts w:hint="eastAsia" w:ascii="仿宋_GB2312"/>
          <w:szCs w:val="28"/>
        </w:rPr>
        <w:t>1</w:t>
      </w:r>
      <w:r>
        <w:rPr>
          <w:rFonts w:ascii="仿宋_GB2312"/>
          <w:szCs w:val="28"/>
        </w:rPr>
        <w:t>.</w:t>
      </w:r>
      <w:r>
        <w:rPr>
          <w:rFonts w:hint="eastAsia" w:ascii="仿宋_GB2312"/>
          <w:szCs w:val="28"/>
        </w:rPr>
        <w:t>项目支出政策和路径设计科学，符合实际需要；</w:t>
      </w:r>
    </w:p>
    <w:p w14:paraId="47D4832A">
      <w:pPr>
        <w:spacing w:line="360" w:lineRule="auto"/>
        <w:ind w:firstLine="560"/>
        <w:rPr>
          <w:rFonts w:ascii="仿宋_GB2312"/>
          <w:szCs w:val="28"/>
        </w:rPr>
      </w:pPr>
      <w:r>
        <w:rPr>
          <w:rFonts w:ascii="仿宋_GB2312"/>
          <w:szCs w:val="28"/>
        </w:rPr>
        <w:t>2.</w:t>
      </w:r>
      <w:r>
        <w:rPr>
          <w:rFonts w:hint="eastAsia" w:ascii="仿宋_GB2312"/>
          <w:szCs w:val="28"/>
        </w:rPr>
        <w:t>项目安排准确，未发现背离项目立项初衷的情况；</w:t>
      </w:r>
    </w:p>
    <w:p w14:paraId="42CB13E4">
      <w:pPr>
        <w:spacing w:line="360" w:lineRule="auto"/>
        <w:ind w:firstLine="560"/>
        <w:rPr>
          <w:rFonts w:ascii="仿宋_GB2312"/>
          <w:szCs w:val="28"/>
        </w:rPr>
      </w:pPr>
      <w:r>
        <w:rPr>
          <w:rFonts w:ascii="仿宋_GB2312"/>
          <w:szCs w:val="28"/>
        </w:rPr>
        <w:t>3.</w:t>
      </w:r>
      <w:r>
        <w:rPr>
          <w:rFonts w:hint="eastAsia" w:ascii="仿宋_GB2312"/>
          <w:szCs w:val="28"/>
        </w:rPr>
        <w:t>项目的申报、审核机制完善；</w:t>
      </w:r>
    </w:p>
    <w:p w14:paraId="028D328F">
      <w:pPr>
        <w:spacing w:line="360" w:lineRule="auto"/>
        <w:ind w:firstLine="560"/>
        <w:rPr>
          <w:rFonts w:ascii="仿宋_GB2312"/>
          <w:szCs w:val="28"/>
        </w:rPr>
      </w:pPr>
      <w:r>
        <w:rPr>
          <w:rFonts w:ascii="仿宋_GB2312"/>
          <w:szCs w:val="28"/>
        </w:rPr>
        <w:t>4.</w:t>
      </w:r>
      <w:r>
        <w:rPr>
          <w:rFonts w:hint="eastAsia" w:ascii="仿宋_GB2312"/>
          <w:szCs w:val="28"/>
        </w:rPr>
        <w:t>未发现虚假行为和骗取财政资金的问题。</w:t>
      </w:r>
    </w:p>
    <w:p w14:paraId="1FC4D5B8">
      <w:pPr>
        <w:spacing w:line="360" w:lineRule="auto"/>
        <w:ind w:firstLine="560"/>
        <w:rPr>
          <w:rFonts w:ascii="仿宋_GB2312"/>
          <w:szCs w:val="28"/>
        </w:rPr>
      </w:pPr>
    </w:p>
    <w:sectPr>
      <w:headerReference r:id="rId13" w:type="default"/>
      <w:footerReference r:id="rId14" w:type="default"/>
      <w:footnotePr>
        <w:numFmt w:val="decimalEnclosedCircleChinese"/>
        <w:numRestart w:val="eachPage"/>
      </w:footnotePr>
      <w:type w:val="continuous"/>
      <w:pgSz w:w="11906" w:h="16838"/>
      <w:pgMar w:top="1440" w:right="1800" w:bottom="1440" w:left="1800" w:header="992" w:footer="992" w:gutter="0"/>
      <w:cols w:space="720"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Gungsuh">
    <w:altName w:val="Malgun Gothic"/>
    <w:panose1 w:val="02030600000101010101"/>
    <w:charset w:val="81"/>
    <w:family w:val="roman"/>
    <w:pitch w:val="default"/>
    <w:sig w:usb0="00000000" w:usb1="00000000" w:usb2="00000030" w:usb3="00000000" w:csb0="4008009F" w:csb1="DFD70000"/>
  </w:font>
  <w:font w:name="Malgun Gothic">
    <w:panose1 w:val="020B0503020000020004"/>
    <w:charset w:val="81"/>
    <w:family w:val="auto"/>
    <w:pitch w:val="default"/>
    <w:sig w:usb0="9000002F" w:usb1="29D77CFB" w:usb2="00000012" w:usb3="00000000" w:csb0="00080001" w:csb1="00000000"/>
  </w:font>
  <w:font w:name="华文宋体">
    <w:altName w:val="宋体"/>
    <w:panose1 w:val="02010600040101010101"/>
    <w:charset w:val="86"/>
    <w:family w:val="auto"/>
    <w:pitch w:val="default"/>
    <w:sig w:usb0="00000000" w:usb1="00000000" w:usb2="00000000" w:usb3="00000000" w:csb0="0004009F" w:csb1="DFD7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013481">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672846">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EA3582">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D1EFEB">
    <w:pPr>
      <w:pStyle w:val="9"/>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13</w:t>
    </w:r>
    <w:r>
      <w:rPr>
        <w:rFonts w:hint="eastAsia" w:ascii="仿宋_GB2312" w:eastAsia="仿宋_GB2312"/>
        <w:sz w:val="21"/>
        <w:szCs w:val="21"/>
      </w:rPr>
      <w:fldChar w:fldCharType="end"/>
    </w:r>
  </w:p>
  <w:p w14:paraId="3AE0562D">
    <w:pPr>
      <w:pStyle w:val="9"/>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F0BB75">
    <w:pPr>
      <w:pStyle w:val="9"/>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26</w:t>
    </w:r>
    <w:r>
      <w:rPr>
        <w:rFonts w:hint="eastAsia" w:ascii="仿宋_GB2312" w:eastAsia="仿宋_GB2312"/>
        <w:sz w:val="21"/>
        <w:szCs w:val="21"/>
      </w:rPr>
      <w:fldChar w:fldCharType="end"/>
    </w:r>
  </w:p>
  <w:p w14:paraId="3619DCA7">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14:paraId="48A43D9D">
      <w:pPr>
        <w:pStyle w:val="12"/>
        <w:ind w:firstLine="0" w:firstLineChars="0"/>
        <w:jc w:val="both"/>
        <w:rPr>
          <w:rFonts w:ascii="仿宋_GB2312"/>
        </w:rPr>
      </w:pPr>
      <w:r>
        <w:rPr>
          <w:rStyle w:val="19"/>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14:paraId="7DD69394">
      <w:pPr>
        <w:pStyle w:val="12"/>
        <w:ind w:firstLine="0" w:firstLineChars="0"/>
        <w:jc w:val="both"/>
        <w:rPr>
          <w:rFonts w:ascii="仿宋_GB2312"/>
        </w:rPr>
      </w:pPr>
      <w:r>
        <w:rPr>
          <w:rFonts w:hint="eastAsia" w:ascii="仿宋_GB2312"/>
        </w:rPr>
        <w:t>本次绩效评价结果实施百分制和四级分类，其中90（含）-100分为优、80（含）-90分为良、</w:t>
      </w:r>
      <w:r>
        <w:rPr>
          <w:rFonts w:ascii="仿宋_GB2312"/>
        </w:rPr>
        <w:t>7</w:t>
      </w:r>
      <w:r>
        <w:rPr>
          <w:rFonts w:hint="eastAsia" w:ascii="仿宋_GB2312"/>
        </w:rPr>
        <w:t>0（含）-80分为中、</w:t>
      </w:r>
      <w:r>
        <w:rPr>
          <w:rFonts w:ascii="仿宋_GB2312"/>
        </w:rPr>
        <w:t>7</w:t>
      </w:r>
      <w:r>
        <w:rPr>
          <w:rFonts w:hint="eastAsia" w:ascii="仿宋_GB2312"/>
        </w:rPr>
        <w:t>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BEAA51">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FE0887">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3A8296">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CBD4ED">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7FA8F6">
    <w:pPr>
      <w:pStyle w:val="10"/>
      <w:ind w:firstLine="560"/>
      <w:jc w:val="right"/>
      <w:rPr>
        <w:rFonts w:ascii="仿宋_GB2312" w:eastAsia="仿宋_GB2312"/>
        <w:sz w:val="21"/>
        <w:szCs w:val="21"/>
      </w:rPr>
    </w:pPr>
    <w:r>
      <w:rPr>
        <w:rFonts w:hint="eastAsia" w:ascii="仿宋_GB2312" w:eastAsia="仿宋_GB2312"/>
        <w:sz w:val="21"/>
        <w:szCs w:val="21"/>
      </w:rPr>
      <w:t>部门项目报告模板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ED55DF"/>
    <w:multiLevelType w:val="singleLevel"/>
    <w:tmpl w:val="DBED55DF"/>
    <w:lvl w:ilvl="0" w:tentative="0">
      <w:start w:val="6"/>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毛倩">
    <w15:presenceInfo w15:providerId="WPS Office" w15:userId="6129252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doNotDisplayPageBoundaries w:val="1"/>
  <w:documentProtection w:enforcement="0"/>
  <w:defaultTabStop w:val="420"/>
  <w:drawingGridHorizontalSpacing w:val="140"/>
  <w:drawingGridVerticalSpacing w:val="381"/>
  <w:noPunctuationKerning w:val="1"/>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WEwODQxNDA0MTcwYWY4NTljNDA0MDliYTkyZTlkYTIifQ=="/>
  </w:docVars>
  <w:rsids>
    <w:rsidRoot w:val="00A734F1"/>
    <w:rsid w:val="00030E5D"/>
    <w:rsid w:val="00A734F1"/>
    <w:rsid w:val="00E02BE4"/>
    <w:rsid w:val="05A609E4"/>
    <w:rsid w:val="06AB70EB"/>
    <w:rsid w:val="0DC363ED"/>
    <w:rsid w:val="0E0662D9"/>
    <w:rsid w:val="0F113188"/>
    <w:rsid w:val="0FC1695C"/>
    <w:rsid w:val="10134CA5"/>
    <w:rsid w:val="11811943"/>
    <w:rsid w:val="12575356"/>
    <w:rsid w:val="14FB646C"/>
    <w:rsid w:val="198A7DBF"/>
    <w:rsid w:val="1B7A3E63"/>
    <w:rsid w:val="1D533AB5"/>
    <w:rsid w:val="1E220F0E"/>
    <w:rsid w:val="2230171F"/>
    <w:rsid w:val="22DB5B2F"/>
    <w:rsid w:val="24156E1F"/>
    <w:rsid w:val="24A65CC9"/>
    <w:rsid w:val="265005E2"/>
    <w:rsid w:val="28ED2118"/>
    <w:rsid w:val="29CC61D1"/>
    <w:rsid w:val="2A293624"/>
    <w:rsid w:val="2AB729DE"/>
    <w:rsid w:val="2B381D70"/>
    <w:rsid w:val="2CCA2E9C"/>
    <w:rsid w:val="2DAB5F29"/>
    <w:rsid w:val="30AD5C98"/>
    <w:rsid w:val="32AB107A"/>
    <w:rsid w:val="34036C94"/>
    <w:rsid w:val="36B6623F"/>
    <w:rsid w:val="38C70290"/>
    <w:rsid w:val="38F848ED"/>
    <w:rsid w:val="3B935E03"/>
    <w:rsid w:val="3D1617E6"/>
    <w:rsid w:val="40363F4D"/>
    <w:rsid w:val="40C854ED"/>
    <w:rsid w:val="410F6C78"/>
    <w:rsid w:val="44D426B2"/>
    <w:rsid w:val="4E647519"/>
    <w:rsid w:val="529E60AD"/>
    <w:rsid w:val="53BF452D"/>
    <w:rsid w:val="560B3A5A"/>
    <w:rsid w:val="566D65A3"/>
    <w:rsid w:val="5A680DF2"/>
    <w:rsid w:val="5A7A11AE"/>
    <w:rsid w:val="5BBC52C6"/>
    <w:rsid w:val="5D39504E"/>
    <w:rsid w:val="5E9B7945"/>
    <w:rsid w:val="619C7C5C"/>
    <w:rsid w:val="61D02B9E"/>
    <w:rsid w:val="64281C7B"/>
    <w:rsid w:val="69761D9A"/>
    <w:rsid w:val="69A753F0"/>
    <w:rsid w:val="6C0905E4"/>
    <w:rsid w:val="6DFF3A4C"/>
    <w:rsid w:val="75BF3AC1"/>
    <w:rsid w:val="7CC7607D"/>
    <w:rsid w:val="7DA024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7"/>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unhideWhenUsed/>
    <w:qFormat/>
    <w:uiPriority w:val="9"/>
    <w:pPr>
      <w:keepNext/>
      <w:keepLines/>
      <w:spacing w:before="260" w:after="260" w:line="416" w:lineRule="auto"/>
      <w:outlineLvl w:val="1"/>
    </w:pPr>
    <w:rPr>
      <w:rFonts w:ascii="等线 Light" w:hAnsi="等线 Light" w:eastAsia="等线 Light"/>
      <w:b/>
      <w:bCs/>
      <w:sz w:val="32"/>
      <w:szCs w:val="32"/>
    </w:rPr>
  </w:style>
  <w:style w:type="paragraph" w:styleId="4">
    <w:name w:val="heading 3"/>
    <w:basedOn w:val="1"/>
    <w:next w:val="1"/>
    <w:link w:val="31"/>
    <w:unhideWhenUsed/>
    <w:qFormat/>
    <w:uiPriority w:val="9"/>
    <w:pPr>
      <w:keepNext/>
      <w:keepLines/>
      <w:spacing w:before="260" w:after="260" w:line="416" w:lineRule="auto"/>
      <w:outlineLvl w:val="2"/>
    </w:pPr>
    <w:rPr>
      <w:b/>
      <w:bCs/>
      <w:sz w:val="32"/>
      <w:szCs w:val="32"/>
    </w:rPr>
  </w:style>
  <w:style w:type="character" w:default="1" w:styleId="16">
    <w:name w:val="Default Paragraph Font"/>
    <w:semiHidden/>
    <w:unhideWhenUsed/>
    <w:qFormat/>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28"/>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Date"/>
    <w:basedOn w:val="1"/>
    <w:next w:val="1"/>
    <w:link w:val="24"/>
    <w:semiHidden/>
    <w:unhideWhenUsed/>
    <w:qFormat/>
    <w:uiPriority w:val="99"/>
    <w:pPr>
      <w:ind w:left="100" w:leftChars="2500"/>
    </w:pPr>
  </w:style>
  <w:style w:type="paragraph" w:styleId="8">
    <w:name w:val="Balloon Text"/>
    <w:basedOn w:val="1"/>
    <w:link w:val="30"/>
    <w:semiHidden/>
    <w:unhideWhenUsed/>
    <w:qFormat/>
    <w:uiPriority w:val="99"/>
    <w:rPr>
      <w:sz w:val="18"/>
      <w:szCs w:val="18"/>
    </w:rPr>
  </w:style>
  <w:style w:type="paragraph" w:styleId="9">
    <w:name w:val="footer"/>
    <w:basedOn w:val="1"/>
    <w:link w:val="23"/>
    <w:unhideWhenUsed/>
    <w:qFormat/>
    <w:uiPriority w:val="99"/>
    <w:pPr>
      <w:tabs>
        <w:tab w:val="center" w:pos="4153"/>
        <w:tab w:val="right" w:pos="8306"/>
      </w:tabs>
      <w:snapToGrid w:val="0"/>
      <w:ind w:firstLine="0" w:firstLineChars="0"/>
      <w:jc w:val="left"/>
    </w:pPr>
    <w:rPr>
      <w:rFonts w:ascii="等线" w:hAnsi="等线" w:eastAsia="等线"/>
      <w:sz w:val="18"/>
      <w:szCs w:val="18"/>
    </w:rPr>
  </w:style>
  <w:style w:type="paragraph" w:styleId="10">
    <w:name w:val="header"/>
    <w:basedOn w:val="1"/>
    <w:link w:val="22"/>
    <w:unhideWhenUsed/>
    <w:qFormat/>
    <w:uiPriority w:val="99"/>
    <w:pPr>
      <w:pBdr>
        <w:bottom w:val="single" w:color="auto" w:sz="6" w:space="1"/>
      </w:pBdr>
      <w:tabs>
        <w:tab w:val="center" w:pos="4153"/>
        <w:tab w:val="right" w:pos="8306"/>
      </w:tabs>
      <w:snapToGrid w:val="0"/>
      <w:ind w:firstLine="0" w:firstLineChars="0"/>
      <w:jc w:val="center"/>
    </w:pPr>
    <w:rPr>
      <w:rFonts w:ascii="等线" w:hAnsi="等线" w:eastAsia="等线"/>
      <w:sz w:val="18"/>
      <w:szCs w:val="18"/>
    </w:rPr>
  </w:style>
  <w:style w:type="paragraph" w:styleId="11">
    <w:name w:val="toc 1"/>
    <w:basedOn w:val="1"/>
    <w:next w:val="1"/>
    <w:unhideWhenUsed/>
    <w:qFormat/>
    <w:uiPriority w:val="39"/>
  </w:style>
  <w:style w:type="paragraph" w:styleId="12">
    <w:name w:val="footnote text"/>
    <w:basedOn w:val="1"/>
    <w:link w:val="26"/>
    <w:semiHidden/>
    <w:unhideWhenUsed/>
    <w:qFormat/>
    <w:uiPriority w:val="99"/>
    <w:pPr>
      <w:snapToGrid w:val="0"/>
      <w:jc w:val="left"/>
    </w:pPr>
    <w:rPr>
      <w:sz w:val="18"/>
      <w:szCs w:val="18"/>
    </w:rPr>
  </w:style>
  <w:style w:type="paragraph" w:styleId="13">
    <w:name w:val="toc 2"/>
    <w:basedOn w:val="1"/>
    <w:next w:val="1"/>
    <w:unhideWhenUsed/>
    <w:qFormat/>
    <w:uiPriority w:val="39"/>
    <w:pPr>
      <w:ind w:left="420" w:leftChars="200"/>
    </w:pPr>
  </w:style>
  <w:style w:type="paragraph" w:styleId="14">
    <w:name w:val="annotation subject"/>
    <w:basedOn w:val="5"/>
    <w:next w:val="5"/>
    <w:link w:val="29"/>
    <w:semiHidden/>
    <w:unhideWhenUsed/>
    <w:qFormat/>
    <w:uiPriority w:val="99"/>
    <w:rPr>
      <w:b/>
      <w:bCs/>
    </w:rPr>
  </w:style>
  <w:style w:type="character" w:styleId="17">
    <w:name w:val="Hyperlink"/>
    <w:basedOn w:val="16"/>
    <w:unhideWhenUsed/>
    <w:qFormat/>
    <w:uiPriority w:val="99"/>
    <w:rPr>
      <w:color w:val="0563C1"/>
      <w:u w:val="single"/>
    </w:rPr>
  </w:style>
  <w:style w:type="character" w:styleId="18">
    <w:name w:val="annotation reference"/>
    <w:basedOn w:val="16"/>
    <w:semiHidden/>
    <w:unhideWhenUsed/>
    <w:qFormat/>
    <w:uiPriority w:val="99"/>
    <w:rPr>
      <w:sz w:val="21"/>
      <w:szCs w:val="21"/>
    </w:rPr>
  </w:style>
  <w:style w:type="character" w:styleId="19">
    <w:name w:val="footnote reference"/>
    <w:basedOn w:val="16"/>
    <w:semiHidden/>
    <w:unhideWhenUsed/>
    <w:qFormat/>
    <w:uiPriority w:val="99"/>
    <w:rPr>
      <w:vertAlign w:val="superscript"/>
    </w:rPr>
  </w:style>
  <w:style w:type="paragraph" w:customStyle="1" w:styleId="20">
    <w:name w:val="列出段落1"/>
    <w:basedOn w:val="1"/>
    <w:qFormat/>
    <w:uiPriority w:val="34"/>
    <w:pPr>
      <w:ind w:firstLine="420"/>
    </w:pPr>
  </w:style>
  <w:style w:type="paragraph" w:customStyle="1" w:styleId="21">
    <w:name w:val="TOC 标题1"/>
    <w:basedOn w:val="2"/>
    <w:next w:val="1"/>
    <w:unhideWhenUsed/>
    <w:qFormat/>
    <w:uiPriority w:val="39"/>
    <w:pPr>
      <w:widowControl/>
      <w:spacing w:before="240" w:after="0" w:line="259" w:lineRule="auto"/>
      <w:ind w:firstLine="0" w:firstLineChars="0"/>
      <w:jc w:val="left"/>
      <w:outlineLvl w:val="9"/>
    </w:pPr>
    <w:rPr>
      <w:rFonts w:ascii="等线 Light" w:hAnsi="等线 Light" w:eastAsia="等线 Light"/>
      <w:b w:val="0"/>
      <w:bCs w:val="0"/>
      <w:color w:val="2E5394"/>
      <w:kern w:val="0"/>
      <w:sz w:val="32"/>
      <w:szCs w:val="32"/>
    </w:rPr>
  </w:style>
  <w:style w:type="character" w:customStyle="1" w:styleId="22">
    <w:name w:val="页眉 Char"/>
    <w:basedOn w:val="16"/>
    <w:link w:val="10"/>
    <w:qFormat/>
    <w:uiPriority w:val="99"/>
    <w:rPr>
      <w:sz w:val="18"/>
      <w:szCs w:val="18"/>
    </w:rPr>
  </w:style>
  <w:style w:type="character" w:customStyle="1" w:styleId="23">
    <w:name w:val="页脚 Char"/>
    <w:basedOn w:val="16"/>
    <w:link w:val="9"/>
    <w:qFormat/>
    <w:uiPriority w:val="99"/>
    <w:rPr>
      <w:sz w:val="18"/>
      <w:szCs w:val="18"/>
    </w:rPr>
  </w:style>
  <w:style w:type="character" w:customStyle="1" w:styleId="24">
    <w:name w:val="日期 Char"/>
    <w:basedOn w:val="16"/>
    <w:link w:val="7"/>
    <w:qFormat/>
    <w:uiPriority w:val="99"/>
    <w:rPr>
      <w:rFonts w:ascii="Calibri" w:hAnsi="Calibri" w:eastAsia="仿宋_GB2312" w:cs="黑体"/>
      <w:sz w:val="28"/>
    </w:rPr>
  </w:style>
  <w:style w:type="character" w:customStyle="1" w:styleId="25">
    <w:name w:val="标题 2 Char"/>
    <w:basedOn w:val="16"/>
    <w:link w:val="3"/>
    <w:qFormat/>
    <w:uiPriority w:val="9"/>
    <w:rPr>
      <w:rFonts w:ascii="等线 Light" w:hAnsi="等线 Light" w:eastAsia="等线 Light" w:cs="黑体"/>
      <w:b/>
      <w:bCs/>
      <w:sz w:val="32"/>
      <w:szCs w:val="32"/>
    </w:rPr>
  </w:style>
  <w:style w:type="character" w:customStyle="1" w:styleId="26">
    <w:name w:val="脚注文本 Char"/>
    <w:basedOn w:val="16"/>
    <w:link w:val="12"/>
    <w:qFormat/>
    <w:uiPriority w:val="99"/>
    <w:rPr>
      <w:rFonts w:ascii="Calibri" w:hAnsi="Calibri" w:eastAsia="仿宋_GB2312" w:cs="黑体"/>
      <w:sz w:val="18"/>
      <w:szCs w:val="18"/>
    </w:rPr>
  </w:style>
  <w:style w:type="character" w:customStyle="1" w:styleId="27">
    <w:name w:val="标题 1 Char"/>
    <w:basedOn w:val="16"/>
    <w:link w:val="2"/>
    <w:qFormat/>
    <w:uiPriority w:val="9"/>
    <w:rPr>
      <w:rFonts w:ascii="Calibri" w:hAnsi="Calibri" w:eastAsia="仿宋_GB2312" w:cs="黑体"/>
      <w:b/>
      <w:bCs/>
      <w:kern w:val="44"/>
      <w:sz w:val="44"/>
      <w:szCs w:val="44"/>
    </w:rPr>
  </w:style>
  <w:style w:type="character" w:customStyle="1" w:styleId="28">
    <w:name w:val="批注文字 Char"/>
    <w:basedOn w:val="16"/>
    <w:link w:val="5"/>
    <w:qFormat/>
    <w:uiPriority w:val="99"/>
    <w:rPr>
      <w:rFonts w:ascii="Calibri" w:hAnsi="Calibri" w:eastAsia="仿宋_GB2312" w:cs="黑体"/>
      <w:sz w:val="28"/>
    </w:rPr>
  </w:style>
  <w:style w:type="character" w:customStyle="1" w:styleId="29">
    <w:name w:val="批注主题 Char"/>
    <w:basedOn w:val="28"/>
    <w:link w:val="14"/>
    <w:qFormat/>
    <w:uiPriority w:val="99"/>
    <w:rPr>
      <w:rFonts w:ascii="Calibri" w:hAnsi="Calibri" w:eastAsia="仿宋_GB2312" w:cs="黑体"/>
      <w:b/>
      <w:bCs/>
      <w:sz w:val="28"/>
    </w:rPr>
  </w:style>
  <w:style w:type="character" w:customStyle="1" w:styleId="30">
    <w:name w:val="批注框文本 Char"/>
    <w:basedOn w:val="16"/>
    <w:link w:val="8"/>
    <w:qFormat/>
    <w:uiPriority w:val="99"/>
    <w:rPr>
      <w:rFonts w:ascii="Calibri" w:hAnsi="Calibri" w:eastAsia="仿宋_GB2312" w:cs="黑体"/>
      <w:sz w:val="18"/>
      <w:szCs w:val="18"/>
    </w:rPr>
  </w:style>
  <w:style w:type="character" w:customStyle="1" w:styleId="31">
    <w:name w:val="标题 3 Char"/>
    <w:basedOn w:val="16"/>
    <w:link w:val="4"/>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microsoft.com/office/2011/relationships/people" Target="people.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27</Pages>
  <Words>10701</Words>
  <Characters>11357</Characters>
  <Lines>113</Lines>
  <Paragraphs>31</Paragraphs>
  <TotalTime>52</TotalTime>
  <ScaleCrop>false</ScaleCrop>
  <LinksUpToDate>false</LinksUpToDate>
  <CharactersWithSpaces>11418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2024-04-12T07:46:00Z</dcterms:created>
  <dc:creator>张 宇</dc:creator>
  <cp:lastModifiedBy>A  刘文武贝</cp:lastModifiedBy>
  <cp:lastPrinted>2024-05-15T05:20:00Z</cp:lastPrinted>
  <dcterms:modified xsi:type="dcterms:W3CDTF">2024-12-19T03:05:54Z</dcterms:modified>
  <dc:title>财政项目支出绩效评价报告</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873FCCC691B94EA5905BB935E06CCF54_12</vt:lpwstr>
  </property>
  <property fmtid="{D5CDD505-2E9C-101B-9397-08002B2CF9AE}" pid="4" name="KSOTemplateDocerSaveRecord">
    <vt:lpwstr>eyJoZGlkIjoiMzYxMjlhNDBmMDQ5M2Q1ZDgyNjFmMGIwZjk4MDk2MzgiLCJ1c2VySWQiOiIzNzI2MDMzNTYifQ==</vt:lpwstr>
  </property>
</Properties>
</file>