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30A899">
      <w:pPr>
        <w:spacing w:line="480" w:lineRule="auto"/>
        <w:ind w:firstLine="0" w:firstLineChars="0"/>
        <w:rPr>
          <w:rFonts w:ascii="Times New Roman" w:hAnsi="Times New Roman" w:eastAsia="黑体" w:cs="Times New Roman"/>
          <w:b/>
          <w:kern w:val="0"/>
          <w:sz w:val="50"/>
          <w:szCs w:val="50"/>
          <w:lang w:bidi="en-US"/>
        </w:rPr>
      </w:pPr>
    </w:p>
    <w:p w14:paraId="44C0E24E">
      <w:pPr>
        <w:spacing w:line="480" w:lineRule="auto"/>
        <w:ind w:firstLine="0" w:firstLineChars="0"/>
        <w:rPr>
          <w:rFonts w:ascii="Times New Roman" w:hAnsi="Times New Roman" w:eastAsia="黑体" w:cs="Times New Roman"/>
          <w:b/>
          <w:kern w:val="0"/>
          <w:sz w:val="50"/>
          <w:szCs w:val="50"/>
          <w:lang w:bidi="en-US"/>
        </w:rPr>
      </w:pPr>
    </w:p>
    <w:p w14:paraId="36B69364">
      <w:pPr>
        <w:spacing w:line="480" w:lineRule="auto"/>
        <w:ind w:firstLine="0" w:firstLineChars="0"/>
        <w:jc w:val="center"/>
        <w:rPr>
          <w:rFonts w:ascii="Times New Roman" w:hAnsi="Times New Roman" w:eastAsia="黑体" w:cs="Times New Roman"/>
          <w:b/>
          <w:kern w:val="0"/>
          <w:sz w:val="50"/>
          <w:szCs w:val="50"/>
          <w:lang w:bidi="en-US"/>
        </w:rPr>
      </w:pPr>
    </w:p>
    <w:p w14:paraId="154140FE">
      <w:pPr>
        <w:spacing w:before="120" w:after="120" w:line="480" w:lineRule="auto"/>
        <w:ind w:firstLine="0" w:firstLineChars="0"/>
        <w:jc w:val="center"/>
        <w:rPr>
          <w:rFonts w:ascii="仿宋_GB2312" w:hAnsi="Arial"/>
          <w:b/>
          <w:sz w:val="44"/>
          <w:szCs w:val="44"/>
        </w:rPr>
      </w:pPr>
      <w:r>
        <w:rPr>
          <w:rFonts w:hint="eastAsia" w:ascii="仿宋_GB2312" w:hAnsi="Arial"/>
          <w:b/>
          <w:sz w:val="44"/>
          <w:szCs w:val="44"/>
        </w:rPr>
        <w:t>财政项目支出绩效评价报告</w:t>
      </w:r>
    </w:p>
    <w:p w14:paraId="036705B4">
      <w:pPr>
        <w:spacing w:line="480" w:lineRule="auto"/>
        <w:ind w:firstLine="0" w:firstLineChars="0"/>
        <w:jc w:val="center"/>
        <w:rPr>
          <w:rFonts w:ascii="Times New Roman" w:hAnsi="Times New Roman" w:eastAsia="黑体" w:cs="Times New Roman"/>
          <w:b/>
          <w:kern w:val="0"/>
          <w:sz w:val="50"/>
          <w:szCs w:val="50"/>
          <w:lang w:bidi="en-US"/>
        </w:rPr>
      </w:pPr>
    </w:p>
    <w:p w14:paraId="22526B10">
      <w:pPr>
        <w:spacing w:line="480" w:lineRule="auto"/>
        <w:ind w:firstLine="0" w:firstLineChars="0"/>
        <w:jc w:val="center"/>
        <w:rPr>
          <w:rFonts w:ascii="Times New Roman" w:hAnsi="Times New Roman" w:eastAsia="黑体" w:cs="Times New Roman"/>
          <w:b/>
          <w:kern w:val="0"/>
          <w:sz w:val="50"/>
          <w:szCs w:val="50"/>
          <w:lang w:bidi="en-US"/>
        </w:rPr>
      </w:pPr>
    </w:p>
    <w:p w14:paraId="4EE1FFC8">
      <w:pPr>
        <w:spacing w:line="480" w:lineRule="auto"/>
        <w:ind w:firstLine="0" w:firstLineChars="0"/>
        <w:jc w:val="center"/>
        <w:rPr>
          <w:rFonts w:ascii="Times New Roman" w:hAnsi="Times New Roman" w:eastAsia="黑体" w:cs="Times New Roman"/>
          <w:b/>
          <w:kern w:val="0"/>
          <w:sz w:val="50"/>
          <w:szCs w:val="50"/>
          <w:lang w:bidi="en-US"/>
        </w:rPr>
      </w:pPr>
    </w:p>
    <w:p w14:paraId="4F1E739F">
      <w:pPr>
        <w:spacing w:line="480" w:lineRule="auto"/>
        <w:ind w:firstLine="0" w:firstLineChars="0"/>
        <w:jc w:val="center"/>
        <w:rPr>
          <w:rFonts w:ascii="Times New Roman" w:hAnsi="Times New Roman" w:eastAsia="黑体" w:cs="Times New Roman"/>
          <w:b/>
          <w:kern w:val="0"/>
          <w:sz w:val="50"/>
          <w:szCs w:val="50"/>
          <w:lang w:bidi="en-US"/>
        </w:rPr>
      </w:pPr>
    </w:p>
    <w:p w14:paraId="5E467E0A">
      <w:pPr>
        <w:spacing w:line="480" w:lineRule="auto"/>
        <w:ind w:firstLine="0" w:firstLineChars="0"/>
        <w:jc w:val="center"/>
        <w:rPr>
          <w:rFonts w:ascii="Times New Roman" w:hAnsi="Times New Roman" w:eastAsia="黑体" w:cs="Times New Roman"/>
          <w:b/>
          <w:kern w:val="0"/>
          <w:sz w:val="50"/>
          <w:szCs w:val="50"/>
          <w:lang w:bidi="en-US"/>
        </w:rPr>
      </w:pPr>
    </w:p>
    <w:p w14:paraId="515E3952">
      <w:pPr>
        <w:spacing w:line="480" w:lineRule="auto"/>
        <w:ind w:firstLine="0" w:firstLineChars="0"/>
        <w:jc w:val="center"/>
        <w:rPr>
          <w:rFonts w:ascii="Times New Roman" w:hAnsi="Times New Roman" w:eastAsia="黑体" w:cs="Times New Roman"/>
          <w:b/>
          <w:kern w:val="0"/>
          <w:sz w:val="50"/>
          <w:szCs w:val="50"/>
          <w:lang w:bidi="en-US"/>
        </w:rPr>
      </w:pPr>
    </w:p>
    <w:p w14:paraId="26C9EA03">
      <w:pPr>
        <w:spacing w:line="480" w:lineRule="auto"/>
        <w:ind w:firstLine="0" w:firstLineChars="0"/>
        <w:jc w:val="center"/>
        <w:rPr>
          <w:rFonts w:ascii="仿宋_GB2312" w:hAnsi="Times New Roman" w:cs="Times New Roman"/>
          <w:kern w:val="0"/>
          <w:sz w:val="30"/>
          <w:szCs w:val="30"/>
          <w:lang w:bidi="en-US"/>
        </w:rPr>
      </w:pPr>
    </w:p>
    <w:p w14:paraId="2B234C28">
      <w:pPr>
        <w:spacing w:line="480" w:lineRule="auto"/>
        <w:ind w:firstLine="1411" w:firstLineChars="4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项目名称：2023年中央财政医疗服务与保障能力提升（卫生健康人才培养）补助资金</w:t>
      </w:r>
      <w:r>
        <w:rPr>
          <w:rFonts w:ascii="仿宋_GB2312" w:hAnsi="Times New Roman" w:cs="Times New Roman"/>
          <w:kern w:val="0"/>
          <w:sz w:val="32"/>
          <w:szCs w:val="32"/>
          <w:lang w:bidi="en-US"/>
        </w:rPr>
        <w:t xml:space="preserve"> </w:t>
      </w:r>
    </w:p>
    <w:p w14:paraId="042D76EC">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项目单位：乌鲁木齐市中医医院</w:t>
      </w:r>
      <w:r>
        <w:rPr>
          <w:rFonts w:ascii="仿宋_GB2312" w:hAnsi="Times New Roman" w:cs="Times New Roman"/>
          <w:kern w:val="0"/>
          <w:sz w:val="32"/>
          <w:szCs w:val="32"/>
          <w:lang w:bidi="en-US"/>
        </w:rPr>
        <w:t xml:space="preserve"> </w:t>
      </w:r>
    </w:p>
    <w:p w14:paraId="5F37EDC9">
      <w:pPr>
        <w:spacing w:line="480" w:lineRule="auto"/>
        <w:ind w:left="280" w:leftChars="100" w:firstLine="1091" w:firstLineChars="341"/>
        <w:jc w:val="left"/>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主管部门：乌鲁木齐市卫生健康委员会</w:t>
      </w:r>
    </w:p>
    <w:p w14:paraId="7FAA1EBE">
      <w:pPr>
        <w:spacing w:line="480" w:lineRule="auto"/>
        <w:ind w:firstLine="1411" w:firstLineChars="441"/>
        <w:jc w:val="left"/>
        <w:rPr>
          <w:rFonts w:ascii="仿宋_GB2312" w:hAnsi="Times New Roman" w:cs="Times New Roman"/>
          <w:kern w:val="0"/>
          <w:sz w:val="32"/>
          <w:szCs w:val="32"/>
          <w:lang w:bidi="en-US"/>
        </w:rPr>
      </w:pPr>
    </w:p>
    <w:p w14:paraId="3C6A605A">
      <w:pPr>
        <w:spacing w:line="480" w:lineRule="auto"/>
        <w:ind w:firstLine="0" w:firstLineChars="0"/>
        <w:rPr>
          <w:rFonts w:ascii="黑体" w:hAnsi="Times New Roman" w:eastAsia="黑体" w:cs="Times New Roman"/>
          <w:b/>
          <w:kern w:val="0"/>
          <w:sz w:val="32"/>
          <w:szCs w:val="32"/>
          <w:lang w:bidi="en-US"/>
        </w:rPr>
      </w:pPr>
    </w:p>
    <w:p w14:paraId="57FF23F3">
      <w:pPr>
        <w:spacing w:line="480" w:lineRule="auto"/>
        <w:ind w:firstLine="0" w:firstLineChars="0"/>
        <w:rPr>
          <w:rFonts w:ascii="黑体" w:hAnsi="Times New Roman" w:eastAsia="黑体" w:cs="Times New Roman"/>
          <w:b/>
          <w:kern w:val="0"/>
          <w:sz w:val="32"/>
          <w:szCs w:val="32"/>
          <w:lang w:bidi="en-US"/>
        </w:rPr>
      </w:pPr>
    </w:p>
    <w:p w14:paraId="72131783">
      <w:pPr>
        <w:spacing w:line="480" w:lineRule="auto"/>
        <w:ind w:firstLine="0" w:firstLineChars="0"/>
        <w:jc w:val="center"/>
        <w:rPr>
          <w:rFonts w:ascii="仿宋_GB2312" w:hAnsi="Times New Roman" w:cs="Times New Roman"/>
          <w:kern w:val="0"/>
          <w:sz w:val="32"/>
          <w:szCs w:val="32"/>
          <w:lang w:bidi="en-US"/>
        </w:rPr>
      </w:pPr>
      <w:r>
        <w:rPr>
          <w:rFonts w:hint="eastAsia" w:ascii="仿宋_GB2312" w:hAnsi="Times New Roman" w:cs="Times New Roman"/>
          <w:kern w:val="0"/>
          <w:sz w:val="32"/>
          <w:szCs w:val="32"/>
          <w:lang w:bidi="en-US"/>
        </w:rPr>
        <w:t>2023年04月</w:t>
      </w:r>
    </w:p>
    <w:p w14:paraId="6179EE8E">
      <w:pPr>
        <w:spacing w:line="480" w:lineRule="auto"/>
        <w:ind w:firstLine="0" w:firstLineChars="0"/>
        <w:jc w:val="center"/>
        <w:rPr>
          <w:rFonts w:ascii="仿宋_GB2312" w:hAnsi="Times New Roman" w:cs="Times New Roman"/>
          <w:kern w:val="0"/>
          <w:sz w:val="32"/>
          <w:szCs w:val="32"/>
          <w:lang w:bidi="en-US"/>
        </w:rPr>
      </w:pPr>
      <w:bookmarkStart w:id="64" w:name="_GoBack"/>
      <w:bookmarkEnd w:id="64"/>
    </w:p>
    <w:p w14:paraId="1DC1A211">
      <w:pPr>
        <w:tabs>
          <w:tab w:val="left" w:pos="3324"/>
        </w:tabs>
        <w:spacing w:line="480" w:lineRule="auto"/>
        <w:ind w:firstLine="0" w:firstLineChars="0"/>
        <w:rPr>
          <w:rFonts w:ascii="仿宋_GB2312" w:hAnsi="Times New Roman" w:cs="Times New Roman"/>
          <w:kern w:val="0"/>
          <w:sz w:val="32"/>
          <w:szCs w:val="32"/>
          <w:lang w:bidi="en-US"/>
        </w:rPr>
      </w:pPr>
      <w:r>
        <w:rPr>
          <w:rFonts w:ascii="仿宋_GB2312" w:hAnsi="Times New Roman" w:cs="Times New Roman"/>
          <w:kern w:val="0"/>
          <w:sz w:val="32"/>
          <w:szCs w:val="32"/>
          <w:lang w:bidi="en-US"/>
        </w:rPr>
        <w:tab/>
      </w:r>
    </w:p>
    <w:p w14:paraId="28732FE8">
      <w:pPr>
        <w:ind w:firstLine="640"/>
        <w:rPr>
          <w:rFonts w:ascii="仿宋_GB2312" w:hAnsi="Times New Roman" w:cs="Times New Roman"/>
          <w:kern w:val="0"/>
          <w:sz w:val="32"/>
          <w:szCs w:val="32"/>
          <w:lang w:bidi="en-US"/>
        </w:rPr>
      </w:pPr>
    </w:p>
    <w:sdt>
      <w:sdtPr>
        <w:rPr>
          <w:rFonts w:ascii="Calibri" w:hAnsi="Calibri" w:eastAsia="仿宋_GB2312" w:cs="黑体"/>
          <w:color w:val="auto"/>
          <w:kern w:val="2"/>
          <w:sz w:val="28"/>
          <w:szCs w:val="22"/>
          <w:lang w:val="zh-CN"/>
        </w:rPr>
        <w:id w:val="-1822651860"/>
        <w:docPartObj>
          <w:docPartGallery w:val="Table of Contents"/>
          <w:docPartUnique/>
        </w:docPartObj>
      </w:sdtPr>
      <w:sdtEndPr>
        <w:rPr>
          <w:rFonts w:ascii="Calibri" w:hAnsi="Calibri" w:eastAsia="仿宋_GB2312" w:cs="黑体"/>
          <w:b/>
          <w:bCs/>
          <w:color w:val="auto"/>
          <w:kern w:val="2"/>
          <w:sz w:val="28"/>
          <w:szCs w:val="22"/>
          <w:lang w:val="zh-CN"/>
        </w:rPr>
      </w:sdtEndPr>
      <w:sdtContent>
        <w:p w14:paraId="6601A6EE">
          <w:pPr>
            <w:pStyle w:val="29"/>
            <w:ind w:firstLine="560"/>
            <w:jc w:val="center"/>
            <w:rPr>
              <w:color w:val="auto"/>
            </w:rPr>
          </w:pPr>
          <w:r>
            <w:rPr>
              <w:color w:val="auto"/>
              <w:lang w:val="zh-CN"/>
            </w:rPr>
            <w:t>目录</w:t>
          </w:r>
        </w:p>
        <w:p w14:paraId="686DD585">
          <w:pPr>
            <w:pStyle w:val="11"/>
            <w:tabs>
              <w:tab w:val="right" w:leader="dot" w:pos="8296"/>
            </w:tabs>
            <w:ind w:firstLine="560"/>
            <w:rPr>
              <w:rFonts w:asciiTheme="minorHAnsi" w:hAnsiTheme="minorHAnsi" w:eastAsiaTheme="minorEastAsia" w:cstheme="minorBidi"/>
              <w:sz w:val="21"/>
            </w:rPr>
          </w:pPr>
          <w:r>
            <w:fldChar w:fldCharType="begin"/>
          </w:r>
          <w:r>
            <w:instrText xml:space="preserve"> TOC \o "1-3" \h \z \u </w:instrText>
          </w:r>
          <w:r>
            <w:fldChar w:fldCharType="separate"/>
          </w:r>
          <w:r>
            <w:fldChar w:fldCharType="begin"/>
          </w:r>
          <w:r>
            <w:instrText xml:space="preserve"> HYPERLINK \l "_Toc165277220" </w:instrText>
          </w:r>
          <w:r>
            <w:fldChar w:fldCharType="separate"/>
          </w:r>
          <w:r>
            <w:rPr>
              <w:rStyle w:val="18"/>
              <w:rFonts w:hint="eastAsia" w:ascii="仿宋" w:hAnsi="仿宋" w:eastAsia="仿宋"/>
              <w:lang w:bidi="en-US"/>
            </w:rPr>
            <w:t>一、基本情况</w:t>
          </w:r>
          <w:r>
            <w:tab/>
          </w:r>
          <w:r>
            <w:fldChar w:fldCharType="begin"/>
          </w:r>
          <w:r>
            <w:instrText xml:space="preserve"> PAGEREF _Toc165277220 \h </w:instrText>
          </w:r>
          <w:r>
            <w:fldChar w:fldCharType="separate"/>
          </w:r>
          <w:r>
            <w:t>1</w:t>
          </w:r>
          <w:r>
            <w:fldChar w:fldCharType="end"/>
          </w:r>
          <w:r>
            <w:fldChar w:fldCharType="end"/>
          </w:r>
        </w:p>
        <w:p w14:paraId="58A54015">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"_Toc165277221" </w:instrText>
          </w:r>
          <w:r>
            <w:fldChar w:fldCharType="separate"/>
          </w:r>
          <w:r>
            <w:rPr>
              <w:rStyle w:val="18"/>
              <w:rFonts w:hint="eastAsia" w:ascii="仿宋" w:hAnsi="仿宋" w:eastAsia="仿宋"/>
              <w:lang w:bidi="en-US"/>
            </w:rPr>
            <w:t>（一）项目概况：</w:t>
          </w:r>
          <w:r>
            <w:tab/>
          </w:r>
          <w:r>
            <w:fldChar w:fldCharType="begin"/>
          </w:r>
          <w:r>
            <w:instrText xml:space="preserve"> PAGEREF _Toc165277221 \h </w:instrText>
          </w:r>
          <w:r>
            <w:fldChar w:fldCharType="separate"/>
          </w:r>
          <w:r>
            <w:t>1</w:t>
          </w:r>
          <w:r>
            <w:fldChar w:fldCharType="end"/>
          </w:r>
          <w:r>
            <w:fldChar w:fldCharType="end"/>
          </w:r>
        </w:p>
        <w:p w14:paraId="56984DA1">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"_Toc165277222" </w:instrText>
          </w:r>
          <w:r>
            <w:fldChar w:fldCharType="separate"/>
          </w:r>
          <w:r>
            <w:rPr>
              <w:rStyle w:val="18"/>
            </w:rPr>
            <w:t>1</w:t>
          </w:r>
          <w:r>
            <w:rPr>
              <w:rStyle w:val="18"/>
              <w:rFonts w:hint="eastAsia"/>
            </w:rPr>
            <w:t>．项目背景、主要内容及实施情况</w:t>
          </w:r>
          <w:r>
            <w:tab/>
          </w:r>
          <w:r>
            <w:fldChar w:fldCharType="begin"/>
          </w:r>
          <w:r>
            <w:instrText xml:space="preserve"> PAGEREF _Toc165277222 \h </w:instrText>
          </w:r>
          <w:r>
            <w:fldChar w:fldCharType="separate"/>
          </w:r>
          <w:r>
            <w:t>1</w:t>
          </w:r>
          <w:r>
            <w:fldChar w:fldCharType="end"/>
          </w:r>
          <w:r>
            <w:fldChar w:fldCharType="end"/>
          </w:r>
        </w:p>
        <w:p w14:paraId="2BE6F7D3">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"_Toc165277223" </w:instrText>
          </w:r>
          <w:r>
            <w:fldChar w:fldCharType="separate"/>
          </w:r>
          <w:r>
            <w:rPr>
              <w:rStyle w:val="18"/>
            </w:rPr>
            <w:t>2.</w:t>
          </w:r>
          <w:r>
            <w:rPr>
              <w:rStyle w:val="18"/>
              <w:rFonts w:hint="eastAsia"/>
            </w:rPr>
            <w:t>资金投入和使用情况</w:t>
          </w:r>
          <w:r>
            <w:tab/>
          </w:r>
          <w:r>
            <w:fldChar w:fldCharType="begin"/>
          </w:r>
          <w:r>
            <w:instrText xml:space="preserve"> PAGEREF _Toc165277223 \h </w:instrText>
          </w:r>
          <w:r>
            <w:fldChar w:fldCharType="separate"/>
          </w:r>
          <w:r>
            <w:t>1</w:t>
          </w:r>
          <w:r>
            <w:fldChar w:fldCharType="end"/>
          </w:r>
          <w:r>
            <w:fldChar w:fldCharType="end"/>
          </w:r>
        </w:p>
        <w:p w14:paraId="56BE276D">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"_Toc165277224" </w:instrText>
          </w:r>
          <w:r>
            <w:fldChar w:fldCharType="separate"/>
          </w:r>
          <w:r>
            <w:rPr>
              <w:rStyle w:val="18"/>
              <w:rFonts w:hint="eastAsia" w:ascii="仿宋" w:hAnsi="仿宋" w:eastAsia="仿宋"/>
              <w:lang w:bidi="en-US"/>
            </w:rPr>
            <w:t>（二）项目绩效目标：</w:t>
          </w:r>
          <w:r>
            <w:tab/>
          </w:r>
          <w:r>
            <w:fldChar w:fldCharType="begin"/>
          </w:r>
          <w:r>
            <w:instrText xml:space="preserve"> PAGEREF _Toc165277224 \h </w:instrText>
          </w:r>
          <w:r>
            <w:fldChar w:fldCharType="separate"/>
          </w:r>
          <w:r>
            <w:t>1</w:t>
          </w:r>
          <w:r>
            <w:fldChar w:fldCharType="end"/>
          </w:r>
          <w:r>
            <w:fldChar w:fldCharType="end"/>
          </w:r>
        </w:p>
        <w:p w14:paraId="57FB6F44">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"_Toc165277225" </w:instrText>
          </w:r>
          <w:r>
            <w:fldChar w:fldCharType="separate"/>
          </w:r>
          <w:r>
            <w:rPr>
              <w:rStyle w:val="18"/>
              <w:rFonts w:hint="eastAsia" w:ascii="仿宋" w:hAnsi="仿宋" w:eastAsia="仿宋"/>
              <w:lang w:bidi="en-US"/>
            </w:rPr>
            <w:t>二、绩效评价工作开展情况</w:t>
          </w:r>
          <w:r>
            <w:tab/>
          </w:r>
          <w:r>
            <w:fldChar w:fldCharType="begin"/>
          </w:r>
          <w:r>
            <w:instrText xml:space="preserve"> PAGEREF _Toc165277225 \h </w:instrText>
          </w:r>
          <w:r>
            <w:fldChar w:fldCharType="separate"/>
          </w:r>
          <w:r>
            <w:t>2</w:t>
          </w:r>
          <w:r>
            <w:fldChar w:fldCharType="end"/>
          </w:r>
          <w:r>
            <w:fldChar w:fldCharType="end"/>
          </w:r>
        </w:p>
        <w:p w14:paraId="63E86868">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"_Toc165277226" </w:instrText>
          </w:r>
          <w:r>
            <w:fldChar w:fldCharType="separate"/>
          </w:r>
          <w:r>
            <w:rPr>
              <w:rStyle w:val="18"/>
              <w:rFonts w:hint="eastAsia" w:ascii="仿宋" w:hAnsi="仿宋" w:eastAsia="仿宋"/>
              <w:lang w:bidi="en-US"/>
            </w:rPr>
            <w:t>（一）绩效评价目的、对象和范围</w:t>
          </w:r>
          <w:r>
            <w:tab/>
          </w:r>
          <w:r>
            <w:fldChar w:fldCharType="begin"/>
          </w:r>
          <w:r>
            <w:instrText xml:space="preserve"> PAGEREF _Toc165277226 \h </w:instrText>
          </w:r>
          <w:r>
            <w:fldChar w:fldCharType="separate"/>
          </w:r>
          <w:r>
            <w:t>2</w:t>
          </w:r>
          <w:r>
            <w:fldChar w:fldCharType="end"/>
          </w:r>
          <w:r>
            <w:fldChar w:fldCharType="end"/>
          </w:r>
        </w:p>
        <w:p w14:paraId="65FA3C6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"_Toc165277227" </w:instrText>
          </w:r>
          <w:r>
            <w:fldChar w:fldCharType="separate"/>
          </w:r>
          <w:r>
            <w:rPr>
              <w:rStyle w:val="18"/>
            </w:rPr>
            <w:t>1.</w:t>
          </w:r>
          <w:r>
            <w:rPr>
              <w:rStyle w:val="18"/>
              <w:rFonts w:hint="eastAsia"/>
            </w:rPr>
            <w:t>绩效评价完整性</w:t>
          </w:r>
          <w:r>
            <w:tab/>
          </w:r>
          <w:r>
            <w:fldChar w:fldCharType="begin"/>
          </w:r>
          <w:r>
            <w:instrText xml:space="preserve"> PAGEREF _Toc165277227 \h </w:instrText>
          </w:r>
          <w:r>
            <w:fldChar w:fldCharType="separate"/>
          </w:r>
          <w:r>
            <w:t>2</w:t>
          </w:r>
          <w:r>
            <w:fldChar w:fldCharType="end"/>
          </w:r>
          <w:r>
            <w:fldChar w:fldCharType="end"/>
          </w:r>
        </w:p>
        <w:p w14:paraId="4BEC9828">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"_Toc165277228" </w:instrText>
          </w:r>
          <w:r>
            <w:fldChar w:fldCharType="separate"/>
          </w:r>
          <w:r>
            <w:rPr>
              <w:rStyle w:val="18"/>
            </w:rPr>
            <w:t>2.</w:t>
          </w:r>
          <w:r>
            <w:rPr>
              <w:rStyle w:val="18"/>
              <w:rFonts w:hint="eastAsia"/>
            </w:rPr>
            <w:t>评价目的</w:t>
          </w:r>
          <w:r>
            <w:tab/>
          </w:r>
          <w:r>
            <w:fldChar w:fldCharType="begin"/>
          </w:r>
          <w:r>
            <w:instrText xml:space="preserve"> PAGEREF _Toc165277228 \h </w:instrText>
          </w:r>
          <w:r>
            <w:fldChar w:fldCharType="separate"/>
          </w:r>
          <w:r>
            <w:t>3</w:t>
          </w:r>
          <w:r>
            <w:fldChar w:fldCharType="end"/>
          </w:r>
          <w:r>
            <w:fldChar w:fldCharType="end"/>
          </w:r>
        </w:p>
        <w:p w14:paraId="4E9614B7">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"_Toc165277229" </w:instrText>
          </w:r>
          <w:r>
            <w:fldChar w:fldCharType="separate"/>
          </w:r>
          <w:r>
            <w:rPr>
              <w:rStyle w:val="18"/>
            </w:rPr>
            <w:t>3.</w:t>
          </w:r>
          <w:r>
            <w:rPr>
              <w:rStyle w:val="18"/>
              <w:rFonts w:hint="eastAsia"/>
            </w:rPr>
            <w:t>评价对象</w:t>
          </w:r>
          <w:r>
            <w:tab/>
          </w:r>
          <w:r>
            <w:fldChar w:fldCharType="begin"/>
          </w:r>
          <w:r>
            <w:instrText xml:space="preserve"> PAGEREF _Toc165277229 \h </w:instrText>
          </w:r>
          <w:r>
            <w:fldChar w:fldCharType="separate"/>
          </w:r>
          <w:r>
            <w:t>3</w:t>
          </w:r>
          <w:r>
            <w:fldChar w:fldCharType="end"/>
          </w:r>
          <w:r>
            <w:fldChar w:fldCharType="end"/>
          </w:r>
        </w:p>
        <w:p w14:paraId="6EA596AE">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"_Toc165277230" </w:instrText>
          </w:r>
          <w:r>
            <w:fldChar w:fldCharType="separate"/>
          </w:r>
          <w:r>
            <w:rPr>
              <w:rStyle w:val="18"/>
            </w:rPr>
            <w:t>4.</w:t>
          </w:r>
          <w:r>
            <w:rPr>
              <w:rStyle w:val="18"/>
              <w:rFonts w:hint="eastAsia"/>
            </w:rPr>
            <w:t>绩效评价范围</w:t>
          </w:r>
          <w:r>
            <w:tab/>
          </w:r>
          <w:r>
            <w:fldChar w:fldCharType="begin"/>
          </w:r>
          <w:r>
            <w:instrText xml:space="preserve"> PAGEREF _Toc165277230 \h </w:instrText>
          </w:r>
          <w:r>
            <w:fldChar w:fldCharType="separate"/>
          </w:r>
          <w:r>
            <w:t>3</w:t>
          </w:r>
          <w:r>
            <w:fldChar w:fldCharType="end"/>
          </w:r>
          <w:r>
            <w:fldChar w:fldCharType="end"/>
          </w:r>
        </w:p>
        <w:p w14:paraId="6192881F">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"_Toc165277231" </w:instrText>
          </w:r>
          <w:r>
            <w:fldChar w:fldCharType="separate"/>
          </w:r>
          <w:r>
            <w:rPr>
              <w:rStyle w:val="18"/>
              <w:rFonts w:hint="eastAsia" w:ascii="仿宋" w:hAnsi="仿宋" w:eastAsia="仿宋"/>
              <w:lang w:bidi="en-US"/>
            </w:rPr>
            <w:t>（二）绩效评价原则、指标体系、方法及标准</w:t>
          </w:r>
          <w:r>
            <w:tab/>
          </w:r>
          <w:r>
            <w:fldChar w:fldCharType="begin"/>
          </w:r>
          <w:r>
            <w:instrText xml:space="preserve"> PAGEREF _Toc165277231 \h </w:instrText>
          </w:r>
          <w:r>
            <w:fldChar w:fldCharType="separate"/>
          </w:r>
          <w:r>
            <w:t>4</w:t>
          </w:r>
          <w:r>
            <w:fldChar w:fldCharType="end"/>
          </w:r>
          <w:r>
            <w:fldChar w:fldCharType="end"/>
          </w:r>
        </w:p>
        <w:p w14:paraId="4D7CF14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"_Toc165277232" </w:instrText>
          </w:r>
          <w:r>
            <w:fldChar w:fldCharType="separate"/>
          </w:r>
          <w:r>
            <w:rPr>
              <w:rStyle w:val="18"/>
            </w:rPr>
            <w:t>1.</w:t>
          </w:r>
          <w:r>
            <w:rPr>
              <w:rStyle w:val="18"/>
              <w:rFonts w:hint="eastAsia"/>
            </w:rPr>
            <w:t>评价原则</w:t>
          </w:r>
          <w:r>
            <w:tab/>
          </w:r>
          <w:r>
            <w:fldChar w:fldCharType="begin"/>
          </w:r>
          <w:r>
            <w:instrText xml:space="preserve"> PAGEREF _Toc165277232 \h </w:instrText>
          </w:r>
          <w:r>
            <w:fldChar w:fldCharType="separate"/>
          </w:r>
          <w:r>
            <w:t>4</w:t>
          </w:r>
          <w:r>
            <w:fldChar w:fldCharType="end"/>
          </w:r>
          <w:r>
            <w:fldChar w:fldCharType="end"/>
          </w:r>
        </w:p>
        <w:p w14:paraId="4D419087">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"_Toc165277233" </w:instrText>
          </w:r>
          <w:r>
            <w:fldChar w:fldCharType="separate"/>
          </w:r>
          <w:r>
            <w:rPr>
              <w:rStyle w:val="18"/>
            </w:rPr>
            <w:t>2.</w:t>
          </w:r>
          <w:r>
            <w:rPr>
              <w:rStyle w:val="18"/>
              <w:rFonts w:hint="eastAsia"/>
            </w:rPr>
            <w:t>评价指标体系</w:t>
          </w:r>
          <w:r>
            <w:tab/>
          </w:r>
          <w:r>
            <w:fldChar w:fldCharType="begin"/>
          </w:r>
          <w:r>
            <w:instrText xml:space="preserve"> PAGEREF _Toc165277233 \h </w:instrText>
          </w:r>
          <w:r>
            <w:fldChar w:fldCharType="separate"/>
          </w:r>
          <w:r>
            <w:t>4</w:t>
          </w:r>
          <w:r>
            <w:fldChar w:fldCharType="end"/>
          </w:r>
          <w:r>
            <w:fldChar w:fldCharType="end"/>
          </w:r>
        </w:p>
        <w:p w14:paraId="6752736A">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"_Toc165277234" </w:instrText>
          </w:r>
          <w:r>
            <w:fldChar w:fldCharType="separate"/>
          </w:r>
          <w:r>
            <w:rPr>
              <w:rStyle w:val="18"/>
            </w:rPr>
            <w:t>3.</w:t>
          </w:r>
          <w:r>
            <w:rPr>
              <w:rStyle w:val="18"/>
              <w:rFonts w:hint="eastAsia"/>
            </w:rPr>
            <w:t>评价方法</w:t>
          </w:r>
          <w:r>
            <w:tab/>
          </w:r>
          <w:r>
            <w:fldChar w:fldCharType="begin"/>
          </w:r>
          <w:r>
            <w:instrText xml:space="preserve"> PAGEREF _Toc165277234 \h </w:instrText>
          </w:r>
          <w:r>
            <w:fldChar w:fldCharType="separate"/>
          </w:r>
          <w:r>
            <w:t>12</w:t>
          </w:r>
          <w:r>
            <w:fldChar w:fldCharType="end"/>
          </w:r>
          <w:r>
            <w:fldChar w:fldCharType="end"/>
          </w:r>
        </w:p>
        <w:p w14:paraId="6122AAAF">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"_Toc165277235" </w:instrText>
          </w:r>
          <w:r>
            <w:fldChar w:fldCharType="separate"/>
          </w:r>
          <w:r>
            <w:rPr>
              <w:rStyle w:val="18"/>
            </w:rPr>
            <w:t>4.</w:t>
          </w:r>
          <w:r>
            <w:rPr>
              <w:rStyle w:val="18"/>
              <w:rFonts w:hint="eastAsia"/>
            </w:rPr>
            <w:t>评价标准</w:t>
          </w:r>
          <w:r>
            <w:tab/>
          </w:r>
          <w:r>
            <w:fldChar w:fldCharType="begin"/>
          </w:r>
          <w:r>
            <w:instrText xml:space="preserve"> PAGEREF _Toc165277235 \h </w:instrText>
          </w:r>
          <w:r>
            <w:fldChar w:fldCharType="separate"/>
          </w:r>
          <w:r>
            <w:t>13</w:t>
          </w:r>
          <w:r>
            <w:fldChar w:fldCharType="end"/>
          </w:r>
          <w:r>
            <w:fldChar w:fldCharType="end"/>
          </w:r>
        </w:p>
        <w:p w14:paraId="09FADB1D">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"_Toc165277236" </w:instrText>
          </w:r>
          <w:r>
            <w:fldChar w:fldCharType="separate"/>
          </w:r>
          <w:r>
            <w:rPr>
              <w:rStyle w:val="18"/>
              <w:rFonts w:hint="eastAsia" w:ascii="仿宋" w:hAnsi="仿宋" w:eastAsia="仿宋"/>
              <w:lang w:bidi="en-US"/>
            </w:rPr>
            <w:t>（三）绩效评价工作过程</w:t>
          </w:r>
          <w:r>
            <w:tab/>
          </w:r>
          <w:r>
            <w:fldChar w:fldCharType="begin"/>
          </w:r>
          <w:r>
            <w:instrText xml:space="preserve"> PAGEREF _Toc165277236 \h </w:instrText>
          </w:r>
          <w:r>
            <w:fldChar w:fldCharType="separate"/>
          </w:r>
          <w:r>
            <w:t>13</w:t>
          </w:r>
          <w:r>
            <w:fldChar w:fldCharType="end"/>
          </w:r>
          <w:r>
            <w:fldChar w:fldCharType="end"/>
          </w:r>
        </w:p>
        <w:p w14:paraId="77B48B59">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"_Toc165277237" </w:instrText>
          </w:r>
          <w:r>
            <w:fldChar w:fldCharType="separate"/>
          </w:r>
          <w:r>
            <w:rPr>
              <w:rStyle w:val="18"/>
              <w:rFonts w:hint="eastAsia" w:ascii="仿宋" w:hAnsi="仿宋" w:eastAsia="仿宋"/>
              <w:lang w:bidi="en-US"/>
            </w:rPr>
            <w:t>三、综合评价情况及评价结论</w:t>
          </w:r>
          <w:r>
            <w:tab/>
          </w:r>
          <w:r>
            <w:fldChar w:fldCharType="begin"/>
          </w:r>
          <w:r>
            <w:instrText xml:space="preserve"> PAGEREF _Toc165277237 \h </w:instrText>
          </w:r>
          <w:r>
            <w:fldChar w:fldCharType="separate"/>
          </w:r>
          <w:r>
            <w:t>14</w:t>
          </w:r>
          <w:r>
            <w:fldChar w:fldCharType="end"/>
          </w:r>
          <w:r>
            <w:fldChar w:fldCharType="end"/>
          </w:r>
        </w:p>
        <w:p w14:paraId="6452CECA">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"_Toc165277238" </w:instrText>
          </w:r>
          <w:r>
            <w:fldChar w:fldCharType="separate"/>
          </w:r>
          <w:r>
            <w:rPr>
              <w:rStyle w:val="18"/>
              <w:rFonts w:hint="eastAsia" w:ascii="仿宋" w:hAnsi="仿宋" w:eastAsia="仿宋"/>
              <w:lang w:bidi="en-US"/>
            </w:rPr>
            <w:t>（一）评价结论</w:t>
          </w:r>
          <w:r>
            <w:tab/>
          </w:r>
          <w:r>
            <w:fldChar w:fldCharType="begin"/>
          </w:r>
          <w:r>
            <w:instrText xml:space="preserve"> PAGEREF _Toc165277238 \h </w:instrText>
          </w:r>
          <w:r>
            <w:fldChar w:fldCharType="separate"/>
          </w:r>
          <w:r>
            <w:t>14</w:t>
          </w:r>
          <w:r>
            <w:fldChar w:fldCharType="end"/>
          </w:r>
          <w:r>
            <w:fldChar w:fldCharType="end"/>
          </w:r>
        </w:p>
        <w:p w14:paraId="57D40628">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"_Toc165277239" </w:instrText>
          </w:r>
          <w:r>
            <w:fldChar w:fldCharType="separate"/>
          </w:r>
          <w:r>
            <w:rPr>
              <w:rStyle w:val="18"/>
              <w:rFonts w:hint="eastAsia" w:ascii="仿宋" w:hAnsi="仿宋" w:eastAsia="仿宋"/>
              <w:lang w:bidi="en-US"/>
            </w:rPr>
            <w:t>（二）主要绩效</w:t>
          </w:r>
          <w:r>
            <w:tab/>
          </w:r>
          <w:r>
            <w:fldChar w:fldCharType="begin"/>
          </w:r>
          <w:r>
            <w:instrText xml:space="preserve"> PAGEREF _Toc165277239 \h </w:instrText>
          </w:r>
          <w:r>
            <w:fldChar w:fldCharType="separate"/>
          </w:r>
          <w:r>
            <w:t>15</w:t>
          </w:r>
          <w:r>
            <w:fldChar w:fldCharType="end"/>
          </w:r>
          <w:r>
            <w:fldChar w:fldCharType="end"/>
          </w:r>
        </w:p>
        <w:p w14:paraId="7BFD0026">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"_Toc165277240" </w:instrText>
          </w:r>
          <w:r>
            <w:fldChar w:fldCharType="separate"/>
          </w:r>
          <w:r>
            <w:rPr>
              <w:rStyle w:val="18"/>
              <w:rFonts w:hint="eastAsia" w:ascii="仿宋" w:hAnsi="仿宋" w:eastAsia="仿宋"/>
              <w:lang w:bidi="en-US"/>
            </w:rPr>
            <w:t>四、绩效评价指标分析</w:t>
          </w:r>
          <w:r>
            <w:tab/>
          </w:r>
          <w:r>
            <w:fldChar w:fldCharType="begin"/>
          </w:r>
          <w:r>
            <w:instrText xml:space="preserve"> PAGEREF _Toc165277240 \h </w:instrText>
          </w:r>
          <w:r>
            <w:fldChar w:fldCharType="separate"/>
          </w:r>
          <w:r>
            <w:t>15</w:t>
          </w:r>
          <w:r>
            <w:fldChar w:fldCharType="end"/>
          </w:r>
          <w:r>
            <w:fldChar w:fldCharType="end"/>
          </w:r>
        </w:p>
        <w:p w14:paraId="33FBA6EB">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"_Toc165277241" </w:instrText>
          </w:r>
          <w:r>
            <w:fldChar w:fldCharType="separate"/>
          </w:r>
          <w:r>
            <w:rPr>
              <w:rStyle w:val="18"/>
              <w:rFonts w:hint="eastAsia" w:ascii="仿宋" w:hAnsi="仿宋" w:eastAsia="仿宋"/>
              <w:lang w:bidi="en-US"/>
            </w:rPr>
            <w:t>（一）项目决策情况</w:t>
          </w:r>
          <w:r>
            <w:tab/>
          </w:r>
          <w:r>
            <w:fldChar w:fldCharType="begin"/>
          </w:r>
          <w:r>
            <w:instrText xml:space="preserve"> PAGEREF _Toc165277241 \h </w:instrText>
          </w:r>
          <w:r>
            <w:fldChar w:fldCharType="separate"/>
          </w:r>
          <w:r>
            <w:t>15</w:t>
          </w:r>
          <w:r>
            <w:fldChar w:fldCharType="end"/>
          </w:r>
          <w:r>
            <w:fldChar w:fldCharType="end"/>
          </w:r>
        </w:p>
        <w:p w14:paraId="583F5B9D">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"_Toc165277242" </w:instrText>
          </w:r>
          <w:r>
            <w:fldChar w:fldCharType="separate"/>
          </w:r>
          <w:r>
            <w:rPr>
              <w:rStyle w:val="18"/>
            </w:rPr>
            <w:t>1.</w:t>
          </w:r>
          <w:r>
            <w:rPr>
              <w:rStyle w:val="18"/>
              <w:rFonts w:hint="eastAsia"/>
            </w:rPr>
            <w:t>项目立项</w:t>
          </w:r>
          <w:r>
            <w:tab/>
          </w:r>
          <w:r>
            <w:fldChar w:fldCharType="begin"/>
          </w:r>
          <w:r>
            <w:instrText xml:space="preserve"> PAGEREF _Toc165277242 \h </w:instrText>
          </w:r>
          <w:r>
            <w:fldChar w:fldCharType="separate"/>
          </w:r>
          <w:r>
            <w:t>16</w:t>
          </w:r>
          <w:r>
            <w:fldChar w:fldCharType="end"/>
          </w:r>
          <w:r>
            <w:fldChar w:fldCharType="end"/>
          </w:r>
        </w:p>
        <w:p w14:paraId="11AA7280">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"_Toc165277243" </w:instrText>
          </w:r>
          <w:r>
            <w:fldChar w:fldCharType="separate"/>
          </w:r>
          <w:r>
            <w:rPr>
              <w:rStyle w:val="18"/>
            </w:rPr>
            <w:t>2.</w:t>
          </w:r>
          <w:r>
            <w:rPr>
              <w:rStyle w:val="18"/>
              <w:rFonts w:hint="eastAsia"/>
            </w:rPr>
            <w:t>绩效目标</w:t>
          </w:r>
          <w:r>
            <w:tab/>
          </w:r>
          <w:r>
            <w:fldChar w:fldCharType="begin"/>
          </w:r>
          <w:r>
            <w:instrText xml:space="preserve"> PAGEREF _Toc165277243 \h </w:instrText>
          </w:r>
          <w:r>
            <w:fldChar w:fldCharType="separate"/>
          </w:r>
          <w:r>
            <w:t>16</w:t>
          </w:r>
          <w:r>
            <w:fldChar w:fldCharType="end"/>
          </w:r>
          <w:r>
            <w:fldChar w:fldCharType="end"/>
          </w:r>
        </w:p>
        <w:p w14:paraId="52F75185">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"_Toc165277244" </w:instrText>
          </w:r>
          <w:r>
            <w:fldChar w:fldCharType="separate"/>
          </w:r>
          <w:r>
            <w:rPr>
              <w:rStyle w:val="18"/>
            </w:rPr>
            <w:t>3.</w:t>
          </w:r>
          <w:r>
            <w:rPr>
              <w:rStyle w:val="18"/>
              <w:rFonts w:hint="eastAsia"/>
            </w:rPr>
            <w:t>资金投入</w:t>
          </w:r>
          <w:r>
            <w:tab/>
          </w:r>
          <w:r>
            <w:fldChar w:fldCharType="begin"/>
          </w:r>
          <w:r>
            <w:instrText xml:space="preserve"> PAGEREF _Toc165277244 \h </w:instrText>
          </w:r>
          <w:r>
            <w:fldChar w:fldCharType="separate"/>
          </w:r>
          <w:r>
            <w:t>17</w:t>
          </w:r>
          <w:r>
            <w:fldChar w:fldCharType="end"/>
          </w:r>
          <w:r>
            <w:fldChar w:fldCharType="end"/>
          </w:r>
        </w:p>
        <w:p w14:paraId="74FF3DEB">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"_Toc165277245" </w:instrText>
          </w:r>
          <w:r>
            <w:fldChar w:fldCharType="separate"/>
          </w:r>
          <w:r>
            <w:rPr>
              <w:rStyle w:val="18"/>
              <w:rFonts w:hint="eastAsia" w:ascii="仿宋" w:hAnsi="仿宋" w:eastAsia="仿宋"/>
              <w:lang w:bidi="en-US"/>
            </w:rPr>
            <w:t>（二）项目过程情况</w:t>
          </w:r>
          <w:r>
            <w:tab/>
          </w:r>
          <w:r>
            <w:fldChar w:fldCharType="begin"/>
          </w:r>
          <w:r>
            <w:instrText xml:space="preserve"> PAGEREF _Toc165277245 \h </w:instrText>
          </w:r>
          <w:r>
            <w:fldChar w:fldCharType="separate"/>
          </w:r>
          <w:r>
            <w:t>17</w:t>
          </w:r>
          <w:r>
            <w:fldChar w:fldCharType="end"/>
          </w:r>
          <w:r>
            <w:fldChar w:fldCharType="end"/>
          </w:r>
        </w:p>
        <w:p w14:paraId="7EF76212">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"_Toc165277246" </w:instrText>
          </w:r>
          <w:r>
            <w:fldChar w:fldCharType="separate"/>
          </w:r>
          <w:r>
            <w:rPr>
              <w:rStyle w:val="18"/>
            </w:rPr>
            <w:t>1.</w:t>
          </w:r>
          <w:r>
            <w:rPr>
              <w:rStyle w:val="18"/>
              <w:rFonts w:hint="eastAsia"/>
            </w:rPr>
            <w:t>资金管理</w:t>
          </w:r>
          <w:r>
            <w:tab/>
          </w:r>
          <w:r>
            <w:fldChar w:fldCharType="begin"/>
          </w:r>
          <w:r>
            <w:instrText xml:space="preserve"> PAGEREF _Toc165277246 \h </w:instrText>
          </w:r>
          <w:r>
            <w:fldChar w:fldCharType="separate"/>
          </w:r>
          <w:r>
            <w:t>17</w:t>
          </w:r>
          <w:r>
            <w:fldChar w:fldCharType="end"/>
          </w:r>
          <w:r>
            <w:fldChar w:fldCharType="end"/>
          </w:r>
        </w:p>
        <w:p w14:paraId="737A368F">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"_Toc165277247" </w:instrText>
          </w:r>
          <w:r>
            <w:fldChar w:fldCharType="separate"/>
          </w:r>
          <w:r>
            <w:rPr>
              <w:rStyle w:val="18"/>
            </w:rPr>
            <w:t>2.</w:t>
          </w:r>
          <w:r>
            <w:rPr>
              <w:rStyle w:val="18"/>
              <w:rFonts w:hint="eastAsia"/>
            </w:rPr>
            <w:t>组织实施</w:t>
          </w:r>
          <w:r>
            <w:tab/>
          </w:r>
          <w:r>
            <w:fldChar w:fldCharType="begin"/>
          </w:r>
          <w:r>
            <w:instrText xml:space="preserve"> PAGEREF _Toc165277247 \h </w:instrText>
          </w:r>
          <w:r>
            <w:fldChar w:fldCharType="separate"/>
          </w:r>
          <w:r>
            <w:t>18</w:t>
          </w:r>
          <w:r>
            <w:fldChar w:fldCharType="end"/>
          </w:r>
          <w:r>
            <w:fldChar w:fldCharType="end"/>
          </w:r>
        </w:p>
        <w:p w14:paraId="328C0D0D">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"_Toc165277248" </w:instrText>
          </w:r>
          <w:r>
            <w:fldChar w:fldCharType="separate"/>
          </w:r>
          <w:r>
            <w:rPr>
              <w:rStyle w:val="18"/>
              <w:rFonts w:hint="eastAsia" w:ascii="仿宋" w:hAnsi="仿宋" w:eastAsia="仿宋"/>
              <w:lang w:bidi="en-US"/>
            </w:rPr>
            <w:t>（三）项目产出情况</w:t>
          </w:r>
          <w:r>
            <w:tab/>
          </w:r>
          <w:r>
            <w:fldChar w:fldCharType="begin"/>
          </w:r>
          <w:r>
            <w:instrText xml:space="preserve"> PAGEREF _Toc165277248 \h </w:instrText>
          </w:r>
          <w:r>
            <w:fldChar w:fldCharType="separate"/>
          </w:r>
          <w:r>
            <w:t>18</w:t>
          </w:r>
          <w:r>
            <w:fldChar w:fldCharType="end"/>
          </w:r>
          <w:r>
            <w:fldChar w:fldCharType="end"/>
          </w:r>
        </w:p>
        <w:p w14:paraId="41DD845D">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"_Toc165277249" </w:instrText>
          </w:r>
          <w:r>
            <w:fldChar w:fldCharType="separate"/>
          </w:r>
          <w:r>
            <w:rPr>
              <w:rStyle w:val="18"/>
            </w:rPr>
            <w:t>1.</w:t>
          </w:r>
          <w:r>
            <w:rPr>
              <w:rStyle w:val="18"/>
              <w:rFonts w:hint="eastAsia"/>
            </w:rPr>
            <w:t>产出数量</w:t>
          </w:r>
          <w:r>
            <w:tab/>
          </w:r>
          <w:r>
            <w:fldChar w:fldCharType="begin"/>
          </w:r>
          <w:r>
            <w:instrText xml:space="preserve"> PAGEREF _Toc165277249 \h </w:instrText>
          </w:r>
          <w:r>
            <w:fldChar w:fldCharType="separate"/>
          </w:r>
          <w:r>
            <w:t>18</w:t>
          </w:r>
          <w:r>
            <w:fldChar w:fldCharType="end"/>
          </w:r>
          <w:r>
            <w:fldChar w:fldCharType="end"/>
          </w:r>
        </w:p>
        <w:p w14:paraId="6A2BB90D">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"_Toc165277250" </w:instrText>
          </w:r>
          <w:r>
            <w:fldChar w:fldCharType="separate"/>
          </w:r>
          <w:r>
            <w:rPr>
              <w:rStyle w:val="18"/>
            </w:rPr>
            <w:t>2.</w:t>
          </w:r>
          <w:r>
            <w:rPr>
              <w:rStyle w:val="18"/>
              <w:rFonts w:hint="eastAsia"/>
            </w:rPr>
            <w:t>产出质量</w:t>
          </w:r>
          <w:r>
            <w:tab/>
          </w:r>
          <w:r>
            <w:fldChar w:fldCharType="begin"/>
          </w:r>
          <w:r>
            <w:instrText xml:space="preserve"> PAGEREF _Toc165277250 \h </w:instrText>
          </w:r>
          <w:r>
            <w:fldChar w:fldCharType="separate"/>
          </w:r>
          <w:r>
            <w:t>19</w:t>
          </w:r>
          <w:r>
            <w:fldChar w:fldCharType="end"/>
          </w:r>
          <w:r>
            <w:fldChar w:fldCharType="end"/>
          </w:r>
        </w:p>
        <w:p w14:paraId="2A671CB0">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"_Toc165277251" </w:instrText>
          </w:r>
          <w:r>
            <w:fldChar w:fldCharType="separate"/>
          </w:r>
          <w:r>
            <w:rPr>
              <w:rStyle w:val="18"/>
            </w:rPr>
            <w:t>3.</w:t>
          </w:r>
          <w:r>
            <w:rPr>
              <w:rStyle w:val="18"/>
              <w:rFonts w:hint="eastAsia"/>
            </w:rPr>
            <w:t>产出时效</w:t>
          </w:r>
          <w:r>
            <w:tab/>
          </w:r>
          <w:r>
            <w:fldChar w:fldCharType="begin"/>
          </w:r>
          <w:r>
            <w:instrText xml:space="preserve"> PAGEREF _Toc165277251 \h </w:instrText>
          </w:r>
          <w:r>
            <w:fldChar w:fldCharType="separate"/>
          </w:r>
          <w:r>
            <w:t>19</w:t>
          </w:r>
          <w:r>
            <w:fldChar w:fldCharType="end"/>
          </w:r>
          <w:r>
            <w:fldChar w:fldCharType="end"/>
          </w:r>
        </w:p>
        <w:p w14:paraId="50C4542B">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"_Toc165277252" </w:instrText>
          </w:r>
          <w:r>
            <w:fldChar w:fldCharType="separate"/>
          </w:r>
          <w:r>
            <w:rPr>
              <w:rStyle w:val="18"/>
            </w:rPr>
            <w:t>4.</w:t>
          </w:r>
          <w:r>
            <w:rPr>
              <w:rStyle w:val="18"/>
              <w:rFonts w:hint="eastAsia"/>
            </w:rPr>
            <w:t>产出成本</w:t>
          </w:r>
          <w:r>
            <w:tab/>
          </w:r>
          <w:r>
            <w:fldChar w:fldCharType="begin"/>
          </w:r>
          <w:r>
            <w:instrText xml:space="preserve"> PAGEREF _Toc165277252 \h </w:instrText>
          </w:r>
          <w:r>
            <w:fldChar w:fldCharType="separate"/>
          </w:r>
          <w:r>
            <w:t>19</w:t>
          </w:r>
          <w:r>
            <w:fldChar w:fldCharType="end"/>
          </w:r>
          <w:r>
            <w:fldChar w:fldCharType="end"/>
          </w:r>
        </w:p>
        <w:p w14:paraId="16DDD35C">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"_Toc165277253" </w:instrText>
          </w:r>
          <w:r>
            <w:fldChar w:fldCharType="separate"/>
          </w:r>
          <w:r>
            <w:rPr>
              <w:rStyle w:val="18"/>
              <w:rFonts w:hint="eastAsia" w:ascii="仿宋" w:hAnsi="仿宋" w:eastAsia="仿宋"/>
              <w:lang w:bidi="en-US"/>
            </w:rPr>
            <w:t>（四）项目效益情况</w:t>
          </w:r>
          <w:r>
            <w:tab/>
          </w:r>
          <w:r>
            <w:fldChar w:fldCharType="begin"/>
          </w:r>
          <w:r>
            <w:instrText xml:space="preserve"> PAGEREF _Toc165277253 \h </w:instrText>
          </w:r>
          <w:r>
            <w:fldChar w:fldCharType="separate"/>
          </w:r>
          <w:r>
            <w:t>19</w:t>
          </w:r>
          <w:r>
            <w:fldChar w:fldCharType="end"/>
          </w:r>
          <w:r>
            <w:fldChar w:fldCharType="end"/>
          </w:r>
        </w:p>
        <w:p w14:paraId="57022CD0">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"_Toc165277254" </w:instrText>
          </w:r>
          <w:r>
            <w:fldChar w:fldCharType="separate"/>
          </w:r>
          <w:r>
            <w:rPr>
              <w:rStyle w:val="18"/>
            </w:rPr>
            <w:t>1.</w:t>
          </w:r>
          <w:r>
            <w:rPr>
              <w:rStyle w:val="18"/>
              <w:rFonts w:hint="eastAsia"/>
            </w:rPr>
            <w:t>项目效益</w:t>
          </w:r>
          <w:r>
            <w:tab/>
          </w:r>
          <w:r>
            <w:fldChar w:fldCharType="begin"/>
          </w:r>
          <w:r>
            <w:instrText xml:space="preserve"> PAGEREF _Toc165277254 \h </w:instrText>
          </w:r>
          <w:r>
            <w:fldChar w:fldCharType="separate"/>
          </w:r>
          <w:r>
            <w:t>19</w:t>
          </w:r>
          <w:r>
            <w:fldChar w:fldCharType="end"/>
          </w:r>
          <w:r>
            <w:fldChar w:fldCharType="end"/>
          </w:r>
        </w:p>
        <w:p w14:paraId="097E10D7">
          <w:pPr>
            <w:pStyle w:val="6"/>
            <w:tabs>
              <w:tab w:val="right" w:leader="dot" w:pos="8296"/>
            </w:tabs>
            <w:ind w:left="1120" w:firstLine="560"/>
            <w:rPr>
              <w:rFonts w:asciiTheme="minorHAnsi" w:hAnsiTheme="minorHAnsi" w:eastAsiaTheme="minorEastAsia" w:cstheme="minorBidi"/>
              <w:sz w:val="21"/>
            </w:rPr>
          </w:pPr>
          <w:r>
            <w:fldChar w:fldCharType="begin"/>
          </w:r>
          <w:r>
            <w:instrText xml:space="preserve"> HYPERLINK \l "_Toc165277255" </w:instrText>
          </w:r>
          <w:r>
            <w:fldChar w:fldCharType="separate"/>
          </w:r>
          <w:r>
            <w:rPr>
              <w:rStyle w:val="18"/>
            </w:rPr>
            <w:t xml:space="preserve">2. </w:t>
          </w:r>
          <w:r>
            <w:rPr>
              <w:rStyle w:val="18"/>
              <w:rFonts w:hint="eastAsia"/>
            </w:rPr>
            <w:t>满意度指标完成情况分析</w:t>
          </w:r>
          <w:r>
            <w:tab/>
          </w:r>
          <w:r>
            <w:fldChar w:fldCharType="begin"/>
          </w:r>
          <w:r>
            <w:instrText xml:space="preserve"> PAGEREF _Toc165277255 \h </w:instrText>
          </w:r>
          <w:r>
            <w:fldChar w:fldCharType="separate"/>
          </w:r>
          <w:r>
            <w:t>20</w:t>
          </w:r>
          <w:r>
            <w:fldChar w:fldCharType="end"/>
          </w:r>
          <w:r>
            <w:fldChar w:fldCharType="end"/>
          </w:r>
        </w:p>
        <w:p w14:paraId="4458C373">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"_Toc165277256" </w:instrText>
          </w:r>
          <w:r>
            <w:fldChar w:fldCharType="separate"/>
          </w:r>
          <w:r>
            <w:rPr>
              <w:rStyle w:val="18"/>
              <w:rFonts w:hint="eastAsia" w:ascii="仿宋" w:hAnsi="仿宋" w:eastAsia="仿宋"/>
              <w:lang w:bidi="en-US"/>
            </w:rPr>
            <w:t>五、主要经验及做法、存在的问题及原因分析</w:t>
          </w:r>
          <w:r>
            <w:tab/>
          </w:r>
          <w:r>
            <w:fldChar w:fldCharType="begin"/>
          </w:r>
          <w:r>
            <w:instrText xml:space="preserve"> PAGEREF _Toc165277256 \h </w:instrText>
          </w:r>
          <w:r>
            <w:fldChar w:fldCharType="separate"/>
          </w:r>
          <w:r>
            <w:t>20</w:t>
          </w:r>
          <w:r>
            <w:fldChar w:fldCharType="end"/>
          </w:r>
          <w:r>
            <w:fldChar w:fldCharType="end"/>
          </w:r>
        </w:p>
        <w:p w14:paraId="1C4EE739">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"_Toc165277257" </w:instrText>
          </w:r>
          <w:r>
            <w:fldChar w:fldCharType="separate"/>
          </w:r>
          <w:r>
            <w:rPr>
              <w:rStyle w:val="18"/>
              <w:rFonts w:hint="eastAsia" w:ascii="仿宋" w:hAnsi="仿宋" w:eastAsia="仿宋"/>
              <w:lang w:bidi="en-US"/>
            </w:rPr>
            <w:t>（一）主要经验及做法</w:t>
          </w:r>
          <w:r>
            <w:tab/>
          </w:r>
          <w:r>
            <w:fldChar w:fldCharType="begin"/>
          </w:r>
          <w:r>
            <w:instrText xml:space="preserve"> PAGEREF _Toc165277257 \h </w:instrText>
          </w:r>
          <w:r>
            <w:fldChar w:fldCharType="separate"/>
          </w:r>
          <w:r>
            <w:t>20</w:t>
          </w:r>
          <w:r>
            <w:fldChar w:fldCharType="end"/>
          </w:r>
          <w:r>
            <w:fldChar w:fldCharType="end"/>
          </w:r>
        </w:p>
        <w:p w14:paraId="1A094462">
          <w:pPr>
            <w:pStyle w:val="13"/>
            <w:tabs>
              <w:tab w:val="right" w:leader="dot" w:pos="8296"/>
            </w:tabs>
            <w:ind w:left="560" w:firstLine="560"/>
            <w:rPr>
              <w:rFonts w:asciiTheme="minorHAnsi" w:hAnsiTheme="minorHAnsi" w:eastAsiaTheme="minorEastAsia" w:cstheme="minorBidi"/>
              <w:sz w:val="21"/>
            </w:rPr>
          </w:pPr>
          <w:r>
            <w:fldChar w:fldCharType="begin"/>
          </w:r>
          <w:r>
            <w:instrText xml:space="preserve"> HYPERLINK \l "_Toc165277258" </w:instrText>
          </w:r>
          <w:r>
            <w:fldChar w:fldCharType="separate"/>
          </w:r>
          <w:r>
            <w:rPr>
              <w:rStyle w:val="18"/>
              <w:rFonts w:hint="eastAsia" w:ascii="仿宋" w:hAnsi="仿宋" w:eastAsia="仿宋"/>
              <w:lang w:bidi="en-US"/>
            </w:rPr>
            <w:t>（二）存在的问题及原因分析</w:t>
          </w:r>
          <w:r>
            <w:tab/>
          </w:r>
          <w:r>
            <w:fldChar w:fldCharType="begin"/>
          </w:r>
          <w:r>
            <w:instrText xml:space="preserve"> PAGEREF _Toc165277258 \h </w:instrText>
          </w:r>
          <w:r>
            <w:fldChar w:fldCharType="separate"/>
          </w:r>
          <w:r>
            <w:t>20</w:t>
          </w:r>
          <w:r>
            <w:fldChar w:fldCharType="end"/>
          </w:r>
          <w:r>
            <w:fldChar w:fldCharType="end"/>
          </w:r>
        </w:p>
        <w:p w14:paraId="709132CC">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"_Toc165277259" </w:instrText>
          </w:r>
          <w:r>
            <w:fldChar w:fldCharType="separate"/>
          </w:r>
          <w:r>
            <w:rPr>
              <w:rStyle w:val="18"/>
              <w:rFonts w:hint="eastAsia" w:ascii="仿宋" w:hAnsi="仿宋" w:eastAsia="仿宋"/>
              <w:lang w:bidi="en-US"/>
            </w:rPr>
            <w:t>六、有关建议</w:t>
          </w:r>
          <w:r>
            <w:tab/>
          </w:r>
          <w:r>
            <w:fldChar w:fldCharType="begin"/>
          </w:r>
          <w:r>
            <w:instrText xml:space="preserve"> PAGEREF _Toc165277259 \h </w:instrText>
          </w:r>
          <w:r>
            <w:fldChar w:fldCharType="separate"/>
          </w:r>
          <w:r>
            <w:t>21</w:t>
          </w:r>
          <w:r>
            <w:fldChar w:fldCharType="end"/>
          </w:r>
          <w:r>
            <w:fldChar w:fldCharType="end"/>
          </w:r>
        </w:p>
        <w:p w14:paraId="0D56BC17">
          <w:pPr>
            <w:pStyle w:val="11"/>
            <w:tabs>
              <w:tab w:val="right" w:leader="dot" w:pos="8296"/>
            </w:tabs>
            <w:ind w:firstLine="560"/>
            <w:rPr>
              <w:rFonts w:asciiTheme="minorHAnsi" w:hAnsiTheme="minorHAnsi" w:eastAsiaTheme="minorEastAsia" w:cstheme="minorBidi"/>
              <w:sz w:val="21"/>
            </w:rPr>
          </w:pPr>
          <w:r>
            <w:fldChar w:fldCharType="begin"/>
          </w:r>
          <w:r>
            <w:instrText xml:space="preserve"> HYPERLINK \l "_Toc165277260" </w:instrText>
          </w:r>
          <w:r>
            <w:fldChar w:fldCharType="separate"/>
          </w:r>
          <w:r>
            <w:rPr>
              <w:rStyle w:val="18"/>
              <w:rFonts w:hint="eastAsia" w:ascii="仿宋" w:hAnsi="仿宋" w:eastAsia="仿宋"/>
              <w:lang w:bidi="en-US"/>
            </w:rPr>
            <w:t>七、其他需要说明的问题</w:t>
          </w:r>
          <w:r>
            <w:tab/>
          </w:r>
          <w:r>
            <w:fldChar w:fldCharType="begin"/>
          </w:r>
          <w:r>
            <w:instrText xml:space="preserve"> PAGEREF _Toc165277260 \h </w:instrText>
          </w:r>
          <w:r>
            <w:fldChar w:fldCharType="separate"/>
          </w:r>
          <w:r>
            <w:t>21</w:t>
          </w:r>
          <w:r>
            <w:fldChar w:fldCharType="end"/>
          </w:r>
          <w:r>
            <w:fldChar w:fldCharType="end"/>
          </w:r>
        </w:p>
        <w:p w14:paraId="537A7B1F">
          <w:pPr>
            <w:ind w:firstLine="562"/>
          </w:pPr>
          <w:r>
            <w:rPr>
              <w:b/>
              <w:bCs/>
              <w:lang w:val="zh-CN"/>
            </w:rPr>
            <w:fldChar w:fldCharType="end"/>
          </w:r>
        </w:p>
      </w:sdtContent>
    </w:sdt>
    <w:p w14:paraId="53673C10">
      <w:pPr>
        <w:ind w:firstLine="598" w:firstLineChars="187"/>
        <w:rPr>
          <w:rFonts w:ascii="仿宋_GB2312" w:hAnsi="Times New Roman" w:cs="Times New Roman"/>
          <w:sz w:val="32"/>
          <w:szCs w:val="32"/>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14:paraId="4C2FBF44">
      <w:pPr>
        <w:pStyle w:val="2"/>
        <w:ind w:firstLine="0" w:firstLineChars="0"/>
        <w:jc w:val="left"/>
        <w:rPr>
          <w:rFonts w:ascii="仿宋" w:hAnsi="仿宋" w:eastAsia="仿宋"/>
          <w:sz w:val="36"/>
          <w:szCs w:val="36"/>
          <w:lang w:bidi="en-US"/>
        </w:rPr>
      </w:pPr>
      <w:bookmarkStart w:id="0" w:name="_Toc165277220"/>
      <w:bookmarkStart w:id="1" w:name="_Toc67911601"/>
      <w:r>
        <w:rPr>
          <w:rFonts w:hint="eastAsia" w:ascii="仿宋" w:hAnsi="仿宋" w:eastAsia="仿宋"/>
          <w:sz w:val="36"/>
          <w:szCs w:val="36"/>
          <w:lang w:bidi="en-US"/>
        </w:rPr>
        <w:t>一、基本情况</w:t>
      </w:r>
      <w:bookmarkEnd w:id="0"/>
      <w:bookmarkEnd w:id="1"/>
    </w:p>
    <w:p w14:paraId="5EC965AC">
      <w:pPr>
        <w:pStyle w:val="3"/>
        <w:ind w:firstLine="643"/>
        <w:rPr>
          <w:rFonts w:ascii="仿宋" w:hAnsi="仿宋" w:eastAsia="仿宋"/>
          <w:lang w:bidi="en-US"/>
        </w:rPr>
      </w:pPr>
      <w:bookmarkStart w:id="2" w:name="_Toc67911602"/>
      <w:bookmarkStart w:id="3" w:name="_Toc165277221"/>
      <w:r>
        <w:rPr>
          <w:rFonts w:hint="eastAsia" w:ascii="仿宋" w:hAnsi="仿宋" w:eastAsia="仿宋"/>
          <w:lang w:bidi="en-US"/>
        </w:rPr>
        <w:t>（一）项目概况：</w:t>
      </w:r>
      <w:bookmarkEnd w:id="2"/>
      <w:bookmarkEnd w:id="3"/>
    </w:p>
    <w:p w14:paraId="00F51207">
      <w:pPr>
        <w:pStyle w:val="4"/>
        <w:ind w:firstLine="643"/>
      </w:pPr>
      <w:bookmarkStart w:id="4" w:name="_Toc165277222"/>
      <w:r>
        <w:rPr>
          <w:rFonts w:hint="eastAsia"/>
        </w:rPr>
        <w:t>1．项目背景、主要内容及实施情况</w:t>
      </w:r>
      <w:bookmarkEnd w:id="4"/>
    </w:p>
    <w:p w14:paraId="54C1546F">
      <w:pPr>
        <w:spacing w:line="360" w:lineRule="auto"/>
        <w:ind w:firstLine="560"/>
        <w:rPr>
          <w:rFonts w:ascii="仿宋_GB2312"/>
        </w:rPr>
      </w:pPr>
      <w:r>
        <w:rPr>
          <w:rFonts w:hint="eastAsia" w:ascii="仿宋_GB2312"/>
        </w:rPr>
        <w:t>该项目实施背景：</w:t>
      </w:r>
    </w:p>
    <w:p w14:paraId="17D10184">
      <w:pPr>
        <w:spacing w:line="360" w:lineRule="auto"/>
        <w:ind w:firstLine="560"/>
        <w:rPr>
          <w:rFonts w:ascii="仿宋_GB2312"/>
        </w:rPr>
      </w:pPr>
      <w:r>
        <w:rPr>
          <w:rFonts w:hint="eastAsia" w:ascii="仿宋_GB2312"/>
        </w:rPr>
        <w:t>我院作为国家级住院医师规范化培训基地，自2017年承担中医住院医师规范化培训项目，现已累计培养学员384人，其中中医类别187人，中医全科类别177人。2021年阿勒泰地区哈医医院成为我院的协作基地，协同培养我区的哈萨克医住院医师规范化培训。</w:t>
      </w:r>
    </w:p>
    <w:p w14:paraId="4833E611">
      <w:pPr>
        <w:spacing w:line="360" w:lineRule="auto"/>
        <w:ind w:firstLine="560"/>
        <w:rPr>
          <w:rFonts w:ascii="仿宋_GB2312"/>
        </w:rPr>
      </w:pPr>
      <w:r>
        <w:rPr>
          <w:rFonts w:ascii="仿宋_GB2312"/>
        </w:rPr>
        <w:t>项目</w:t>
      </w:r>
      <w:r>
        <w:rPr>
          <w:rFonts w:hint="eastAsia" w:ascii="仿宋_GB2312"/>
        </w:rPr>
        <w:t>2</w:t>
      </w:r>
      <w:r>
        <w:rPr>
          <w:rFonts w:ascii="仿宋_GB2312"/>
        </w:rPr>
        <w:t>023年的主要实施内容：①</w:t>
      </w:r>
      <w:r>
        <w:rPr>
          <w:rFonts w:hint="eastAsia" w:ascii="仿宋_GB2312" w:hAnsi="仿宋"/>
          <w:szCs w:val="28"/>
        </w:rPr>
        <w:t>作为国家中医住院医师规范化培训基地，开展中医住院医师规范化培训项目，提升学员临床诊疗能力和公共卫生服务能力，使其能够逐步胜任住院医师工作岗位要求</w:t>
      </w:r>
      <w:r>
        <w:rPr>
          <w:rFonts w:ascii="仿宋_GB2312"/>
        </w:rPr>
        <w:t>;②</w:t>
      </w:r>
      <w:r>
        <w:rPr>
          <w:rFonts w:hint="eastAsia" w:ascii="仿宋_GB2312" w:hAnsi="仿宋"/>
          <w:szCs w:val="28"/>
        </w:rPr>
        <w:t>作为国家中医住院医师规范化培训基地，开展中医全科住院医师规范化培训项目，提升学员临床诊疗能力和公共卫生服务能力，使其能够逐步胜任医疗卫生机构住院医师工作岗位要求，为全疆尤其是基层培养合格的中医医师。</w:t>
      </w:r>
    </w:p>
    <w:p w14:paraId="0A0DEE19">
      <w:pPr>
        <w:spacing w:line="360" w:lineRule="auto"/>
        <w:ind w:firstLine="560"/>
        <w:rPr>
          <w:rFonts w:ascii="仿宋_GB2312"/>
          <w:highlight w:val="yellow"/>
        </w:rPr>
      </w:pPr>
      <w:r>
        <w:rPr>
          <w:rFonts w:hint="eastAsia" w:ascii="仿宋_GB2312"/>
        </w:rPr>
        <w:t>2</w:t>
      </w:r>
      <w:r>
        <w:rPr>
          <w:rFonts w:ascii="仿宋_GB2312"/>
        </w:rPr>
        <w:t>023年当年完成情况</w:t>
      </w:r>
      <w:r>
        <w:rPr>
          <w:rStyle w:val="19"/>
          <w:rFonts w:hint="eastAsia"/>
        </w:rPr>
        <w:t>：</w:t>
      </w:r>
      <w:r>
        <w:rPr>
          <w:rFonts w:hint="eastAsia" w:ascii="仿宋_GB2312" w:hAnsi="仿宋"/>
          <w:szCs w:val="28"/>
        </w:rPr>
        <w:t>根据《关于开展2023年自治区住院医师规范化培训招收工作的通知》(新卫科教函</w:t>
      </w:r>
      <w:r>
        <w:rPr>
          <w:rFonts w:hint="eastAsia" w:ascii="仿宋_GB2312"/>
        </w:rPr>
        <w:t>〔2023〕30号）、《关于 2023 年自治区农村订单定向免费医学毕业生参加住院医师规范化培训的通知》</w:t>
      </w:r>
      <w:r>
        <w:rPr>
          <w:rFonts w:hint="eastAsia" w:ascii="仿宋_GB2312" w:hAnsi="仿宋"/>
          <w:szCs w:val="28"/>
        </w:rPr>
        <w:t>(新卫科教函</w:t>
      </w:r>
      <w:r>
        <w:rPr>
          <w:rFonts w:hint="eastAsia" w:ascii="仿宋_GB2312"/>
        </w:rPr>
        <w:t>〔2023〕62号）、《关于调整部分农村订单定向免费医学生住院医师规范化培训基地的通知》</w:t>
      </w:r>
      <w:r>
        <w:rPr>
          <w:rFonts w:hint="eastAsia" w:ascii="仿宋_GB2312" w:hAnsi="仿宋"/>
          <w:szCs w:val="28"/>
        </w:rPr>
        <w:t>(新卫科教函</w:t>
      </w:r>
      <w:r>
        <w:rPr>
          <w:rFonts w:hint="eastAsia" w:ascii="仿宋_GB2312"/>
        </w:rPr>
        <w:t>〔2023〕71号）文件要求完成住院医师规培的招录和培养</w:t>
      </w:r>
      <w:r>
        <w:rPr>
          <w:rFonts w:ascii="仿宋_GB2312"/>
        </w:rPr>
        <w:t>。实际完成情况为：</w:t>
      </w:r>
      <w:r>
        <w:rPr>
          <w:rFonts w:hint="eastAsia" w:ascii="仿宋_GB2312"/>
        </w:rPr>
        <w:t>①按照自治区招录名额，完成2023年中医20名住院医师规范化培训招录任务，按照住院医师规范化培训大纲开展培训工作，遵照相关文件要求发放学员各项补贴</w:t>
      </w:r>
      <w:r>
        <w:rPr>
          <w:rFonts w:ascii="仿宋_GB2312"/>
        </w:rPr>
        <w:t>;②</w:t>
      </w:r>
      <w:r>
        <w:rPr>
          <w:rFonts w:hint="eastAsia" w:ascii="仿宋_GB2312"/>
        </w:rPr>
        <w:t>按照自治区招录名额，完成2023年48名农村订单定向中医全科住院医规范化培训项目的招录任务，按照住院医师规范化培训大纲开展培训工作，遵照相关文件要求发放学员各项补贴。</w:t>
      </w:r>
    </w:p>
    <w:p w14:paraId="23316AA7">
      <w:pPr>
        <w:pStyle w:val="4"/>
        <w:ind w:firstLine="643"/>
      </w:pPr>
      <w:bookmarkStart w:id="5" w:name="_Toc165277223"/>
      <w:r>
        <w:rPr>
          <w:rFonts w:hint="eastAsia"/>
        </w:rPr>
        <w:t>2</w:t>
      </w:r>
      <w:r>
        <w:t>.资金投入和使用情况</w:t>
      </w:r>
      <w:bookmarkEnd w:id="5"/>
    </w:p>
    <w:p w14:paraId="39D55FA9">
      <w:pPr>
        <w:spacing w:line="360" w:lineRule="auto"/>
        <w:ind w:firstLine="560"/>
        <w:rPr>
          <w:rFonts w:ascii="仿宋_GB2312"/>
        </w:rPr>
      </w:pPr>
      <w:r>
        <w:rPr>
          <w:rFonts w:hint="eastAsia" w:ascii="仿宋_GB2312"/>
        </w:rPr>
        <w:t>该项目资金投入情况：该项目总金额为5</w:t>
      </w:r>
      <w:r>
        <w:rPr>
          <w:rFonts w:ascii="仿宋_GB2312"/>
        </w:rPr>
        <w:t>41.9万元，其中</w:t>
      </w:r>
      <w:r>
        <w:rPr>
          <w:rFonts w:hint="eastAsia" w:ascii="仿宋_GB2312"/>
        </w:rPr>
        <w:t>5</w:t>
      </w:r>
      <w:r>
        <w:rPr>
          <w:rFonts w:ascii="仿宋_GB2312"/>
        </w:rPr>
        <w:t>18.4万元为年初部门预算安排资金，</w:t>
      </w:r>
      <w:r>
        <w:rPr>
          <w:rFonts w:hint="eastAsia" w:ascii="仿宋_GB2312"/>
        </w:rPr>
        <w:t>经《关于提前下达2023年中央财政医疗服务与保障能力提升（卫生健康人才培养）（直达资金）补助资金预算的通知》乌财社〔2022〕395号文件批准。剩余23.5万元为202</w:t>
      </w:r>
      <w:r>
        <w:rPr>
          <w:rFonts w:ascii="仿宋_GB2312"/>
        </w:rPr>
        <w:t>3</w:t>
      </w:r>
      <w:r>
        <w:rPr>
          <w:rFonts w:hint="eastAsia" w:ascii="仿宋_GB2312"/>
        </w:rPr>
        <w:t>年年中追加部分预算批复项目，经《关于下达2023年中央医疗服务与保障能力提升（卫生健康人才培养）（直达资金）补助资金预算（第二批）的通知》乌财社〔2023〕133号文件批准。</w:t>
      </w:r>
    </w:p>
    <w:p w14:paraId="73CBA3D3">
      <w:pPr>
        <w:spacing w:line="360" w:lineRule="auto"/>
        <w:ind w:firstLine="560"/>
        <w:rPr>
          <w:rFonts w:ascii="仿宋_GB2312"/>
        </w:rPr>
      </w:pPr>
      <w:r>
        <w:rPr>
          <w:rFonts w:hint="eastAsia" w:ascii="仿宋_GB2312"/>
        </w:rPr>
        <w:t>该项目资金使用情况：总预算541.9万元，实际执行资金4</w:t>
      </w:r>
      <w:r>
        <w:rPr>
          <w:rFonts w:ascii="仿宋_GB2312"/>
        </w:rPr>
        <w:t>01.99万元，其余</w:t>
      </w:r>
      <w:r>
        <w:rPr>
          <w:rFonts w:hint="eastAsia" w:ascii="仿宋_GB2312"/>
        </w:rPr>
        <w:t>1</w:t>
      </w:r>
      <w:r>
        <w:rPr>
          <w:rFonts w:ascii="仿宋_GB2312"/>
        </w:rPr>
        <w:t>39.91万元结转至</w:t>
      </w:r>
      <w:r>
        <w:rPr>
          <w:rFonts w:hint="eastAsia" w:ascii="仿宋_GB2312"/>
        </w:rPr>
        <w:t>2</w:t>
      </w:r>
      <w:r>
        <w:rPr>
          <w:rFonts w:ascii="仿宋_GB2312"/>
        </w:rPr>
        <w:t>024年使用，</w:t>
      </w:r>
      <w:r>
        <w:rPr>
          <w:rFonts w:hint="eastAsia" w:ascii="仿宋_GB2312"/>
        </w:rPr>
        <w:t>预算执行率74.18%。</w:t>
      </w:r>
    </w:p>
    <w:p w14:paraId="3C5B4BEB">
      <w:pPr>
        <w:spacing w:line="360" w:lineRule="auto"/>
        <w:ind w:firstLine="280" w:firstLineChars="100"/>
        <w:rPr>
          <w:rFonts w:ascii="仿宋_GB2312"/>
        </w:rPr>
      </w:pPr>
      <w:r>
        <w:rPr>
          <w:rFonts w:hint="eastAsia" w:ascii="仿宋_GB2312"/>
        </w:rPr>
        <w:t>其中住院医师规范化在培学员7</w:t>
      </w:r>
      <w:r>
        <w:rPr>
          <w:rFonts w:ascii="仿宋_GB2312"/>
        </w:rPr>
        <w:t>2人，发放生活补助标准为：有单位且有医师执业证书</w:t>
      </w:r>
      <w:r>
        <w:rPr>
          <w:rFonts w:hint="eastAsia" w:ascii="仿宋_GB2312"/>
        </w:rPr>
        <w:t>2</w:t>
      </w:r>
      <w:r>
        <w:rPr>
          <w:rFonts w:ascii="仿宋_GB2312"/>
        </w:rPr>
        <w:t>200元</w:t>
      </w:r>
      <w:r>
        <w:rPr>
          <w:rFonts w:hint="eastAsia" w:ascii="仿宋_GB2312"/>
        </w:rPr>
        <w:t>/</w:t>
      </w:r>
      <w:r>
        <w:rPr>
          <w:rFonts w:ascii="仿宋_GB2312"/>
        </w:rPr>
        <w:t>月，有单位无医师执业证书</w:t>
      </w:r>
      <w:r>
        <w:rPr>
          <w:rFonts w:hint="eastAsia" w:ascii="仿宋_GB2312"/>
        </w:rPr>
        <w:t>2</w:t>
      </w:r>
      <w:r>
        <w:rPr>
          <w:rFonts w:ascii="仿宋_GB2312"/>
        </w:rPr>
        <w:t>000元</w:t>
      </w:r>
      <w:r>
        <w:rPr>
          <w:rFonts w:hint="eastAsia" w:ascii="仿宋_GB2312"/>
        </w:rPr>
        <w:t>/</w:t>
      </w:r>
      <w:r>
        <w:rPr>
          <w:rFonts w:ascii="仿宋_GB2312"/>
        </w:rPr>
        <w:t>月；</w:t>
      </w:r>
      <w:r>
        <w:rPr>
          <w:rFonts w:hint="eastAsia" w:ascii="仿宋_GB2312"/>
        </w:rPr>
        <w:t>无</w:t>
      </w:r>
      <w:r>
        <w:rPr>
          <w:rFonts w:ascii="仿宋_GB2312"/>
        </w:rPr>
        <w:t>单位且有医师执业证书3700元</w:t>
      </w:r>
      <w:r>
        <w:rPr>
          <w:rFonts w:hint="eastAsia" w:ascii="仿宋_GB2312"/>
        </w:rPr>
        <w:t>/</w:t>
      </w:r>
      <w:r>
        <w:rPr>
          <w:rFonts w:ascii="仿宋_GB2312"/>
        </w:rPr>
        <w:t>月，</w:t>
      </w:r>
      <w:r>
        <w:rPr>
          <w:rFonts w:hint="eastAsia" w:ascii="仿宋_GB2312"/>
        </w:rPr>
        <w:t>无</w:t>
      </w:r>
      <w:r>
        <w:rPr>
          <w:rFonts w:ascii="仿宋_GB2312"/>
        </w:rPr>
        <w:t>单位无医师执业证书3500元</w:t>
      </w:r>
      <w:r>
        <w:rPr>
          <w:rFonts w:hint="eastAsia" w:ascii="仿宋_GB2312"/>
        </w:rPr>
        <w:t>/</w:t>
      </w:r>
      <w:r>
        <w:rPr>
          <w:rFonts w:ascii="仿宋_GB2312"/>
        </w:rPr>
        <w:t>月；</w:t>
      </w:r>
    </w:p>
    <w:p w14:paraId="781FD06E">
      <w:pPr>
        <w:spacing w:line="360" w:lineRule="auto"/>
        <w:ind w:firstLine="280" w:firstLineChars="100"/>
        <w:rPr>
          <w:rFonts w:ascii="仿宋_GB2312"/>
        </w:rPr>
      </w:pPr>
      <w:r>
        <w:rPr>
          <w:rFonts w:hint="eastAsia" w:ascii="仿宋_GB2312"/>
        </w:rPr>
        <w:t>农村订单定向在培学员</w:t>
      </w:r>
      <w:r>
        <w:rPr>
          <w:rFonts w:ascii="仿宋_GB2312"/>
        </w:rPr>
        <w:t>135人，发放生活补助标准为：有医师执业证书</w:t>
      </w:r>
      <w:r>
        <w:rPr>
          <w:rFonts w:hint="eastAsia" w:ascii="仿宋_GB2312"/>
        </w:rPr>
        <w:t>2</w:t>
      </w:r>
      <w:r>
        <w:rPr>
          <w:rFonts w:ascii="仿宋_GB2312"/>
        </w:rPr>
        <w:t>200元</w:t>
      </w:r>
      <w:r>
        <w:rPr>
          <w:rFonts w:hint="eastAsia" w:ascii="仿宋_GB2312"/>
        </w:rPr>
        <w:t>/</w:t>
      </w:r>
      <w:r>
        <w:rPr>
          <w:rFonts w:ascii="仿宋_GB2312"/>
        </w:rPr>
        <w:t>月，无医师执业证书</w:t>
      </w:r>
      <w:r>
        <w:rPr>
          <w:rFonts w:hint="eastAsia" w:ascii="仿宋_GB2312"/>
        </w:rPr>
        <w:t>2</w:t>
      </w:r>
      <w:r>
        <w:rPr>
          <w:rFonts w:ascii="仿宋_GB2312"/>
        </w:rPr>
        <w:t>000元</w:t>
      </w:r>
      <w:r>
        <w:rPr>
          <w:rFonts w:hint="eastAsia" w:ascii="仿宋_GB2312"/>
        </w:rPr>
        <w:t>/</w:t>
      </w:r>
      <w:r>
        <w:rPr>
          <w:rFonts w:ascii="仿宋_GB2312"/>
        </w:rPr>
        <w:t>月；三年级学员因参与病人管床工作，在上述标准基础上增加</w:t>
      </w:r>
      <w:r>
        <w:rPr>
          <w:rFonts w:hint="eastAsia" w:ascii="仿宋_GB2312"/>
        </w:rPr>
        <w:t>2</w:t>
      </w:r>
      <w:r>
        <w:rPr>
          <w:rFonts w:ascii="仿宋_GB2312"/>
        </w:rPr>
        <w:t>30元</w:t>
      </w:r>
      <w:r>
        <w:rPr>
          <w:rFonts w:hint="eastAsia" w:ascii="仿宋_GB2312"/>
        </w:rPr>
        <w:t>/</w:t>
      </w:r>
      <w:r>
        <w:rPr>
          <w:rFonts w:ascii="仿宋_GB2312"/>
        </w:rPr>
        <w:t>月</w:t>
      </w:r>
      <w:r>
        <w:rPr>
          <w:rFonts w:hint="eastAsia" w:ascii="仿宋_GB2312"/>
        </w:rPr>
        <w:t>，</w:t>
      </w:r>
      <w:r>
        <w:rPr>
          <w:rFonts w:ascii="仿宋_GB2312"/>
        </w:rPr>
        <w:t>共</w:t>
      </w:r>
      <w:r>
        <w:rPr>
          <w:rFonts w:hint="eastAsia" w:ascii="仿宋_GB2312"/>
        </w:rPr>
        <w:t>3</w:t>
      </w:r>
      <w:r>
        <w:rPr>
          <w:rFonts w:ascii="仿宋_GB2312"/>
        </w:rPr>
        <w:t>3人。</w:t>
      </w:r>
    </w:p>
    <w:p w14:paraId="537370BA">
      <w:pPr>
        <w:pStyle w:val="3"/>
        <w:ind w:firstLine="643"/>
        <w:rPr>
          <w:rFonts w:ascii="仿宋" w:hAnsi="仿宋" w:eastAsia="仿宋"/>
          <w:lang w:bidi="en-US"/>
        </w:rPr>
      </w:pPr>
      <w:bookmarkStart w:id="6" w:name="_Toc165277224"/>
      <w:bookmarkStart w:id="7" w:name="_Toc67911603"/>
      <w:r>
        <w:rPr>
          <w:rFonts w:hint="eastAsia" w:ascii="仿宋" w:hAnsi="仿宋" w:eastAsia="仿宋"/>
          <w:lang w:bidi="en-US"/>
        </w:rPr>
        <w:t>（二）项目绩效目标：</w:t>
      </w:r>
      <w:bookmarkEnd w:id="6"/>
      <w:bookmarkEnd w:id="7"/>
    </w:p>
    <w:p w14:paraId="55659F28">
      <w:pPr>
        <w:spacing w:line="360" w:lineRule="auto"/>
        <w:ind w:firstLine="560"/>
        <w:rPr>
          <w:rFonts w:ascii="仿宋_GB2312" w:hAnsi="仿宋"/>
          <w:szCs w:val="28"/>
        </w:rPr>
      </w:pPr>
      <w:r>
        <w:rPr>
          <w:rFonts w:hint="eastAsia" w:ascii="仿宋_GB2312" w:hAnsi="仿宋"/>
          <w:szCs w:val="28"/>
        </w:rPr>
        <w:t>本项目依据《中共中央国务院关于全面实施预算绩效管理的意见》（中发〔2018〕</w:t>
      </w:r>
      <w:r>
        <w:rPr>
          <w:rFonts w:ascii="仿宋_GB2312" w:hAnsi="仿宋"/>
          <w:szCs w:val="28"/>
        </w:rPr>
        <w:t>34</w:t>
      </w:r>
      <w:r>
        <w:rPr>
          <w:rFonts w:hint="eastAsia" w:ascii="仿宋_GB2312" w:hAnsi="仿宋"/>
          <w:szCs w:val="28"/>
        </w:rPr>
        <w:t>号）、《关于印发&lt;乌鲁木齐市本级部门预算绩效目标管理暂行办法</w:t>
      </w:r>
      <w:r>
        <w:rPr>
          <w:rFonts w:ascii="仿宋_GB2312" w:hAnsi="仿宋"/>
          <w:szCs w:val="28"/>
        </w:rPr>
        <w:t>&gt;</w:t>
      </w:r>
      <w:r>
        <w:rPr>
          <w:rFonts w:hint="eastAsia" w:ascii="仿宋_GB2312" w:hAnsi="仿宋"/>
          <w:szCs w:val="28"/>
        </w:rPr>
        <w:t>的通知》（乌财预</w:t>
      </w:r>
      <w:bookmarkStart w:id="8" w:name="_Hlk67566397"/>
      <w:r>
        <w:rPr>
          <w:rFonts w:hint="eastAsia" w:ascii="仿宋_GB2312" w:hAnsi="仿宋"/>
          <w:szCs w:val="28"/>
        </w:rPr>
        <w:t>〔2018〕</w:t>
      </w:r>
      <w:r>
        <w:rPr>
          <w:rFonts w:ascii="仿宋_GB2312" w:hAnsi="仿宋"/>
          <w:szCs w:val="28"/>
        </w:rPr>
        <w:t>5</w:t>
      </w:r>
      <w:r>
        <w:rPr>
          <w:rFonts w:hint="eastAsia" w:ascii="仿宋_GB2312" w:hAnsi="仿宋"/>
          <w:szCs w:val="28"/>
        </w:rPr>
        <w:t>6号</w:t>
      </w:r>
      <w:bookmarkEnd w:id="8"/>
      <w:r>
        <w:rPr>
          <w:rFonts w:hint="eastAsia" w:ascii="仿宋_GB2312" w:hAnsi="仿宋"/>
          <w:szCs w:val="28"/>
        </w:rPr>
        <w:t>）、《关于做好2</w:t>
      </w:r>
      <w:r>
        <w:rPr>
          <w:rFonts w:ascii="仿宋_GB2312" w:hAnsi="仿宋"/>
          <w:szCs w:val="28"/>
        </w:rPr>
        <w:t>019</w:t>
      </w:r>
      <w:r>
        <w:rPr>
          <w:rFonts w:hint="eastAsia" w:ascii="仿宋_GB2312" w:hAnsi="仿宋"/>
          <w:szCs w:val="28"/>
        </w:rPr>
        <w:t>年部门预算项目支出绩效目标管理有关事宜的通知》（乌财预〔20</w:t>
      </w:r>
      <w:r>
        <w:rPr>
          <w:rFonts w:ascii="仿宋_GB2312" w:hAnsi="仿宋"/>
          <w:szCs w:val="28"/>
        </w:rPr>
        <w:t>18</w:t>
      </w:r>
      <w:r>
        <w:rPr>
          <w:rFonts w:hint="eastAsia" w:ascii="仿宋_GB2312" w:hAnsi="仿宋"/>
          <w:szCs w:val="28"/>
        </w:rPr>
        <w:t>〕</w:t>
      </w:r>
      <w:r>
        <w:rPr>
          <w:rFonts w:ascii="仿宋_GB2312" w:hAnsi="仿宋"/>
          <w:szCs w:val="28"/>
        </w:rPr>
        <w:t>76</w:t>
      </w:r>
      <w:r>
        <w:rPr>
          <w:rFonts w:hint="eastAsia" w:ascii="仿宋_GB2312" w:hAnsi="仿宋"/>
          <w:szCs w:val="28"/>
        </w:rPr>
        <w:t>号）和《项目支出绩效评价管理办法》（财预〔20</w:t>
      </w:r>
      <w:r>
        <w:rPr>
          <w:rFonts w:ascii="仿宋_GB2312" w:hAnsi="仿宋"/>
          <w:szCs w:val="28"/>
        </w:rPr>
        <w:t>20</w:t>
      </w:r>
      <w:r>
        <w:rPr>
          <w:rFonts w:hint="eastAsia" w:ascii="仿宋_GB2312" w:hAnsi="仿宋"/>
          <w:szCs w:val="28"/>
        </w:rPr>
        <w:t>〕</w:t>
      </w:r>
      <w:r>
        <w:rPr>
          <w:rFonts w:ascii="仿宋_GB2312" w:hAnsi="仿宋"/>
          <w:szCs w:val="28"/>
        </w:rPr>
        <w:t>10</w:t>
      </w:r>
      <w:r>
        <w:rPr>
          <w:rFonts w:hint="eastAsia" w:ascii="仿宋_GB2312" w:hAnsi="仿宋"/>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14:paraId="3697B4B2">
      <w:pPr>
        <w:spacing w:line="360" w:lineRule="auto"/>
        <w:ind w:firstLine="560"/>
        <w:rPr>
          <w:rFonts w:ascii="仿宋_GB2312" w:hAnsi="仿宋"/>
          <w:szCs w:val="28"/>
        </w:rPr>
      </w:pPr>
      <w:r>
        <w:rPr>
          <w:rFonts w:hint="eastAsia" w:ascii="仿宋_GB2312" w:hAnsi="仿宋"/>
          <w:szCs w:val="28"/>
        </w:rPr>
        <w:t>该项目为</w:t>
      </w:r>
      <w:r>
        <w:rPr>
          <w:rFonts w:ascii="仿宋_GB2312" w:hAnsi="仿宋"/>
          <w:szCs w:val="28"/>
        </w:rPr>
        <w:t>经常性项目。</w:t>
      </w:r>
    </w:p>
    <w:p w14:paraId="74FBF178">
      <w:pPr>
        <w:spacing w:line="360" w:lineRule="auto"/>
        <w:ind w:firstLine="560"/>
        <w:rPr>
          <w:rFonts w:ascii="仿宋_GB2312" w:hAnsi="仿宋"/>
          <w:szCs w:val="28"/>
        </w:rPr>
      </w:pPr>
      <w:r>
        <w:rPr>
          <w:rFonts w:hint="eastAsia" w:ascii="仿宋_GB2312" w:hAnsi="仿宋"/>
          <w:szCs w:val="28"/>
        </w:rPr>
        <w:t>该项目总体绩效目标：作为国家中医住院医师规范化培训基地，开展中医、中医全科住院医师规范化培训项目，提升学员临床诊疗能力和公共卫生服务能力，使其能够逐步胜任医疗卫生机构住院医师工作岗位要求，为全疆尤其是基层培养合格的中医医师。</w:t>
      </w:r>
    </w:p>
    <w:p w14:paraId="006B7C83">
      <w:pPr>
        <w:spacing w:line="360" w:lineRule="auto"/>
        <w:ind w:firstLine="560"/>
        <w:rPr>
          <w:rFonts w:ascii="仿宋_GB2312" w:hAnsi="仿宋"/>
          <w:szCs w:val="28"/>
        </w:rPr>
      </w:pPr>
      <w:r>
        <w:rPr>
          <w:rFonts w:ascii="仿宋_GB2312" w:hAnsi="仿宋"/>
          <w:szCs w:val="28"/>
        </w:rPr>
        <w:t>该项目阶段性目标为：</w:t>
      </w:r>
      <w:r>
        <w:rPr>
          <w:rFonts w:hint="eastAsia" w:ascii="仿宋_GB2312"/>
        </w:rPr>
        <w:t>按照自治区招录名额，完成2023年中医20名住院医师规范化培训招录和2023年48名农村订单定向中医全科住院医规范化培训项目的招录任务，按照住院医师规范化培训大纲开展培训工作；遵照相关文件要求发放学员各项补贴。</w:t>
      </w:r>
    </w:p>
    <w:p w14:paraId="36946111">
      <w:pPr>
        <w:pStyle w:val="2"/>
        <w:ind w:firstLine="0" w:firstLineChars="0"/>
        <w:jc w:val="left"/>
        <w:rPr>
          <w:rFonts w:ascii="仿宋" w:hAnsi="仿宋" w:eastAsia="仿宋"/>
          <w:sz w:val="36"/>
          <w:szCs w:val="36"/>
          <w:lang w:bidi="en-US"/>
        </w:rPr>
      </w:pPr>
      <w:bookmarkStart w:id="9" w:name="_Toc67911604"/>
      <w:bookmarkStart w:id="10" w:name="_Toc165277225"/>
      <w:r>
        <w:rPr>
          <w:rFonts w:hint="eastAsia" w:ascii="仿宋" w:hAnsi="仿宋" w:eastAsia="仿宋"/>
          <w:sz w:val="36"/>
          <w:szCs w:val="36"/>
          <w:lang w:bidi="en-US"/>
        </w:rPr>
        <w:t>二、绩效评价工作开展情况</w:t>
      </w:r>
      <w:bookmarkEnd w:id="9"/>
      <w:bookmarkEnd w:id="10"/>
    </w:p>
    <w:p w14:paraId="755C9AD9">
      <w:pPr>
        <w:pStyle w:val="3"/>
        <w:ind w:firstLine="643"/>
        <w:rPr>
          <w:rFonts w:ascii="仿宋" w:hAnsi="仿宋" w:eastAsia="仿宋"/>
          <w:lang w:bidi="en-US"/>
        </w:rPr>
      </w:pPr>
      <w:bookmarkStart w:id="11" w:name="_Toc165277226"/>
      <w:bookmarkStart w:id="12" w:name="_Toc67911605"/>
      <w:r>
        <w:rPr>
          <w:rFonts w:hint="eastAsia" w:ascii="仿宋" w:hAnsi="仿宋" w:eastAsia="仿宋"/>
          <w:lang w:bidi="en-US"/>
        </w:rPr>
        <w:t>（一）绩效评价目的、对象和范围</w:t>
      </w:r>
      <w:bookmarkEnd w:id="11"/>
      <w:bookmarkEnd w:id="12"/>
    </w:p>
    <w:p w14:paraId="21A3354C">
      <w:pPr>
        <w:pStyle w:val="4"/>
        <w:ind w:firstLine="643"/>
      </w:pPr>
      <w:bookmarkStart w:id="13" w:name="_Toc165277227"/>
      <w:r>
        <w:rPr>
          <w:rFonts w:hint="eastAsia"/>
        </w:rPr>
        <w:t>1</w:t>
      </w:r>
      <w:r>
        <w:t>.绩效评价完整性</w:t>
      </w:r>
      <w:bookmarkEnd w:id="13"/>
    </w:p>
    <w:p w14:paraId="353C5E81">
      <w:pPr>
        <w:spacing w:line="360" w:lineRule="auto"/>
        <w:ind w:firstLine="560"/>
        <w:rPr>
          <w:rFonts w:ascii="仿宋_GB2312" w:hAnsi="仿宋"/>
          <w:szCs w:val="28"/>
        </w:rPr>
      </w:pPr>
      <w:r>
        <w:rPr>
          <w:rFonts w:hint="eastAsia" w:ascii="仿宋_GB2312" w:hAnsi="仿宋" w:cs="宋体"/>
          <w:kern w:val="0"/>
          <w:szCs w:val="28"/>
        </w:rPr>
        <w:t>各项指标均能在现实条件下收集到相关数据进行佐证，招收完成率和紧缺专业招收完成率通过自治区卫健委下达文件与我院招录学员名单作为佐证；考核通过率通过自治区卫健委转发的考核成绩单、国家中医住院医师规范化管理平台中合格证书管理作为佐证材料；培养计划完成率提供情况说明；项目的投入标准提供财务明细账；参培住院医师的业务水平提供情况说明；参培对象满意度提供问卷星导出数据作为佐证材料，并与当年项目年度计划相对应</w:t>
      </w:r>
      <w:r>
        <w:rPr>
          <w:rFonts w:hint="eastAsia" w:ascii="仿宋_GB2312" w:hAnsi="仿宋"/>
          <w:szCs w:val="28"/>
        </w:rPr>
        <w:t>。</w:t>
      </w:r>
    </w:p>
    <w:p w14:paraId="68023CDF">
      <w:pPr>
        <w:pStyle w:val="4"/>
        <w:ind w:firstLine="643"/>
      </w:pPr>
      <w:bookmarkStart w:id="14" w:name="_Toc165277228"/>
      <w:r>
        <w:t>2</w:t>
      </w:r>
      <w:r>
        <w:rPr>
          <w:rFonts w:hint="eastAsia"/>
        </w:rPr>
        <w:t>.评价目的</w:t>
      </w:r>
      <w:bookmarkEnd w:id="14"/>
    </w:p>
    <w:p w14:paraId="38E63830">
      <w:pPr>
        <w:spacing w:line="360" w:lineRule="auto"/>
        <w:ind w:firstLine="560"/>
        <w:rPr>
          <w:rFonts w:ascii="仿宋_GB2312"/>
          <w:b/>
          <w:bCs/>
        </w:rPr>
      </w:pPr>
      <w:r>
        <w:rPr>
          <w:rFonts w:hint="eastAsia" w:ascii="仿宋_GB231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730668F8">
      <w:pPr>
        <w:pStyle w:val="4"/>
        <w:ind w:firstLine="643"/>
      </w:pPr>
      <w:bookmarkStart w:id="15" w:name="_Toc165277229"/>
      <w:r>
        <w:t>3</w:t>
      </w:r>
      <w:r>
        <w:rPr>
          <w:rFonts w:hint="eastAsia"/>
        </w:rPr>
        <w:t>.评价对象</w:t>
      </w:r>
      <w:bookmarkEnd w:id="15"/>
    </w:p>
    <w:p w14:paraId="57F5E2A3">
      <w:pPr>
        <w:spacing w:line="360" w:lineRule="auto"/>
        <w:ind w:firstLine="560"/>
        <w:rPr>
          <w:rFonts w:ascii="仿宋_GB2312"/>
        </w:rPr>
      </w:pPr>
      <w:r>
        <w:rPr>
          <w:rFonts w:hint="eastAsia" w:ascii="仿宋_GB2312"/>
        </w:rPr>
        <w:t>（1）绩效评价的对象：2023年中央财政医疗服务与保障能力提升（卫生健康人才培养）补助资金项目</w:t>
      </w:r>
      <w:r>
        <w:rPr>
          <w:rFonts w:ascii="仿宋_GB2312"/>
        </w:rPr>
        <w:t xml:space="preserve"> </w:t>
      </w:r>
    </w:p>
    <w:p w14:paraId="350F3324">
      <w:pPr>
        <w:pStyle w:val="4"/>
        <w:ind w:firstLine="643"/>
      </w:pPr>
      <w:bookmarkStart w:id="16" w:name="_Toc165277230"/>
      <w:r>
        <w:rPr>
          <w:rFonts w:hint="eastAsia"/>
        </w:rPr>
        <w:t>4</w:t>
      </w:r>
      <w:r>
        <w:t>.</w:t>
      </w:r>
      <w:r>
        <w:rPr>
          <w:rFonts w:hint="eastAsia"/>
        </w:rPr>
        <w:t>绩效评价范围</w:t>
      </w:r>
      <w:bookmarkEnd w:id="16"/>
    </w:p>
    <w:p w14:paraId="2329B07D">
      <w:pPr>
        <w:spacing w:line="360" w:lineRule="auto"/>
        <w:ind w:firstLine="560"/>
        <w:rPr>
          <w:rFonts w:ascii="仿宋_GB2312"/>
        </w:rPr>
      </w:pPr>
      <w:r>
        <w:rPr>
          <w:rFonts w:ascii="仿宋_GB2312"/>
        </w:rPr>
        <w:t>1.</w:t>
      </w:r>
      <w:r>
        <w:rPr>
          <w:rFonts w:hint="eastAsia" w:ascii="仿宋_GB2312"/>
        </w:rPr>
        <w:t>时间范围：2</w:t>
      </w:r>
      <w:r>
        <w:rPr>
          <w:rFonts w:ascii="仿宋_GB2312"/>
        </w:rPr>
        <w:t>023</w:t>
      </w:r>
      <w:r>
        <w:rPr>
          <w:rFonts w:hint="eastAsia" w:ascii="仿宋_GB2312"/>
        </w:rPr>
        <w:t>年1月1日至2</w:t>
      </w:r>
      <w:r>
        <w:rPr>
          <w:rFonts w:ascii="仿宋_GB2312"/>
        </w:rPr>
        <w:t>023</w:t>
      </w:r>
      <w:r>
        <w:rPr>
          <w:rFonts w:hint="eastAsia" w:ascii="仿宋_GB2312"/>
        </w:rPr>
        <w:t>年1</w:t>
      </w:r>
      <w:r>
        <w:rPr>
          <w:rFonts w:ascii="仿宋_GB2312"/>
        </w:rPr>
        <w:t>2</w:t>
      </w:r>
      <w:r>
        <w:rPr>
          <w:rFonts w:hint="eastAsia" w:ascii="仿宋_GB2312"/>
        </w:rPr>
        <w:t>月3</w:t>
      </w:r>
      <w:r>
        <w:rPr>
          <w:rFonts w:ascii="仿宋_GB2312"/>
        </w:rPr>
        <w:t>1</w:t>
      </w:r>
      <w:r>
        <w:rPr>
          <w:rFonts w:hint="eastAsia" w:ascii="仿宋_GB2312"/>
        </w:rPr>
        <w:t>日。</w:t>
      </w:r>
    </w:p>
    <w:p w14:paraId="11647F09">
      <w:pPr>
        <w:spacing w:line="360" w:lineRule="auto"/>
        <w:ind w:firstLine="560"/>
        <w:jc w:val="left"/>
        <w:rPr>
          <w:rFonts w:ascii="仿宋_GB2312"/>
          <w:szCs w:val="28"/>
        </w:rPr>
      </w:pPr>
      <w:r>
        <w:rPr>
          <w:rFonts w:ascii="仿宋_GB2312"/>
        </w:rPr>
        <w:t>2.</w:t>
      </w:r>
      <w:r>
        <w:rPr>
          <w:rFonts w:hint="eastAsia" w:ascii="仿宋_GB2312"/>
        </w:rPr>
        <w:t>项目范围：2023年中央财政医疗服务与保障能力提升（卫生健康人才培养）补助资金项目按照自治区招录名额，完成住院医师规范化培训招录任务，按照住院医师规范化培训大纲开展培训工作，遵照相关文件要求发放学员各项补贴，</w:t>
      </w:r>
      <w:r>
        <w:rPr>
          <w:rFonts w:hint="eastAsia" w:ascii="仿宋_GB2312"/>
          <w:szCs w:val="28"/>
        </w:rPr>
        <w:t>强化师资队伍培养，使住培学员快速转变由学生到医生的角色，采取“2+2+2模式”培养，使全科医师回到当地卫生院，可以独当一面，独立胜任社区工作，成为基层中医事业的中坚力量。还需进一步完善院级住培督导及管理体系建设</w:t>
      </w:r>
      <w:r>
        <w:rPr>
          <w:rFonts w:ascii="仿宋_GB2312"/>
          <w:szCs w:val="28"/>
        </w:rPr>
        <w:t>，</w:t>
      </w:r>
      <w:r>
        <w:rPr>
          <w:rFonts w:hint="eastAsia" w:ascii="仿宋_GB2312"/>
          <w:szCs w:val="28"/>
        </w:rPr>
        <w:t>细化督导内容，增强时效性和可持续性，将住培督导结果与绩效能紧密结合，充分调动带教科室的积极性；持续技能中心改造建设</w:t>
      </w:r>
      <w:r>
        <w:rPr>
          <w:rFonts w:ascii="仿宋_GB2312"/>
          <w:szCs w:val="28"/>
        </w:rPr>
        <w:t>，</w:t>
      </w:r>
      <w:r>
        <w:rPr>
          <w:rFonts w:hint="eastAsia" w:ascii="仿宋_GB2312"/>
          <w:szCs w:val="28"/>
        </w:rPr>
        <w:t>目前技能中心已完成基本改造建设，视频录播系统正在招标中，争取尽早建成能够满足住院医师规范化培训技能训练需求的实训中心。最终评分结果为：总分为</w:t>
      </w:r>
      <w:r>
        <w:rPr>
          <w:rFonts w:ascii="仿宋_GB2312"/>
          <w:szCs w:val="28"/>
        </w:rPr>
        <w:t>98.71</w:t>
      </w:r>
      <w:r>
        <w:rPr>
          <w:rFonts w:hint="eastAsia" w:ascii="仿宋_GB2312"/>
          <w:szCs w:val="28"/>
        </w:rPr>
        <w:t>分，绩效评级为“优”</w:t>
      </w:r>
      <w:r>
        <w:rPr>
          <w:rStyle w:val="20"/>
          <w:rFonts w:ascii="仿宋_GB2312"/>
          <w:szCs w:val="28"/>
        </w:rPr>
        <w:footnoteReference w:id="0"/>
      </w:r>
      <w:r>
        <w:rPr>
          <w:rFonts w:hint="eastAsia" w:ascii="仿宋_GB2312"/>
          <w:szCs w:val="28"/>
        </w:rPr>
        <w:t>。</w:t>
      </w:r>
    </w:p>
    <w:p w14:paraId="1E0D1734">
      <w:pPr>
        <w:pStyle w:val="3"/>
        <w:ind w:firstLine="643"/>
        <w:rPr>
          <w:rFonts w:ascii="仿宋" w:hAnsi="仿宋" w:eastAsia="仿宋"/>
          <w:lang w:bidi="en-US"/>
        </w:rPr>
      </w:pPr>
      <w:bookmarkStart w:id="17" w:name="_Toc165277231"/>
      <w:bookmarkStart w:id="18" w:name="_Toc67911606"/>
      <w:bookmarkStart w:id="19" w:name="_Hlk67586765"/>
      <w:r>
        <w:rPr>
          <w:rFonts w:hint="eastAsia" w:ascii="仿宋" w:hAnsi="仿宋" w:eastAsia="仿宋"/>
          <w:lang w:bidi="en-US"/>
        </w:rPr>
        <w:t>（二）绩效评价原则、指标体系、方法及标准</w:t>
      </w:r>
      <w:bookmarkEnd w:id="17"/>
      <w:bookmarkEnd w:id="18"/>
    </w:p>
    <w:bookmarkEnd w:id="19"/>
    <w:p w14:paraId="66DC0452">
      <w:pPr>
        <w:pStyle w:val="4"/>
        <w:ind w:firstLine="643"/>
      </w:pPr>
      <w:bookmarkStart w:id="20" w:name="_Toc165277232"/>
      <w:r>
        <w:rPr>
          <w:rFonts w:hint="eastAsia"/>
        </w:rPr>
        <w:t>1</w:t>
      </w:r>
      <w:r>
        <w:t>.</w:t>
      </w:r>
      <w:r>
        <w:rPr>
          <w:rFonts w:hint="eastAsia"/>
        </w:rPr>
        <w:t>评价原则</w:t>
      </w:r>
      <w:bookmarkEnd w:id="20"/>
    </w:p>
    <w:p w14:paraId="5D6DBEAD">
      <w:pPr>
        <w:spacing w:line="360" w:lineRule="auto"/>
        <w:ind w:firstLine="560"/>
        <w:rPr>
          <w:rFonts w:ascii="仿宋_GB2312"/>
        </w:rPr>
      </w:pPr>
      <w:r>
        <w:rPr>
          <w:rFonts w:hint="eastAsia" w:ascii="仿宋_GB2312"/>
        </w:rPr>
        <w:t>（一）科学公正。绩效评价应当运用科学合理的方法，按照规范的程序，对项目绩效进行客观、公正的反映。</w:t>
      </w:r>
    </w:p>
    <w:p w14:paraId="5638CB0A">
      <w:pPr>
        <w:spacing w:line="360" w:lineRule="auto"/>
        <w:ind w:firstLine="560"/>
        <w:rPr>
          <w:rFonts w:ascii="仿宋_GB2312"/>
        </w:rPr>
      </w:pPr>
      <w:r>
        <w:rPr>
          <w:rFonts w:hint="eastAsia" w:ascii="仿宋_GB231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14:paraId="5BD21074">
      <w:pPr>
        <w:spacing w:line="360" w:lineRule="auto"/>
        <w:ind w:firstLine="560"/>
        <w:rPr>
          <w:rFonts w:ascii="仿宋_GB2312"/>
        </w:rPr>
      </w:pPr>
      <w:r>
        <w:rPr>
          <w:rFonts w:hint="eastAsia" w:ascii="仿宋_GB2312"/>
        </w:rPr>
        <w:t>（三）激励约束。绩效评价结果应与预算安排、政策调整、改进管理实质性挂钩，体现奖优罚劣和激励相容导向，有效要安排、低效要压减、无效要问责。</w:t>
      </w:r>
    </w:p>
    <w:p w14:paraId="24CE1978">
      <w:pPr>
        <w:spacing w:line="360" w:lineRule="auto"/>
        <w:ind w:firstLine="560"/>
        <w:rPr>
          <w:rFonts w:ascii="仿宋_GB2312"/>
        </w:rPr>
      </w:pPr>
      <w:r>
        <w:rPr>
          <w:rFonts w:hint="eastAsia" w:ascii="仿宋_GB2312"/>
        </w:rPr>
        <w:t>（四）公开透明。绩效评价结果应依法依规公开，并自觉接受社会监督。</w:t>
      </w:r>
    </w:p>
    <w:p w14:paraId="11B3D694">
      <w:pPr>
        <w:pStyle w:val="4"/>
        <w:ind w:firstLine="643"/>
      </w:pPr>
      <w:bookmarkStart w:id="21" w:name="_Toc165277233"/>
      <w:r>
        <w:t>2.</w:t>
      </w:r>
      <w:r>
        <w:rPr>
          <w:rFonts w:hint="eastAsia"/>
        </w:rPr>
        <w:t>评价指标体系</w:t>
      </w:r>
      <w:bookmarkEnd w:id="21"/>
    </w:p>
    <w:p w14:paraId="3B3BB845">
      <w:pPr>
        <w:spacing w:line="360" w:lineRule="auto"/>
        <w:ind w:firstLine="560"/>
        <w:rPr>
          <w:rFonts w:ascii="仿宋_GB2312"/>
        </w:rPr>
      </w:pPr>
      <w:r>
        <w:rPr>
          <w:rFonts w:hint="eastAsia" w:ascii="仿宋_GB2312"/>
        </w:rPr>
        <w:t>绩效评价指标体系作为衡量绩效目标实现程度的考核工具，一般遵循以下原则：</w:t>
      </w:r>
    </w:p>
    <w:p w14:paraId="7D18F3FF">
      <w:pPr>
        <w:spacing w:line="360" w:lineRule="auto"/>
        <w:ind w:firstLine="560"/>
        <w:rPr>
          <w:rFonts w:ascii="仿宋_GB2312"/>
        </w:rPr>
      </w:pPr>
      <w:r>
        <w:rPr>
          <w:rFonts w:hint="eastAsia" w:ascii="仿宋_GB2312"/>
        </w:rPr>
        <w:t>（1）相关性原则：绩效评价指标应当与绩效目标有直接的联系，能够恰当反映目标的实现程度。</w:t>
      </w:r>
    </w:p>
    <w:p w14:paraId="41558209">
      <w:pPr>
        <w:spacing w:line="360" w:lineRule="auto"/>
        <w:ind w:firstLine="560"/>
        <w:rPr>
          <w:rFonts w:ascii="仿宋_GB2312"/>
        </w:rPr>
      </w:pPr>
      <w:r>
        <w:rPr>
          <w:rFonts w:hint="eastAsia" w:ascii="仿宋_GB2312"/>
        </w:rPr>
        <w:t>（2）重要性原则：应当优先使用最具评价对象代表性、最能反映评价要求的核心指标。</w:t>
      </w:r>
    </w:p>
    <w:p w14:paraId="086A6B9D">
      <w:pPr>
        <w:spacing w:line="360" w:lineRule="auto"/>
        <w:ind w:firstLine="560"/>
        <w:rPr>
          <w:rFonts w:ascii="仿宋_GB2312"/>
        </w:rPr>
      </w:pPr>
      <w:r>
        <w:rPr>
          <w:rFonts w:hint="eastAsia" w:ascii="仿宋_GB2312"/>
        </w:rPr>
        <w:t>（3）可比性原则：对同类评价对象要设定共性的绩效评价指标，以便于评价结果可以相互比较。</w:t>
      </w:r>
    </w:p>
    <w:p w14:paraId="75AF1F6D">
      <w:pPr>
        <w:spacing w:line="360" w:lineRule="auto"/>
        <w:ind w:firstLine="560"/>
        <w:rPr>
          <w:rFonts w:ascii="仿宋_GB2312"/>
        </w:rPr>
      </w:pPr>
      <w:r>
        <w:rPr>
          <w:rFonts w:hint="eastAsia" w:ascii="仿宋_GB2312"/>
        </w:rPr>
        <w:t>（4）系统性原则：绩效评价指标的设置应当将定量指标与定性指标相结合，能系统反映财政支出所产生的社会效益、经济效益和可持续影响等。</w:t>
      </w:r>
    </w:p>
    <w:p w14:paraId="5A559E0B">
      <w:pPr>
        <w:spacing w:line="360" w:lineRule="auto"/>
        <w:ind w:firstLine="560"/>
        <w:rPr>
          <w:rFonts w:ascii="仿宋_GB2312"/>
        </w:rPr>
      </w:pPr>
      <w:r>
        <w:rPr>
          <w:rFonts w:hint="eastAsia" w:ascii="仿宋_GB2312"/>
        </w:rPr>
        <w:t>（5）经济性原则：绩效评价指标设计应当通俗易懂、简便易行，数据的获得应当考虑现实条件和可操作性，符合成本效益原则。</w:t>
      </w:r>
    </w:p>
    <w:p w14:paraId="219CF92B">
      <w:pPr>
        <w:spacing w:line="360" w:lineRule="auto"/>
        <w:ind w:firstLine="560"/>
        <w:rPr>
          <w:rFonts w:ascii="仿宋_GB2312"/>
        </w:rPr>
      </w:pPr>
      <w:r>
        <w:rPr>
          <w:rFonts w:hint="eastAsia" w:ascii="仿宋_GB2312"/>
        </w:rPr>
        <w:t>本项目的评价指标体系建立如下表所示。</w:t>
      </w:r>
    </w:p>
    <w:p w14:paraId="1E0FB30D">
      <w:pPr>
        <w:spacing w:line="360" w:lineRule="auto"/>
        <w:ind w:firstLine="560"/>
        <w:rPr>
          <w:rFonts w:ascii="仿宋_GB2312"/>
        </w:rPr>
      </w:pPr>
    </w:p>
    <w:p w14:paraId="5B54B7B0">
      <w:pPr>
        <w:spacing w:line="360" w:lineRule="auto"/>
        <w:ind w:firstLine="560"/>
        <w:rPr>
          <w:rFonts w:ascii="仿宋_GB2312"/>
        </w:rPr>
      </w:pPr>
    </w:p>
    <w:p w14:paraId="64BAD90A">
      <w:pPr>
        <w:spacing w:line="360" w:lineRule="auto"/>
        <w:ind w:firstLine="560"/>
        <w:rPr>
          <w:rFonts w:ascii="仿宋_GB2312"/>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14:paraId="4A67B0D3">
      <w:pPr>
        <w:spacing w:line="360" w:lineRule="auto"/>
        <w:ind w:firstLine="0" w:firstLineChars="0"/>
        <w:jc w:val="center"/>
        <w:rPr>
          <w:rFonts w:ascii="仿宋_GB2312"/>
          <w:b/>
          <w:bCs/>
        </w:rPr>
      </w:pPr>
      <w:r>
        <w:rPr>
          <w:rFonts w:ascii="仿宋_GB2312"/>
          <w:b/>
          <w:bCs/>
        </w:rPr>
        <w:t xml:space="preserve">  </w:t>
      </w:r>
      <w:r>
        <w:rPr>
          <w:rFonts w:hint="eastAsia" w:ascii="仿宋_GB2312"/>
          <w:b/>
          <w:bCs/>
        </w:rPr>
        <w:t>项目支出绩效评价指标体系</w:t>
      </w: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1334B9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14:paraId="06F76533">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199" w:type="dxa"/>
            <w:tcBorders>
              <w:tl2br w:val="nil"/>
              <w:tr2bl w:val="nil"/>
            </w:tcBorders>
            <w:shd w:val="clear" w:color="auto" w:fill="D0CECE" w:themeFill="background2" w:themeFillShade="E6"/>
            <w:vAlign w:val="center"/>
          </w:tcPr>
          <w:p w14:paraId="5BF20122">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411" w:type="dxa"/>
            <w:tcBorders>
              <w:tl2br w:val="nil"/>
              <w:tr2bl w:val="nil"/>
            </w:tcBorders>
            <w:shd w:val="clear" w:color="auto" w:fill="D0CECE" w:themeFill="background2" w:themeFillShade="E6"/>
            <w:vAlign w:val="center"/>
          </w:tcPr>
          <w:p w14:paraId="6E226A9D">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2789" w:type="dxa"/>
            <w:tcBorders>
              <w:tl2br w:val="nil"/>
              <w:tr2bl w:val="nil"/>
            </w:tcBorders>
            <w:shd w:val="clear" w:color="auto" w:fill="D0CECE" w:themeFill="background2" w:themeFillShade="E6"/>
            <w:vAlign w:val="center"/>
          </w:tcPr>
          <w:p w14:paraId="3960ED24">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7341" w:type="dxa"/>
            <w:tcBorders>
              <w:tl2br w:val="nil"/>
              <w:tr2bl w:val="nil"/>
            </w:tcBorders>
            <w:shd w:val="clear" w:color="auto" w:fill="D0CECE" w:themeFill="background2" w:themeFillShade="E6"/>
            <w:vAlign w:val="center"/>
          </w:tcPr>
          <w:p w14:paraId="56764B54">
            <w:pPr>
              <w:widowControl/>
              <w:ind w:firstLine="0" w:firstLineChars="0"/>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指标说明</w:t>
            </w:r>
          </w:p>
        </w:tc>
      </w:tr>
      <w:tr w14:paraId="0DEF5D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68C795C1">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vMerge w:val="restart"/>
            <w:tcBorders>
              <w:tl2br w:val="nil"/>
              <w:tr2bl w:val="nil"/>
            </w:tcBorders>
            <w:shd w:val="clear" w:color="auto" w:fill="FFFFFF"/>
            <w:vAlign w:val="center"/>
          </w:tcPr>
          <w:p w14:paraId="4BC8E92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项目立项</w:t>
            </w:r>
          </w:p>
        </w:tc>
        <w:tc>
          <w:tcPr>
            <w:tcW w:w="1411" w:type="dxa"/>
            <w:tcBorders>
              <w:tl2br w:val="nil"/>
              <w:tr2bl w:val="nil"/>
            </w:tcBorders>
            <w:shd w:val="clear" w:color="auto" w:fill="FFFFFF"/>
            <w:vAlign w:val="center"/>
          </w:tcPr>
          <w:p w14:paraId="75A44C8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立项依据</w:t>
            </w:r>
          </w:p>
          <w:p w14:paraId="3B1A054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充分性</w:t>
            </w:r>
          </w:p>
        </w:tc>
        <w:tc>
          <w:tcPr>
            <w:tcW w:w="2789" w:type="dxa"/>
            <w:tcBorders>
              <w:tl2br w:val="nil"/>
              <w:tr2bl w:val="nil"/>
            </w:tcBorders>
            <w:shd w:val="clear" w:color="auto" w:fill="FFFFFF"/>
            <w:vAlign w:val="center"/>
          </w:tcPr>
          <w:p w14:paraId="7049746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4D032D58">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①项目立项是否符合国家法律法规、国民经济发展规划和相关政策；</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②项目立项是否符合行业发展规划和政策要求；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③项目立项是否与部门职责范围相符，属于部门履职所需；</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④项目是否属于公共财政支持范围，是否符合中央、地方事权支出责任划分原则；</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⑤项目是否与相关部门同类项目或部门内部相关项目重复。</w:t>
            </w:r>
          </w:p>
        </w:tc>
      </w:tr>
      <w:tr w14:paraId="23E9EA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32D3FAB3">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094584B7">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4B01123C">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立项程序</w:t>
            </w:r>
          </w:p>
          <w:p w14:paraId="032552A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规范性</w:t>
            </w:r>
          </w:p>
        </w:tc>
        <w:tc>
          <w:tcPr>
            <w:tcW w:w="2789" w:type="dxa"/>
            <w:tcBorders>
              <w:tl2br w:val="nil"/>
              <w:tr2bl w:val="nil"/>
            </w:tcBorders>
            <w:shd w:val="clear" w:color="auto" w:fill="FFFFFF"/>
            <w:vAlign w:val="center"/>
          </w:tcPr>
          <w:p w14:paraId="49E095C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14:paraId="47DDD2B9">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①项目是否按照规定的程序申请设立；</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②审批文件、材料是否符合相关要求；</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③事前是否已经过必要的可行性研究、专家论证、风险评估、绩效评估、集体决策。</w:t>
            </w:r>
          </w:p>
        </w:tc>
      </w:tr>
      <w:tr w14:paraId="63ADC5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5FCBD045">
            <w:pPr>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14:paraId="2901C40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43CB1086">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p w14:paraId="6045AA7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000000" w:fill="FFFFFF"/>
            <w:vAlign w:val="center"/>
          </w:tcPr>
          <w:p w14:paraId="6BA868A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36C3799A">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（如未设定预算绩效目标，也可考核其他工作任务目标）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①项目是否有绩效目标；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②项目绩效目标与实际工作内容是否具有相关性；</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③项目预期产出效益和效果是否符合正常的业绩水平；</w:t>
            </w:r>
          </w:p>
          <w:p w14:paraId="041CE5EF">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④是否与预算确定的项目投资额或资金量相匹配。</w:t>
            </w:r>
          </w:p>
        </w:tc>
      </w:tr>
      <w:tr w14:paraId="11B090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1C75611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决策</w:t>
            </w:r>
          </w:p>
        </w:tc>
        <w:tc>
          <w:tcPr>
            <w:tcW w:w="1199" w:type="dxa"/>
            <w:tcBorders>
              <w:tl2br w:val="nil"/>
              <w:tr2bl w:val="nil"/>
            </w:tcBorders>
            <w:shd w:val="clear" w:color="auto" w:fill="FFFFFF"/>
            <w:vAlign w:val="center"/>
          </w:tcPr>
          <w:p w14:paraId="5E1ADA0A">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绩效目标</w:t>
            </w:r>
          </w:p>
        </w:tc>
        <w:tc>
          <w:tcPr>
            <w:tcW w:w="1411" w:type="dxa"/>
            <w:tcBorders>
              <w:tl2br w:val="nil"/>
              <w:tr2bl w:val="nil"/>
            </w:tcBorders>
            <w:shd w:val="clear" w:color="auto" w:fill="FFFFFF"/>
            <w:vAlign w:val="center"/>
          </w:tcPr>
          <w:p w14:paraId="472BA94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绩效指标</w:t>
            </w:r>
          </w:p>
          <w:p w14:paraId="710A7F2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明确性</w:t>
            </w:r>
          </w:p>
        </w:tc>
        <w:tc>
          <w:tcPr>
            <w:tcW w:w="2789" w:type="dxa"/>
            <w:tcBorders>
              <w:tl2br w:val="nil"/>
              <w:tr2bl w:val="nil"/>
            </w:tcBorders>
            <w:shd w:val="clear" w:color="000000" w:fill="FFFFFF"/>
            <w:vAlign w:val="center"/>
          </w:tcPr>
          <w:p w14:paraId="3ABD045D">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005D2DBE">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①是否将项目绩效目标细化分解为具体的绩效指标；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②是否通过清晰、可衡量的指标值予以体现；</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③是否与项目目标任务数或计划数相对应。</w:t>
            </w:r>
            <w:r>
              <w:rPr>
                <w:rFonts w:hint="eastAsia" w:ascii="宋体" w:hAnsi="宋体" w:eastAsia="宋体" w:cs="宋体"/>
                <w:color w:val="000000"/>
                <w:kern w:val="0"/>
                <w:sz w:val="22"/>
              </w:rPr>
              <w:br w:type="textWrapping"/>
            </w:r>
          </w:p>
        </w:tc>
      </w:tr>
      <w:tr w14:paraId="1EE675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3D995EAE">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3FD2131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资金投入</w:t>
            </w:r>
          </w:p>
        </w:tc>
        <w:tc>
          <w:tcPr>
            <w:tcW w:w="1411" w:type="dxa"/>
            <w:tcBorders>
              <w:tl2br w:val="nil"/>
              <w:tr2bl w:val="nil"/>
            </w:tcBorders>
            <w:shd w:val="clear" w:color="auto" w:fill="FFFFFF"/>
            <w:vAlign w:val="center"/>
          </w:tcPr>
          <w:p w14:paraId="7933D35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预算编制</w:t>
            </w:r>
          </w:p>
          <w:p w14:paraId="543EA277">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科学性</w:t>
            </w:r>
          </w:p>
        </w:tc>
        <w:tc>
          <w:tcPr>
            <w:tcW w:w="2789" w:type="dxa"/>
            <w:tcBorders>
              <w:tl2br w:val="nil"/>
              <w:tr2bl w:val="nil"/>
            </w:tcBorders>
            <w:shd w:val="clear" w:color="auto" w:fill="FFFFFF"/>
            <w:vAlign w:val="center"/>
          </w:tcPr>
          <w:p w14:paraId="01EB998F">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466EACC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①预算编制是否经过科学论证；</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②预算内容与项目内容是否匹配；</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③预算额度测算依据是否充分，是否按照标准编制；</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④预算确定的项目投资额或资金量是否与工作任务相匹配。</w:t>
            </w:r>
          </w:p>
        </w:tc>
      </w:tr>
      <w:tr w14:paraId="158F1A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0A47FC91">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06B101DF">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4FA18E8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资金分配</w:t>
            </w:r>
          </w:p>
          <w:p w14:paraId="03E55B3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合理性</w:t>
            </w:r>
          </w:p>
        </w:tc>
        <w:tc>
          <w:tcPr>
            <w:tcW w:w="2789" w:type="dxa"/>
            <w:tcBorders>
              <w:tl2br w:val="nil"/>
              <w:tr2bl w:val="nil"/>
            </w:tcBorders>
            <w:shd w:val="clear" w:color="auto" w:fill="FFFFFF"/>
            <w:vAlign w:val="center"/>
          </w:tcPr>
          <w:p w14:paraId="10E9DB4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768CE08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①预算资金分配依据是否充分；</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②资金分配额度是否合理，与项目单位或地方实际是否相适应。</w:t>
            </w:r>
          </w:p>
        </w:tc>
      </w:tr>
      <w:tr w14:paraId="4CDA70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2DF7760A">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vMerge w:val="restart"/>
            <w:tcBorders>
              <w:tl2br w:val="nil"/>
              <w:tr2bl w:val="nil"/>
            </w:tcBorders>
            <w:shd w:val="clear" w:color="auto" w:fill="FFFFFF"/>
            <w:vAlign w:val="center"/>
          </w:tcPr>
          <w:p w14:paraId="09782E8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629EDE0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资金到位率</w:t>
            </w:r>
          </w:p>
        </w:tc>
        <w:tc>
          <w:tcPr>
            <w:tcW w:w="2789" w:type="dxa"/>
            <w:tcBorders>
              <w:tl2br w:val="nil"/>
              <w:tr2bl w:val="nil"/>
            </w:tcBorders>
            <w:shd w:val="clear" w:color="000000" w:fill="FFFFFF"/>
            <w:vAlign w:val="center"/>
          </w:tcPr>
          <w:p w14:paraId="03B836E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4D1E90D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资金到位率=（实际到位资金/预算资金）×100%。</w:t>
            </w:r>
          </w:p>
          <w:p w14:paraId="28A72A9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实际到位资金：一定时期（本年度或项目期）内落实到具体项目的资金。</w:t>
            </w:r>
          </w:p>
          <w:p w14:paraId="3019122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预算资金：一定时期（本年度或项目期）内预算安排到具体项目的资金。</w:t>
            </w:r>
          </w:p>
        </w:tc>
      </w:tr>
      <w:tr w14:paraId="2F337A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7321AF7B">
            <w:pPr>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6E55ED94">
            <w:pPr>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7188362E">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预算执行率</w:t>
            </w:r>
          </w:p>
        </w:tc>
        <w:tc>
          <w:tcPr>
            <w:tcW w:w="2789" w:type="dxa"/>
            <w:tcBorders>
              <w:tl2br w:val="nil"/>
              <w:tr2bl w:val="nil"/>
            </w:tcBorders>
            <w:shd w:val="clear" w:color="auto" w:fill="FFFFFF"/>
            <w:vAlign w:val="center"/>
          </w:tcPr>
          <w:p w14:paraId="119386D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14:paraId="63A7960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预算执行率=（实际支出资金/实际到位资金）×100%。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实际支出资金：一定时期（本年度或项目期）内项目实际拨付的资金。</w:t>
            </w:r>
          </w:p>
        </w:tc>
      </w:tr>
      <w:tr w14:paraId="26BD06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64FA4E9A">
            <w:pPr>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过程</w:t>
            </w:r>
          </w:p>
        </w:tc>
        <w:tc>
          <w:tcPr>
            <w:tcW w:w="1199" w:type="dxa"/>
            <w:tcBorders>
              <w:tl2br w:val="nil"/>
              <w:tr2bl w:val="nil"/>
            </w:tcBorders>
            <w:shd w:val="clear" w:color="auto" w:fill="FFFFFF"/>
            <w:vAlign w:val="center"/>
          </w:tcPr>
          <w:p w14:paraId="71A6652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资金管理</w:t>
            </w:r>
          </w:p>
        </w:tc>
        <w:tc>
          <w:tcPr>
            <w:tcW w:w="1411" w:type="dxa"/>
            <w:tcBorders>
              <w:tl2br w:val="nil"/>
              <w:tr2bl w:val="nil"/>
            </w:tcBorders>
            <w:shd w:val="clear" w:color="auto" w:fill="FFFFFF"/>
            <w:vAlign w:val="center"/>
          </w:tcPr>
          <w:p w14:paraId="17826E2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资金使用</w:t>
            </w:r>
          </w:p>
          <w:p w14:paraId="01C83C1D">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合规性</w:t>
            </w:r>
          </w:p>
        </w:tc>
        <w:tc>
          <w:tcPr>
            <w:tcW w:w="2789" w:type="dxa"/>
            <w:tcBorders>
              <w:tl2br w:val="nil"/>
              <w:tr2bl w:val="nil"/>
            </w:tcBorders>
            <w:shd w:val="clear" w:color="000000" w:fill="FFFFFF"/>
            <w:vAlign w:val="center"/>
          </w:tcPr>
          <w:p w14:paraId="79B6E0A0">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77D44DE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①是否符合国家财经法规和财务管理制度以及有关专项资金管理办法的规定；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②资金的拨付是否有完整的审批程序和手续；</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③是否符合项目预算批复或合同规定的用途；</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④是否存在截留、挤占、挪用、虚列支出等情况。</w:t>
            </w:r>
          </w:p>
        </w:tc>
      </w:tr>
      <w:tr w14:paraId="3CA970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3CB54B59">
            <w:pPr>
              <w:ind w:firstLine="0" w:firstLineChars="0"/>
              <w:jc w:val="center"/>
              <w:rPr>
                <w:rFonts w:ascii="宋体" w:hAnsi="宋体" w:eastAsia="宋体" w:cs="宋体"/>
                <w:color w:val="000000"/>
                <w:kern w:val="0"/>
                <w:sz w:val="22"/>
              </w:rPr>
            </w:pPr>
          </w:p>
        </w:tc>
        <w:tc>
          <w:tcPr>
            <w:tcW w:w="1199" w:type="dxa"/>
            <w:vMerge w:val="restart"/>
            <w:tcBorders>
              <w:tl2br w:val="nil"/>
              <w:tr2bl w:val="nil"/>
            </w:tcBorders>
            <w:shd w:val="clear" w:color="auto" w:fill="FFFFFF"/>
            <w:vAlign w:val="center"/>
          </w:tcPr>
          <w:p w14:paraId="121879E4">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组织实施</w:t>
            </w:r>
          </w:p>
        </w:tc>
        <w:tc>
          <w:tcPr>
            <w:tcW w:w="1411" w:type="dxa"/>
            <w:tcBorders>
              <w:tl2br w:val="nil"/>
              <w:tr2bl w:val="nil"/>
            </w:tcBorders>
            <w:shd w:val="clear" w:color="auto" w:fill="FFFFFF"/>
            <w:vAlign w:val="center"/>
          </w:tcPr>
          <w:p w14:paraId="5008CA2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管理制度</w:t>
            </w:r>
          </w:p>
          <w:p w14:paraId="7C4078C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健全性</w:t>
            </w:r>
          </w:p>
        </w:tc>
        <w:tc>
          <w:tcPr>
            <w:tcW w:w="2789" w:type="dxa"/>
            <w:tcBorders>
              <w:tl2br w:val="nil"/>
              <w:tr2bl w:val="nil"/>
            </w:tcBorders>
            <w:shd w:val="clear" w:color="000000" w:fill="FFFFFF"/>
            <w:vAlign w:val="center"/>
          </w:tcPr>
          <w:p w14:paraId="5066947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0A5A1377">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①是否已制定或具有相应的财务和业务管理制度；</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②财务和业务管理制度是否合法、合规、完整。</w:t>
            </w:r>
          </w:p>
        </w:tc>
      </w:tr>
      <w:tr w14:paraId="05893C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4B436385">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734DC838">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0A07038F">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制度执行</w:t>
            </w:r>
          </w:p>
          <w:p w14:paraId="4A203820">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有效性</w:t>
            </w:r>
          </w:p>
        </w:tc>
        <w:tc>
          <w:tcPr>
            <w:tcW w:w="2789" w:type="dxa"/>
            <w:tcBorders>
              <w:tl2br w:val="nil"/>
              <w:tr2bl w:val="nil"/>
            </w:tcBorders>
            <w:shd w:val="clear" w:color="000000" w:fill="FFFFFF"/>
            <w:vAlign w:val="center"/>
          </w:tcPr>
          <w:p w14:paraId="5115FFC9">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5402ABE4">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评价要点：</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①是否遵守相关法律法规和相关管理规定；</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②项目调整及支出调整手续是否完备；</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③项目合同书、验收报告、技术鉴定等资料是否齐全并及时归档；</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④项目实施的人员条件、场地设备、信息支撑等是否落实到位。</w:t>
            </w:r>
          </w:p>
        </w:tc>
      </w:tr>
      <w:tr w14:paraId="7BF308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7CF2DD35">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w:t>
            </w:r>
          </w:p>
        </w:tc>
        <w:tc>
          <w:tcPr>
            <w:tcW w:w="1199" w:type="dxa"/>
            <w:vMerge w:val="restart"/>
            <w:tcBorders>
              <w:tl2br w:val="nil"/>
              <w:tr2bl w:val="nil"/>
            </w:tcBorders>
            <w:shd w:val="clear" w:color="auto" w:fill="FFFFFF"/>
            <w:vAlign w:val="center"/>
          </w:tcPr>
          <w:p w14:paraId="0C1D324B">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产出数量</w:t>
            </w:r>
          </w:p>
        </w:tc>
        <w:tc>
          <w:tcPr>
            <w:tcW w:w="1411" w:type="dxa"/>
            <w:tcBorders>
              <w:tl2br w:val="nil"/>
              <w:tr2bl w:val="nil"/>
            </w:tcBorders>
            <w:shd w:val="clear" w:color="auto" w:fill="FFFFFF"/>
            <w:vAlign w:val="center"/>
          </w:tcPr>
          <w:p w14:paraId="571F1A6C">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住院医师规范化招收完成率</w:t>
            </w:r>
          </w:p>
        </w:tc>
        <w:tc>
          <w:tcPr>
            <w:tcW w:w="2789" w:type="dxa"/>
            <w:vMerge w:val="restart"/>
            <w:tcBorders>
              <w:tl2br w:val="nil"/>
              <w:tr2bl w:val="nil"/>
            </w:tcBorders>
            <w:shd w:val="clear" w:color="000000" w:fill="FFFFFF"/>
            <w:vAlign w:val="center"/>
          </w:tcPr>
          <w:p w14:paraId="5F457D6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项目实施的实际产出数与计划产出数的比率，用以反映和考核项目产出数量目标的度。</w:t>
            </w:r>
          </w:p>
        </w:tc>
        <w:tc>
          <w:tcPr>
            <w:tcW w:w="7341" w:type="dxa"/>
            <w:vMerge w:val="restart"/>
            <w:tcBorders>
              <w:tl2br w:val="nil"/>
              <w:tr2bl w:val="nil"/>
            </w:tcBorders>
            <w:shd w:val="clear" w:color="000000" w:fill="FFFFFF"/>
            <w:vAlign w:val="center"/>
          </w:tcPr>
          <w:p w14:paraId="07E87592">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实际完成率=（实际产出数/计划产出数）×100%。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实际产出数：一定时期（本年度或项目期）内项目实际产出的产品或提供的服务数量。</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计划产出数：项目绩效目标确定的在一定时期（本年度或项目期）内计划产出的产品或提供的服务数量。</w:t>
            </w:r>
          </w:p>
        </w:tc>
      </w:tr>
      <w:tr w14:paraId="0910DE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17" w:hRule="atLeast"/>
          <w:jc w:val="center"/>
        </w:trPr>
        <w:tc>
          <w:tcPr>
            <w:tcW w:w="1155" w:type="dxa"/>
            <w:vMerge w:val="continue"/>
            <w:tcBorders>
              <w:tl2br w:val="nil"/>
              <w:tr2bl w:val="nil"/>
            </w:tcBorders>
            <w:shd w:val="clear" w:color="auto" w:fill="FFFFFF"/>
            <w:vAlign w:val="center"/>
          </w:tcPr>
          <w:p w14:paraId="35963142">
            <w:pPr>
              <w:widowControl/>
              <w:ind w:firstLine="0" w:firstLineChars="0"/>
              <w:jc w:val="center"/>
              <w:rPr>
                <w:rFonts w:ascii="宋体" w:hAnsi="宋体" w:eastAsia="宋体" w:cs="宋体"/>
                <w:color w:val="000000"/>
                <w:kern w:val="0"/>
                <w:sz w:val="22"/>
              </w:rPr>
            </w:pPr>
          </w:p>
        </w:tc>
        <w:tc>
          <w:tcPr>
            <w:tcW w:w="1199" w:type="dxa"/>
            <w:vMerge w:val="continue"/>
            <w:tcBorders>
              <w:tl2br w:val="nil"/>
              <w:tr2bl w:val="nil"/>
            </w:tcBorders>
            <w:shd w:val="clear" w:color="auto" w:fill="FFFFFF"/>
            <w:vAlign w:val="center"/>
          </w:tcPr>
          <w:p w14:paraId="5DEC82B9">
            <w:pPr>
              <w:widowControl/>
              <w:ind w:firstLine="0" w:firstLineChars="0"/>
              <w:jc w:val="center"/>
              <w:rPr>
                <w:rFonts w:ascii="宋体" w:hAnsi="宋体" w:eastAsia="宋体" w:cs="宋体"/>
                <w:color w:val="000000"/>
                <w:kern w:val="0"/>
                <w:sz w:val="22"/>
              </w:rPr>
            </w:pPr>
          </w:p>
        </w:tc>
        <w:tc>
          <w:tcPr>
            <w:tcW w:w="1411" w:type="dxa"/>
            <w:tcBorders>
              <w:tl2br w:val="nil"/>
              <w:tr2bl w:val="nil"/>
            </w:tcBorders>
            <w:shd w:val="clear" w:color="auto" w:fill="FFFFFF"/>
            <w:vAlign w:val="center"/>
          </w:tcPr>
          <w:p w14:paraId="555FD390">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紧缺人才招收完成率</w:t>
            </w:r>
          </w:p>
        </w:tc>
        <w:tc>
          <w:tcPr>
            <w:tcW w:w="2789" w:type="dxa"/>
            <w:vMerge w:val="continue"/>
            <w:tcBorders>
              <w:tl2br w:val="nil"/>
              <w:tr2bl w:val="nil"/>
            </w:tcBorders>
            <w:shd w:val="clear" w:color="000000" w:fill="FFFFFF"/>
            <w:vAlign w:val="center"/>
          </w:tcPr>
          <w:p w14:paraId="58442BC7">
            <w:pPr>
              <w:widowControl/>
              <w:ind w:firstLine="0" w:firstLineChars="0"/>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4A5063C8">
            <w:pPr>
              <w:widowControl/>
              <w:ind w:firstLine="0" w:firstLineChars="0"/>
              <w:rPr>
                <w:rFonts w:ascii="宋体" w:hAnsi="宋体" w:eastAsia="宋体" w:cs="宋体"/>
                <w:color w:val="000000"/>
                <w:kern w:val="0"/>
                <w:sz w:val="22"/>
              </w:rPr>
            </w:pPr>
          </w:p>
        </w:tc>
      </w:tr>
      <w:tr w14:paraId="762408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9" w:hRule="atLeast"/>
          <w:jc w:val="center"/>
        </w:trPr>
        <w:tc>
          <w:tcPr>
            <w:tcW w:w="1155" w:type="dxa"/>
            <w:vMerge w:val="restart"/>
            <w:tcBorders>
              <w:tl2br w:val="nil"/>
              <w:tr2bl w:val="nil"/>
            </w:tcBorders>
            <w:shd w:val="clear" w:color="auto" w:fill="FFFFFF"/>
            <w:vAlign w:val="center"/>
          </w:tcPr>
          <w:p w14:paraId="6733BA9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w:t>
            </w:r>
          </w:p>
        </w:tc>
        <w:tc>
          <w:tcPr>
            <w:tcW w:w="1199" w:type="dxa"/>
            <w:vMerge w:val="restart"/>
            <w:tcBorders>
              <w:tl2br w:val="nil"/>
              <w:tr2bl w:val="nil"/>
            </w:tcBorders>
            <w:shd w:val="clear" w:color="auto" w:fill="FFFFFF"/>
            <w:vAlign w:val="center"/>
          </w:tcPr>
          <w:p w14:paraId="468A55F9">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产出质量</w:t>
            </w:r>
          </w:p>
        </w:tc>
        <w:tc>
          <w:tcPr>
            <w:tcW w:w="1411" w:type="dxa"/>
            <w:tcBorders>
              <w:tl2br w:val="nil"/>
              <w:tr2bl w:val="nil"/>
            </w:tcBorders>
            <w:shd w:val="clear" w:color="auto" w:fill="FFFFFF"/>
            <w:vAlign w:val="center"/>
          </w:tcPr>
          <w:p w14:paraId="44111BDB">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住院医师规范化培训结业考核通过率</w:t>
            </w:r>
          </w:p>
        </w:tc>
        <w:tc>
          <w:tcPr>
            <w:tcW w:w="2789" w:type="dxa"/>
            <w:vMerge w:val="restart"/>
            <w:tcBorders>
              <w:tl2br w:val="nil"/>
              <w:tr2bl w:val="nil"/>
            </w:tcBorders>
            <w:shd w:val="clear" w:color="000000" w:fill="FFFFFF"/>
            <w:vAlign w:val="center"/>
          </w:tcPr>
          <w:p w14:paraId="5F6677B3">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14:paraId="790AF16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质量达标率=（质量达标产出数/实际产出数）×100%。</w:t>
            </w:r>
          </w:p>
          <w:p w14:paraId="33DB10E6">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50E2A7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22" w:hRule="atLeast"/>
          <w:jc w:val="center"/>
        </w:trPr>
        <w:tc>
          <w:tcPr>
            <w:tcW w:w="1155" w:type="dxa"/>
            <w:vMerge w:val="continue"/>
            <w:tcBorders>
              <w:tl2br w:val="nil"/>
              <w:tr2bl w:val="nil"/>
            </w:tcBorders>
            <w:shd w:val="clear" w:color="auto" w:fill="FFFFFF"/>
            <w:vAlign w:val="center"/>
          </w:tcPr>
          <w:p w14:paraId="5F61DC8E">
            <w:pPr>
              <w:widowControl/>
              <w:ind w:firstLine="0" w:firstLineChars="0"/>
              <w:jc w:val="center"/>
            </w:pPr>
          </w:p>
        </w:tc>
        <w:tc>
          <w:tcPr>
            <w:tcW w:w="1199" w:type="dxa"/>
            <w:vMerge w:val="continue"/>
            <w:tcBorders>
              <w:tl2br w:val="nil"/>
              <w:tr2bl w:val="nil"/>
            </w:tcBorders>
            <w:shd w:val="clear" w:color="auto" w:fill="FFFFFF"/>
            <w:vAlign w:val="center"/>
          </w:tcPr>
          <w:p w14:paraId="48572EB1">
            <w:pPr>
              <w:widowControl/>
              <w:ind w:firstLine="0" w:firstLineChars="0"/>
              <w:jc w:val="center"/>
            </w:pPr>
          </w:p>
        </w:tc>
        <w:tc>
          <w:tcPr>
            <w:tcW w:w="1411" w:type="dxa"/>
            <w:tcBorders>
              <w:tl2br w:val="nil"/>
              <w:tr2bl w:val="nil"/>
            </w:tcBorders>
            <w:shd w:val="clear" w:color="auto" w:fill="FFFFFF"/>
            <w:vAlign w:val="center"/>
          </w:tcPr>
          <w:p w14:paraId="53A726D9">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培养计划完成率</w:t>
            </w:r>
          </w:p>
        </w:tc>
        <w:tc>
          <w:tcPr>
            <w:tcW w:w="2789" w:type="dxa"/>
            <w:vMerge w:val="continue"/>
            <w:tcBorders>
              <w:tl2br w:val="nil"/>
              <w:tr2bl w:val="nil"/>
            </w:tcBorders>
            <w:shd w:val="clear" w:color="000000" w:fill="FFFFFF"/>
            <w:vAlign w:val="center"/>
          </w:tcPr>
          <w:p w14:paraId="4E8A37E9">
            <w:pPr>
              <w:widowControl/>
              <w:ind w:firstLine="0" w:firstLineChars="0"/>
              <w:jc w:val="center"/>
              <w:rPr>
                <w:rFonts w:ascii="宋体" w:hAnsi="宋体" w:eastAsia="宋体" w:cs="宋体"/>
                <w:color w:val="000000"/>
                <w:kern w:val="0"/>
                <w:sz w:val="22"/>
              </w:rPr>
            </w:pPr>
          </w:p>
        </w:tc>
        <w:tc>
          <w:tcPr>
            <w:tcW w:w="7341" w:type="dxa"/>
            <w:vMerge w:val="continue"/>
            <w:tcBorders>
              <w:tl2br w:val="nil"/>
              <w:tr2bl w:val="nil"/>
            </w:tcBorders>
            <w:shd w:val="clear" w:color="000000" w:fill="FFFFFF"/>
            <w:vAlign w:val="center"/>
          </w:tcPr>
          <w:p w14:paraId="278FC0C2">
            <w:pPr>
              <w:widowControl/>
              <w:ind w:firstLine="0" w:firstLineChars="0"/>
              <w:jc w:val="center"/>
              <w:rPr>
                <w:rFonts w:ascii="宋体" w:hAnsi="宋体" w:eastAsia="宋体" w:cs="宋体"/>
                <w:color w:val="000000"/>
                <w:kern w:val="0"/>
                <w:sz w:val="22"/>
              </w:rPr>
            </w:pPr>
          </w:p>
        </w:tc>
      </w:tr>
      <w:tr w14:paraId="0ADCAD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14:paraId="22417960">
            <w:pPr>
              <w:widowControl/>
              <w:ind w:firstLine="0" w:firstLineChars="0"/>
              <w:jc w:val="center"/>
              <w:rPr>
                <w:rFonts w:ascii="宋体" w:hAnsi="宋体" w:eastAsia="宋体" w:cs="宋体"/>
                <w:color w:val="000000"/>
                <w:kern w:val="0"/>
                <w:sz w:val="22"/>
              </w:rPr>
            </w:pPr>
          </w:p>
        </w:tc>
        <w:tc>
          <w:tcPr>
            <w:tcW w:w="1199" w:type="dxa"/>
            <w:tcBorders>
              <w:tl2br w:val="nil"/>
              <w:tr2bl w:val="nil"/>
            </w:tcBorders>
            <w:shd w:val="clear" w:color="auto" w:fill="FFFFFF"/>
            <w:vAlign w:val="center"/>
          </w:tcPr>
          <w:p w14:paraId="44DA2C78">
            <w:pPr>
              <w:widowControl/>
              <w:ind w:firstLine="0" w:firstLineChars="0"/>
              <w:jc w:val="center"/>
              <w:rPr>
                <w:rFonts w:ascii="宋体" w:hAnsi="宋体" w:eastAsia="宋体" w:cs="宋体"/>
                <w:color w:val="000000"/>
                <w:kern w:val="0"/>
                <w:sz w:val="22"/>
              </w:rPr>
            </w:pPr>
            <w:r>
              <w:rPr>
                <w:rFonts w:hint="eastAsia" w:ascii="宋体" w:hAnsi="宋体" w:eastAsia="宋体" w:cs="宋体"/>
                <w:color w:val="000000"/>
                <w:kern w:val="0"/>
                <w:sz w:val="22"/>
              </w:rPr>
              <w:t>产出成本</w:t>
            </w:r>
          </w:p>
        </w:tc>
        <w:tc>
          <w:tcPr>
            <w:tcW w:w="1411" w:type="dxa"/>
            <w:tcBorders>
              <w:tl2br w:val="nil"/>
              <w:tr2bl w:val="nil"/>
            </w:tcBorders>
            <w:shd w:val="clear" w:color="auto" w:fill="FFFFFF"/>
            <w:vAlign w:val="center"/>
          </w:tcPr>
          <w:p w14:paraId="00E8D436">
            <w:pPr>
              <w:widowControl/>
              <w:ind w:firstLine="0" w:firstLineChars="0"/>
              <w:jc w:val="center"/>
              <w:rPr>
                <w:rFonts w:ascii="宋体" w:hAnsi="宋体" w:eastAsia="宋体" w:cs="宋体"/>
                <w:color w:val="000000"/>
                <w:kern w:val="0"/>
                <w:sz w:val="22"/>
                <w:highlight w:val="none"/>
              </w:rPr>
            </w:pPr>
            <w:r>
              <w:rPr>
                <w:rFonts w:hint="eastAsia" w:ascii="宋体" w:hAnsi="宋体" w:eastAsia="宋体" w:cs="宋体"/>
                <w:color w:val="000000"/>
                <w:kern w:val="0"/>
                <w:sz w:val="22"/>
                <w:highlight w:val="none"/>
              </w:rPr>
              <w:t>中央财政对住院医师规范化培训项目的投入标准完成率</w:t>
            </w:r>
          </w:p>
        </w:tc>
        <w:tc>
          <w:tcPr>
            <w:tcW w:w="2789" w:type="dxa"/>
            <w:tcBorders>
              <w:tl2br w:val="nil"/>
              <w:tr2bl w:val="nil"/>
            </w:tcBorders>
            <w:shd w:val="clear" w:color="000000" w:fill="FFFFFF"/>
            <w:vAlign w:val="center"/>
          </w:tcPr>
          <w:p w14:paraId="7F21BC3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完成项目计划工作目标的实际节约成本与计划成本的比率，用以反映和考核项目的成本节约程度。</w:t>
            </w:r>
          </w:p>
        </w:tc>
        <w:tc>
          <w:tcPr>
            <w:tcW w:w="7341" w:type="dxa"/>
            <w:tcBorders>
              <w:tl2br w:val="nil"/>
              <w:tr2bl w:val="nil"/>
            </w:tcBorders>
            <w:shd w:val="clear" w:color="000000" w:fill="FFFFFF"/>
            <w:vAlign w:val="center"/>
          </w:tcPr>
          <w:p w14:paraId="4C3E3DF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成本节约率=[（计划成本-实际成本）/计划成本]×100%。</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实际成本：项目实施单位如期、保质、保量完成既定工作目标实际所耗费的支出。</w:t>
            </w:r>
            <w:r>
              <w:rPr>
                <w:rFonts w:hint="eastAsia" w:ascii="宋体" w:hAnsi="宋体" w:eastAsia="宋体" w:cs="宋体"/>
                <w:color w:val="000000"/>
                <w:kern w:val="0"/>
                <w:sz w:val="22"/>
              </w:rPr>
              <w:br w:type="textWrapping"/>
            </w:r>
            <w:r>
              <w:rPr>
                <w:rFonts w:hint="eastAsia" w:ascii="宋体" w:hAnsi="宋体" w:eastAsia="宋体" w:cs="宋体"/>
                <w:color w:val="000000"/>
                <w:kern w:val="0"/>
                <w:sz w:val="22"/>
              </w:rPr>
              <w:t>计划成本：项目实施单位为完成工作目标计划安排的支出，一般以项目预算为参考。</w:t>
            </w:r>
          </w:p>
        </w:tc>
      </w:tr>
      <w:tr w14:paraId="5F6E85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14:paraId="4F04C00E">
            <w:pPr>
              <w:widowControl/>
              <w:ind w:firstLine="0" w:firstLineChars="0"/>
              <w:jc w:val="center"/>
              <w:rPr>
                <w:rFonts w:ascii="宋体" w:hAnsi="宋体" w:eastAsia="宋体" w:cs="宋体"/>
                <w:kern w:val="0"/>
                <w:sz w:val="22"/>
              </w:rPr>
            </w:pPr>
            <w:r>
              <w:rPr>
                <w:rFonts w:hint="eastAsia" w:ascii="宋体" w:hAnsi="宋体" w:eastAsia="宋体" w:cs="宋体"/>
                <w:kern w:val="0"/>
                <w:sz w:val="22"/>
              </w:rPr>
              <w:t>效益</w:t>
            </w:r>
          </w:p>
        </w:tc>
        <w:tc>
          <w:tcPr>
            <w:tcW w:w="1199" w:type="dxa"/>
            <w:tcBorders>
              <w:tl2br w:val="nil"/>
              <w:tr2bl w:val="nil"/>
            </w:tcBorders>
            <w:shd w:val="clear" w:color="auto" w:fill="FFFFFF"/>
            <w:vAlign w:val="center"/>
          </w:tcPr>
          <w:p w14:paraId="0448BB79">
            <w:pPr>
              <w:widowControl/>
              <w:ind w:firstLine="0" w:firstLineChars="0"/>
              <w:jc w:val="center"/>
              <w:rPr>
                <w:rFonts w:ascii="宋体" w:hAnsi="宋体" w:eastAsia="宋体" w:cs="宋体"/>
                <w:kern w:val="0"/>
                <w:sz w:val="22"/>
              </w:rPr>
            </w:pPr>
            <w:r>
              <w:rPr>
                <w:rFonts w:hint="eastAsia" w:ascii="宋体" w:hAnsi="宋体" w:eastAsia="宋体" w:cs="宋体"/>
                <w:kern w:val="0"/>
                <w:sz w:val="22"/>
              </w:rPr>
              <w:t>社会效益指标</w:t>
            </w:r>
          </w:p>
        </w:tc>
        <w:tc>
          <w:tcPr>
            <w:tcW w:w="1411" w:type="dxa"/>
            <w:tcBorders>
              <w:tl2br w:val="nil"/>
              <w:tr2bl w:val="nil"/>
            </w:tcBorders>
            <w:shd w:val="clear" w:color="auto" w:fill="FFFFFF"/>
            <w:vAlign w:val="center"/>
          </w:tcPr>
          <w:p w14:paraId="754CB106">
            <w:pPr>
              <w:widowControl/>
              <w:ind w:firstLine="0" w:firstLineChars="0"/>
              <w:jc w:val="center"/>
              <w:rPr>
                <w:rFonts w:ascii="宋体" w:hAnsi="宋体" w:eastAsia="宋体" w:cs="宋体"/>
                <w:kern w:val="0"/>
                <w:sz w:val="22"/>
                <w:highlight w:val="none"/>
              </w:rPr>
            </w:pPr>
            <w:r>
              <w:rPr>
                <w:rFonts w:hint="eastAsia" w:ascii="宋体" w:hAnsi="宋体" w:eastAsia="宋体" w:cs="宋体"/>
                <w:kern w:val="0"/>
                <w:sz w:val="22"/>
                <w:highlight w:val="none"/>
              </w:rPr>
              <w:t>参培住院医师业务水平提高</w:t>
            </w:r>
          </w:p>
        </w:tc>
        <w:tc>
          <w:tcPr>
            <w:tcW w:w="2789" w:type="dxa"/>
            <w:tcBorders>
              <w:tl2br w:val="nil"/>
              <w:tr2bl w:val="nil"/>
            </w:tcBorders>
            <w:shd w:val="clear" w:color="auto" w:fill="FFFFFF"/>
            <w:vAlign w:val="center"/>
          </w:tcPr>
          <w:p w14:paraId="1A30297E">
            <w:pPr>
              <w:widowControl/>
              <w:ind w:firstLine="0" w:firstLineChars="0"/>
              <w:jc w:val="left"/>
              <w:rPr>
                <w:rFonts w:ascii="宋体" w:hAnsi="宋体" w:eastAsia="宋体" w:cs="宋体"/>
                <w:color w:val="000000"/>
                <w:kern w:val="0"/>
                <w:sz w:val="22"/>
              </w:rPr>
            </w:pPr>
            <w:r>
              <w:rPr>
                <w:rFonts w:hint="eastAsia" w:ascii="宋体" w:hAnsi="宋体" w:eastAsia="宋体" w:cs="宋体"/>
                <w:color w:val="000000"/>
                <w:kern w:val="0"/>
                <w:sz w:val="22"/>
              </w:rPr>
              <w:t>项目实施所产生的效益。</w:t>
            </w:r>
          </w:p>
        </w:tc>
        <w:tc>
          <w:tcPr>
            <w:tcW w:w="7341" w:type="dxa"/>
            <w:tcBorders>
              <w:tl2br w:val="nil"/>
              <w:tr2bl w:val="nil"/>
            </w:tcBorders>
            <w:shd w:val="clear" w:color="auto" w:fill="FFFFFF"/>
            <w:vAlign w:val="center"/>
          </w:tcPr>
          <w:p w14:paraId="44B4996B">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项目实施所产生的社会效益、经济效益、生态效益、可持续影响等。可根据项目实际情况有选择地设置和细化。</w:t>
            </w:r>
          </w:p>
        </w:tc>
      </w:tr>
      <w:tr w14:paraId="07F10B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14:paraId="2DF5DBA4">
            <w:pPr>
              <w:widowControl/>
              <w:ind w:firstLine="0" w:firstLineChars="0"/>
              <w:jc w:val="center"/>
              <w:rPr>
                <w:rFonts w:ascii="宋体" w:hAnsi="宋体" w:eastAsia="宋体" w:cs="宋体"/>
                <w:kern w:val="0"/>
                <w:sz w:val="22"/>
              </w:rPr>
            </w:pPr>
            <w:r>
              <w:rPr>
                <w:rFonts w:ascii="宋体" w:hAnsi="宋体" w:eastAsia="宋体" w:cs="宋体"/>
                <w:kern w:val="0"/>
                <w:sz w:val="22"/>
              </w:rPr>
              <w:t>满意度指标完成情况分析</w:t>
            </w:r>
          </w:p>
        </w:tc>
        <w:tc>
          <w:tcPr>
            <w:tcW w:w="1199" w:type="dxa"/>
            <w:tcBorders>
              <w:tl2br w:val="nil"/>
              <w:tr2bl w:val="nil"/>
            </w:tcBorders>
            <w:shd w:val="clear" w:color="auto" w:fill="FFFFFF"/>
            <w:vAlign w:val="center"/>
          </w:tcPr>
          <w:p w14:paraId="4BF7F333">
            <w:pPr>
              <w:widowControl/>
              <w:ind w:firstLine="0" w:firstLineChars="0"/>
              <w:jc w:val="center"/>
              <w:rPr>
                <w:rFonts w:ascii="宋体" w:hAnsi="宋体" w:eastAsia="宋体" w:cs="宋体"/>
                <w:kern w:val="0"/>
                <w:sz w:val="22"/>
              </w:rPr>
            </w:pPr>
            <w:r>
              <w:rPr>
                <w:rFonts w:hint="eastAsia" w:ascii="宋体" w:hAnsi="宋体" w:eastAsia="宋体" w:cs="宋体"/>
                <w:kern w:val="0"/>
                <w:sz w:val="22"/>
              </w:rPr>
              <w:t>满意度指标</w:t>
            </w:r>
          </w:p>
        </w:tc>
        <w:tc>
          <w:tcPr>
            <w:tcW w:w="1411" w:type="dxa"/>
            <w:tcBorders>
              <w:tl2br w:val="nil"/>
              <w:tr2bl w:val="nil"/>
            </w:tcBorders>
            <w:shd w:val="clear" w:color="auto" w:fill="FFFFFF"/>
            <w:vAlign w:val="center"/>
          </w:tcPr>
          <w:p w14:paraId="0239D674">
            <w:pPr>
              <w:widowControl/>
              <w:ind w:firstLine="0" w:firstLineChars="0"/>
              <w:jc w:val="center"/>
              <w:rPr>
                <w:rFonts w:ascii="宋体" w:hAnsi="宋体" w:eastAsia="宋体" w:cs="宋体"/>
                <w:kern w:val="0"/>
                <w:sz w:val="22"/>
              </w:rPr>
            </w:pPr>
            <w:r>
              <w:rPr>
                <w:rFonts w:hint="eastAsia" w:ascii="宋体" w:hAnsi="宋体" w:eastAsia="宋体" w:cs="宋体"/>
                <w:kern w:val="0"/>
                <w:sz w:val="22"/>
              </w:rPr>
              <w:t>参培对象满意度</w:t>
            </w:r>
          </w:p>
        </w:tc>
        <w:tc>
          <w:tcPr>
            <w:tcW w:w="2789" w:type="dxa"/>
            <w:tcBorders>
              <w:tl2br w:val="nil"/>
              <w:tr2bl w:val="nil"/>
            </w:tcBorders>
            <w:shd w:val="clear" w:color="000000" w:fill="FFFFFF"/>
            <w:vAlign w:val="center"/>
          </w:tcPr>
          <w:p w14:paraId="7FE4DB55">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社会公众或服务对象对项目实施效果的满意程度。</w:t>
            </w:r>
          </w:p>
        </w:tc>
        <w:tc>
          <w:tcPr>
            <w:tcW w:w="7341" w:type="dxa"/>
            <w:tcBorders>
              <w:tl2br w:val="nil"/>
              <w:tr2bl w:val="nil"/>
            </w:tcBorders>
            <w:shd w:val="clear" w:color="000000" w:fill="FFFFFF"/>
            <w:vAlign w:val="center"/>
          </w:tcPr>
          <w:p w14:paraId="09BF38C1">
            <w:pPr>
              <w:widowControl/>
              <w:ind w:firstLine="0" w:firstLineChars="0"/>
              <w:rPr>
                <w:rFonts w:ascii="宋体" w:hAnsi="宋体" w:eastAsia="宋体" w:cs="宋体"/>
                <w:color w:val="000000"/>
                <w:kern w:val="0"/>
                <w:sz w:val="22"/>
              </w:rPr>
            </w:pPr>
            <w:r>
              <w:rPr>
                <w:rFonts w:hint="eastAsia" w:ascii="宋体" w:hAnsi="宋体" w:eastAsia="宋体" w:cs="宋体"/>
                <w:color w:val="000000"/>
                <w:kern w:val="0"/>
                <w:sz w:val="22"/>
              </w:rPr>
              <w:t>社会公众或服务对象是指因该项目实施而受到影响的部门（单位）、群体或个人。一般采取社会调查的方式。</w:t>
            </w:r>
          </w:p>
        </w:tc>
      </w:tr>
    </w:tbl>
    <w:p w14:paraId="45598ADE">
      <w:pPr>
        <w:ind w:firstLine="0" w:firstLineChars="0"/>
        <w:jc w:val="center"/>
        <w:rPr>
          <w:rFonts w:ascii="仿宋_GB2312"/>
        </w:rPr>
      </w:pPr>
    </w:p>
    <w:p w14:paraId="17314822">
      <w:pPr>
        <w:ind w:firstLine="0" w:firstLineChars="0"/>
        <w:jc w:val="center"/>
        <w:rPr>
          <w:rFonts w:ascii="仿宋_GB2312"/>
        </w:rPr>
      </w:pPr>
    </w:p>
    <w:p w14:paraId="58A8FFE4">
      <w:pPr>
        <w:ind w:firstLine="0" w:firstLineChars="0"/>
        <w:jc w:val="center"/>
        <w:rPr>
          <w:rFonts w:ascii="仿宋_GB2312"/>
        </w:rPr>
      </w:pPr>
    </w:p>
    <w:p w14:paraId="666DA8DD">
      <w:pPr>
        <w:ind w:firstLine="0" w:firstLineChars="0"/>
        <w:jc w:val="center"/>
        <w:rPr>
          <w:rFonts w:ascii="仿宋_GB2312"/>
        </w:rPr>
      </w:pPr>
    </w:p>
    <w:p w14:paraId="17F41ABA">
      <w:pPr>
        <w:ind w:firstLine="0" w:firstLineChars="0"/>
        <w:jc w:val="center"/>
        <w:rPr>
          <w:rFonts w:ascii="仿宋_GB2312"/>
        </w:rPr>
      </w:pPr>
    </w:p>
    <w:p w14:paraId="2D975199">
      <w:pPr>
        <w:ind w:firstLine="0" w:firstLineChars="0"/>
        <w:jc w:val="center"/>
        <w:rPr>
          <w:rFonts w:ascii="仿宋_GB2312"/>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14:paraId="6C051D2F">
      <w:pPr>
        <w:pStyle w:val="4"/>
        <w:ind w:firstLine="643"/>
      </w:pPr>
      <w:bookmarkStart w:id="22" w:name="_Toc165277234"/>
      <w:bookmarkStart w:id="23" w:name="_Hlk67586038"/>
      <w:r>
        <w:t>3.</w:t>
      </w:r>
      <w:r>
        <w:rPr>
          <w:rFonts w:hint="eastAsia"/>
        </w:rPr>
        <w:t>评价方法</w:t>
      </w:r>
      <w:bookmarkEnd w:id="22"/>
    </w:p>
    <w:bookmarkEnd w:id="23"/>
    <w:p w14:paraId="1B3D7436">
      <w:pPr>
        <w:spacing w:line="360" w:lineRule="auto"/>
        <w:ind w:firstLine="560"/>
        <w:rPr>
          <w:rFonts w:ascii="仿宋_GB2312"/>
        </w:rPr>
      </w:pPr>
      <w:r>
        <w:rPr>
          <w:rFonts w:hint="eastAsia" w:ascii="仿宋_GB2312"/>
        </w:rPr>
        <w:t>《关于印发&lt;项目支出绩效评价管理办法&gt;的通知》（财预〔2020〕10号）文件指出部门评价的方法主要包括成本效益分析法、比较法、因素分析法、最低成本法、公众评判法、标杆管理法等。</w:t>
      </w:r>
    </w:p>
    <w:p w14:paraId="1F9FF0E5">
      <w:pPr>
        <w:spacing w:line="360" w:lineRule="auto"/>
        <w:ind w:firstLine="560"/>
        <w:rPr>
          <w:rFonts w:ascii="仿宋_GB2312"/>
        </w:rPr>
      </w:pPr>
      <w:r>
        <w:rPr>
          <w:rFonts w:hint="eastAsia" w:ascii="仿宋_GB2312"/>
        </w:rPr>
        <w:t>（1）成本效益分析法。是指将投入与产出、效益进行关联性分析的方法。</w:t>
      </w:r>
    </w:p>
    <w:p w14:paraId="55E93A49">
      <w:pPr>
        <w:spacing w:line="360" w:lineRule="auto"/>
        <w:ind w:firstLine="560"/>
        <w:rPr>
          <w:rFonts w:ascii="仿宋_GB2312"/>
        </w:rPr>
      </w:pPr>
      <w:r>
        <w:rPr>
          <w:rFonts w:hint="eastAsia" w:ascii="仿宋_GB2312"/>
        </w:rPr>
        <w:t>（2）比较法。是指将实施情况与绩效目标、历史情况、不同部门和地区同类支出情况进行比较的方法。</w:t>
      </w:r>
    </w:p>
    <w:p w14:paraId="6F6DEC17">
      <w:pPr>
        <w:spacing w:line="360" w:lineRule="auto"/>
        <w:ind w:firstLine="560"/>
        <w:rPr>
          <w:rFonts w:ascii="仿宋_GB2312"/>
        </w:rPr>
      </w:pPr>
      <w:r>
        <w:rPr>
          <w:rFonts w:hint="eastAsia" w:ascii="仿宋_GB2312"/>
        </w:rPr>
        <w:t>（3）因素分析法。是指综合分析影响绩效目标实现、实施效果的内外部因素的方法。</w:t>
      </w:r>
    </w:p>
    <w:p w14:paraId="67072BEF">
      <w:pPr>
        <w:spacing w:line="360" w:lineRule="auto"/>
        <w:ind w:firstLine="560"/>
        <w:rPr>
          <w:rFonts w:ascii="仿宋_GB2312"/>
        </w:rPr>
      </w:pPr>
      <w:r>
        <w:rPr>
          <w:rFonts w:hint="eastAsia" w:ascii="仿宋_GB2312"/>
        </w:rPr>
        <w:t>（4）最低成本法。是指在绩效目标确定的前提下，成本最小者为优的方法。</w:t>
      </w:r>
    </w:p>
    <w:p w14:paraId="192D5A26">
      <w:pPr>
        <w:spacing w:line="360" w:lineRule="auto"/>
        <w:ind w:firstLine="560"/>
        <w:rPr>
          <w:rFonts w:ascii="仿宋_GB2312"/>
        </w:rPr>
      </w:pPr>
      <w:r>
        <w:rPr>
          <w:rFonts w:hint="eastAsia" w:ascii="仿宋_GB2312"/>
        </w:rPr>
        <w:t>（5）公众评判法。是指通过专家评估、公众问卷及抽样调查等方式进行评判的方法。</w:t>
      </w:r>
    </w:p>
    <w:p w14:paraId="7BE833FA">
      <w:pPr>
        <w:spacing w:line="360" w:lineRule="auto"/>
        <w:ind w:firstLine="560"/>
        <w:rPr>
          <w:rFonts w:ascii="仿宋_GB2312"/>
        </w:rPr>
      </w:pPr>
      <w:r>
        <w:rPr>
          <w:rFonts w:hint="eastAsia" w:ascii="仿宋_GB2312"/>
        </w:rPr>
        <w:t>（6）标杆管理法。是指以国内外同行业中较高的绩效水平为标杆进行评判的方法。</w:t>
      </w:r>
    </w:p>
    <w:p w14:paraId="161EE54D">
      <w:pPr>
        <w:spacing w:line="360" w:lineRule="auto"/>
        <w:ind w:firstLine="560"/>
        <w:rPr>
          <w:rFonts w:ascii="仿宋_GB2312"/>
        </w:rPr>
      </w:pPr>
      <w:r>
        <w:rPr>
          <w:rFonts w:hint="eastAsia" w:ascii="仿宋_GB2312"/>
        </w:rPr>
        <w:t>（7）其他评价方法。</w:t>
      </w:r>
    </w:p>
    <w:p w14:paraId="3A4F689B">
      <w:pPr>
        <w:spacing w:line="360" w:lineRule="auto"/>
        <w:ind w:firstLine="560"/>
        <w:rPr>
          <w:rFonts w:ascii="仿宋_GB2312"/>
        </w:rPr>
      </w:pPr>
      <w:r>
        <w:rPr>
          <w:rFonts w:hint="eastAsia" w:ascii="仿宋_GB2312"/>
        </w:rPr>
        <w:t>根据2023年中央财政医疗服务与保障能力提升（卫生健康人才培养）补助资金的特点，本次评价主要采用比较法</w:t>
      </w:r>
      <w:r>
        <w:rPr>
          <w:rFonts w:ascii="仿宋_GB2312"/>
        </w:rPr>
        <w:t>和</w:t>
      </w:r>
      <w:r>
        <w:rPr>
          <w:rFonts w:hint="eastAsia" w:ascii="仿宋_GB2312"/>
        </w:rPr>
        <w:t>公众评判法，对项目总预算和明细预算的内容、标准、计划是否经济合理进行深入分析，以考察实际产出和效益是否达到预期。</w:t>
      </w:r>
    </w:p>
    <w:p w14:paraId="5015E8B2">
      <w:pPr>
        <w:pStyle w:val="4"/>
        <w:ind w:firstLine="643"/>
      </w:pPr>
      <w:bookmarkStart w:id="24" w:name="_Toc165277235"/>
      <w:r>
        <w:t>4.</w:t>
      </w:r>
      <w:r>
        <w:rPr>
          <w:rFonts w:hint="eastAsia"/>
        </w:rPr>
        <w:t>评价标准</w:t>
      </w:r>
      <w:bookmarkEnd w:id="24"/>
    </w:p>
    <w:p w14:paraId="738CCC07">
      <w:pPr>
        <w:spacing w:line="360" w:lineRule="auto"/>
        <w:ind w:firstLine="560"/>
        <w:rPr>
          <w:rFonts w:ascii="仿宋_GB2312"/>
        </w:rPr>
      </w:pPr>
      <w:r>
        <w:rPr>
          <w:rFonts w:hint="eastAsia" w:ascii="仿宋_GB2312"/>
        </w:rPr>
        <w:t>绩效评价标准主要包括计划标准、行业标准、历史标准等，用于对绩效指标完成情况进行比较。</w:t>
      </w:r>
    </w:p>
    <w:p w14:paraId="7B7C20CD">
      <w:pPr>
        <w:spacing w:line="360" w:lineRule="auto"/>
        <w:ind w:firstLine="560"/>
        <w:rPr>
          <w:rFonts w:ascii="仿宋_GB2312"/>
        </w:rPr>
      </w:pPr>
      <w:r>
        <w:rPr>
          <w:rFonts w:hint="eastAsia" w:ascii="仿宋_GB2312"/>
        </w:rPr>
        <w:t>（1）计划标准。指以预先制定的目标、计划、预算、定额等作为评价标准。</w:t>
      </w:r>
    </w:p>
    <w:p w14:paraId="640346D7">
      <w:pPr>
        <w:spacing w:line="360" w:lineRule="auto"/>
        <w:ind w:firstLine="560"/>
        <w:rPr>
          <w:rFonts w:ascii="仿宋_GB2312"/>
        </w:rPr>
      </w:pPr>
      <w:r>
        <w:rPr>
          <w:rFonts w:hint="eastAsia" w:ascii="仿宋_GB2312"/>
        </w:rPr>
        <w:t>（2）行业标准。指参照国家公布的行业指标数据制定的评价标准。</w:t>
      </w:r>
    </w:p>
    <w:p w14:paraId="6CC1955F">
      <w:pPr>
        <w:spacing w:line="360" w:lineRule="auto"/>
        <w:ind w:firstLine="560"/>
        <w:rPr>
          <w:rFonts w:ascii="仿宋_GB2312"/>
        </w:rPr>
      </w:pPr>
      <w:r>
        <w:rPr>
          <w:rFonts w:hint="eastAsia" w:ascii="仿宋_GB2312"/>
        </w:rPr>
        <w:t>（3）历史标准。指参照历史数据制定的评价标准，为体现绩效改进的原则，在可实现的条件下应当确定相对较高的评价标准。</w:t>
      </w:r>
    </w:p>
    <w:p w14:paraId="598C5399">
      <w:pPr>
        <w:spacing w:line="360" w:lineRule="auto"/>
        <w:ind w:firstLine="560"/>
        <w:rPr>
          <w:rFonts w:ascii="仿宋_GB2312"/>
        </w:rPr>
      </w:pPr>
      <w:r>
        <w:rPr>
          <w:rFonts w:hint="eastAsia" w:ascii="仿宋_GB2312"/>
        </w:rPr>
        <w:t>在上述评价标准的基础上，本次评价依据以下文件为重要指导和准绳：</w:t>
      </w:r>
    </w:p>
    <w:p w14:paraId="776FF89C">
      <w:pPr>
        <w:spacing w:line="360" w:lineRule="auto"/>
        <w:ind w:firstLine="560"/>
        <w:rPr>
          <w:rFonts w:ascii="仿宋_GB2312"/>
        </w:rPr>
      </w:pPr>
      <w:r>
        <w:rPr>
          <w:rFonts w:hint="eastAsia" w:ascii="黑体" w:hAnsi="黑体" w:eastAsia="黑体" w:cs="Times New Roman"/>
          <w:szCs w:val="28"/>
        </w:rPr>
        <w:t>·</w:t>
      </w:r>
      <w:r>
        <w:rPr>
          <w:rFonts w:hint="eastAsia" w:ascii="仿宋_GB2312"/>
        </w:rPr>
        <w:t>《中共中央国务院关于全面实施预算绩效管理的意见》（中发〔2018〕34号）</w:t>
      </w:r>
    </w:p>
    <w:p w14:paraId="1DA16552">
      <w:pPr>
        <w:spacing w:line="360" w:lineRule="auto"/>
        <w:ind w:firstLine="560"/>
        <w:rPr>
          <w:rFonts w:ascii="仿宋_GB2312"/>
        </w:rPr>
      </w:pPr>
      <w:r>
        <w:rPr>
          <w:rFonts w:hint="eastAsia" w:ascii="黑体" w:hAnsi="黑体" w:eastAsia="黑体" w:cs="Times New Roman"/>
          <w:szCs w:val="28"/>
        </w:rPr>
        <w:t>·</w:t>
      </w:r>
      <w:r>
        <w:rPr>
          <w:rFonts w:hint="eastAsia" w:ascii="仿宋_GB2312"/>
        </w:rPr>
        <w:t>《关于印发&lt;乌鲁木齐市本级部门预算绩效目标管理暂行办法&gt;的通知》（乌财预〔2018〕56号）</w:t>
      </w:r>
    </w:p>
    <w:p w14:paraId="53B8BCF3">
      <w:pPr>
        <w:spacing w:line="360" w:lineRule="auto"/>
        <w:ind w:firstLine="560" w:firstLineChars="0"/>
        <w:rPr>
          <w:rFonts w:ascii="仿宋_GB2312"/>
        </w:rPr>
      </w:pPr>
      <w:r>
        <w:rPr>
          <w:rFonts w:hint="eastAsia" w:ascii="黑体" w:hAnsi="黑体" w:eastAsia="黑体" w:cs="Times New Roman"/>
          <w:szCs w:val="28"/>
        </w:rPr>
        <w:t>·</w:t>
      </w:r>
      <w:r>
        <w:rPr>
          <w:rFonts w:hint="eastAsia" w:ascii="仿宋_GB2312"/>
        </w:rPr>
        <w:t>《关于做好2019年部门预算项目支出绩效目标管理有关事宜的通知》（乌财预〔2018〕76号）</w:t>
      </w:r>
    </w:p>
    <w:p w14:paraId="71359F06">
      <w:pPr>
        <w:spacing w:line="360" w:lineRule="auto"/>
        <w:ind w:firstLine="560"/>
        <w:rPr>
          <w:rFonts w:ascii="仿宋_GB2312"/>
        </w:rPr>
      </w:pPr>
      <w:r>
        <w:rPr>
          <w:rFonts w:hint="eastAsia" w:ascii="黑体" w:hAnsi="黑体" w:eastAsia="黑体" w:cs="Times New Roman"/>
          <w:szCs w:val="28"/>
        </w:rPr>
        <w:t>·</w:t>
      </w:r>
      <w:r>
        <w:rPr>
          <w:rFonts w:hint="eastAsia" w:ascii="仿宋_GB2312"/>
        </w:rPr>
        <w:t>《项目支出绩效评价管理办法》（财预〔2020〕10号）</w:t>
      </w:r>
    </w:p>
    <w:p w14:paraId="3122A6D6">
      <w:pPr>
        <w:spacing w:line="360" w:lineRule="auto"/>
        <w:ind w:firstLine="560"/>
        <w:rPr>
          <w:rFonts w:ascii="仿宋_GB2312" w:hAnsi="Times New Roman" w:cs="Times New Roman"/>
          <w:bCs/>
          <w:kern w:val="0"/>
          <w:szCs w:val="28"/>
          <w:lang w:bidi="en-US"/>
        </w:rPr>
      </w:pPr>
      <w:r>
        <w:rPr>
          <w:rFonts w:hint="eastAsia" w:ascii="黑体" w:hAnsi="黑体" w:eastAsia="黑体" w:cs="Times New Roman"/>
          <w:szCs w:val="28"/>
        </w:rPr>
        <w:t>·</w:t>
      </w:r>
      <w:r>
        <w:rPr>
          <w:rFonts w:hint="eastAsia" w:ascii="仿宋_GB2312" w:hAnsi="Times New Roman" w:cs="Times New Roman"/>
          <w:bCs/>
          <w:kern w:val="0"/>
          <w:szCs w:val="28"/>
          <w:lang w:bidi="en-US"/>
        </w:rPr>
        <w:t>《关于开展2023年自治区住院医师规范化培训招收工作的通知》（新卫科教函〔2023〕30号）</w:t>
      </w:r>
    </w:p>
    <w:p w14:paraId="19672AC0">
      <w:pPr>
        <w:spacing w:line="360" w:lineRule="auto"/>
        <w:ind w:firstLine="560"/>
        <w:rPr>
          <w:rFonts w:ascii="仿宋_GB2312" w:hAnsi="Times New Roman" w:cs="Times New Roman"/>
          <w:bCs/>
          <w:kern w:val="0"/>
          <w:szCs w:val="28"/>
          <w:lang w:bidi="en-US"/>
        </w:rPr>
      </w:pPr>
      <w:r>
        <w:rPr>
          <w:rFonts w:hint="eastAsia" w:ascii="黑体" w:hAnsi="黑体" w:eastAsia="黑体" w:cs="Times New Roman"/>
          <w:szCs w:val="28"/>
        </w:rPr>
        <w:t>·</w:t>
      </w:r>
      <w:r>
        <w:rPr>
          <w:rFonts w:hint="eastAsia" w:ascii="仿宋_GB2312" w:hAnsi="Times New Roman" w:cs="Times New Roman"/>
          <w:bCs/>
          <w:kern w:val="0"/>
          <w:szCs w:val="28"/>
          <w:lang w:bidi="en-US"/>
        </w:rPr>
        <w:t>《关于2023年自治区农村订单定向免费医学毕业生参加住院医师规范化培训的通知》（新卫科教函〔2023〕62号）</w:t>
      </w:r>
    </w:p>
    <w:p w14:paraId="25DFB469">
      <w:pPr>
        <w:spacing w:line="360" w:lineRule="auto"/>
        <w:ind w:firstLine="560"/>
        <w:rPr>
          <w:rFonts w:ascii="仿宋_GB2312"/>
        </w:rPr>
      </w:pPr>
      <w:r>
        <w:rPr>
          <w:rFonts w:ascii="仿宋_GB2312"/>
        </w:rPr>
        <w:t xml:space="preserve"> </w:t>
      </w:r>
      <w:r>
        <w:rPr>
          <w:rFonts w:hint="eastAsia" w:ascii="黑体" w:hAnsi="黑体" w:eastAsia="黑体" w:cs="Times New Roman"/>
          <w:szCs w:val="28"/>
        </w:rPr>
        <w:t>·</w:t>
      </w:r>
      <w:r>
        <w:rPr>
          <w:rFonts w:hint="eastAsia" w:ascii="仿宋_GB2312"/>
          <w:szCs w:val="28"/>
        </w:rPr>
        <w:t>《中医全科住院医师规范化培训管理制度》</w:t>
      </w:r>
    </w:p>
    <w:p w14:paraId="1218DD84">
      <w:pPr>
        <w:pStyle w:val="3"/>
        <w:ind w:firstLine="643"/>
        <w:rPr>
          <w:rFonts w:ascii="仿宋" w:hAnsi="仿宋" w:eastAsia="仿宋"/>
          <w:lang w:bidi="en-US"/>
        </w:rPr>
      </w:pPr>
      <w:bookmarkStart w:id="25" w:name="_Toc67911607"/>
      <w:bookmarkStart w:id="26" w:name="_Toc165277236"/>
      <w:r>
        <w:rPr>
          <w:rFonts w:hint="eastAsia" w:ascii="仿宋" w:hAnsi="仿宋" w:eastAsia="仿宋"/>
          <w:lang w:bidi="en-US"/>
        </w:rPr>
        <w:t>（三）绩效评价工作过程</w:t>
      </w:r>
      <w:bookmarkEnd w:id="25"/>
      <w:bookmarkEnd w:id="26"/>
    </w:p>
    <w:p w14:paraId="5EF6BB5C">
      <w:pPr>
        <w:spacing w:line="360" w:lineRule="auto"/>
        <w:ind w:firstLine="560"/>
        <w:rPr>
          <w:rFonts w:ascii="仿宋_GB2312"/>
        </w:rPr>
      </w:pPr>
      <w:r>
        <w:rPr>
          <w:rFonts w:hint="eastAsia" w:ascii="仿宋_GB231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0"/>
          <w:rFonts w:ascii="仿宋_GB2312"/>
        </w:rPr>
        <w:footnoteReference w:id="1"/>
      </w:r>
      <w:r>
        <w:rPr>
          <w:rFonts w:hint="eastAsia" w:ascii="仿宋_GB2312"/>
        </w:rPr>
        <w:t>、材料审核分析、现场核查评价、综合分析评价及报告撰写，评价项目实施情况，展现资金使用效益。</w:t>
      </w:r>
    </w:p>
    <w:p w14:paraId="7A0D1936">
      <w:pPr>
        <w:pStyle w:val="2"/>
        <w:ind w:firstLine="0" w:firstLineChars="0"/>
        <w:jc w:val="left"/>
        <w:rPr>
          <w:rFonts w:ascii="仿宋" w:hAnsi="仿宋" w:eastAsia="仿宋"/>
          <w:sz w:val="36"/>
          <w:szCs w:val="36"/>
          <w:lang w:bidi="en-US"/>
        </w:rPr>
      </w:pPr>
      <w:bookmarkStart w:id="27" w:name="_Toc67911608"/>
      <w:bookmarkStart w:id="28" w:name="_Toc165277237"/>
      <w:r>
        <w:rPr>
          <w:rFonts w:hint="eastAsia" w:ascii="仿宋" w:hAnsi="仿宋" w:eastAsia="仿宋"/>
          <w:sz w:val="36"/>
          <w:szCs w:val="36"/>
          <w:lang w:bidi="en-US"/>
        </w:rPr>
        <w:t>三、综合评价情况及评价结论</w:t>
      </w:r>
      <w:bookmarkEnd w:id="27"/>
      <w:bookmarkEnd w:id="28"/>
    </w:p>
    <w:p w14:paraId="638D22DA">
      <w:pPr>
        <w:pStyle w:val="3"/>
        <w:ind w:firstLine="643"/>
        <w:rPr>
          <w:rFonts w:ascii="仿宋" w:hAnsi="仿宋" w:eastAsia="仿宋"/>
          <w:lang w:bidi="en-US"/>
        </w:rPr>
      </w:pPr>
      <w:bookmarkStart w:id="29" w:name="_Toc67911609"/>
      <w:bookmarkStart w:id="30" w:name="_Toc165277238"/>
      <w:r>
        <w:rPr>
          <w:rFonts w:hint="eastAsia" w:ascii="仿宋" w:hAnsi="仿宋" w:eastAsia="仿宋"/>
          <w:lang w:bidi="en-US"/>
        </w:rPr>
        <w:t>（一）评价结论</w:t>
      </w:r>
      <w:bookmarkEnd w:id="29"/>
      <w:bookmarkEnd w:id="30"/>
    </w:p>
    <w:p w14:paraId="387EF750">
      <w:pPr>
        <w:spacing w:line="360" w:lineRule="auto"/>
        <w:ind w:firstLine="560"/>
        <w:rPr>
          <w:rFonts w:ascii="仿宋_GB2312"/>
          <w:szCs w:val="28"/>
        </w:rPr>
      </w:pPr>
      <w:r>
        <w:rPr>
          <w:rFonts w:hint="eastAsia" w:ascii="仿宋_GB2312"/>
          <w:szCs w:val="28"/>
        </w:rPr>
        <w:t>结合项目特点，制定符合项目实际的绩效评价指标体系及评分标准，通过数据采集、问卷调查及访谈等形式，对2023年中央财政医疗服务与保障能力提升（卫生健康人才培养）补助资金项目进行客观评价，最终评分结果为：总分为</w:t>
      </w:r>
      <w:r>
        <w:rPr>
          <w:rFonts w:ascii="仿宋_GB2312"/>
          <w:szCs w:val="28"/>
        </w:rPr>
        <w:t>98.71</w:t>
      </w:r>
      <w:r>
        <w:rPr>
          <w:rFonts w:hint="eastAsia" w:ascii="仿宋_GB2312"/>
          <w:szCs w:val="28"/>
        </w:rPr>
        <w:t>分，绩效评级为“优”</w:t>
      </w:r>
      <w:r>
        <w:rPr>
          <w:rStyle w:val="20"/>
          <w:rFonts w:ascii="仿宋_GB2312"/>
          <w:szCs w:val="28"/>
        </w:rPr>
        <w:footnoteReference w:id="2"/>
      </w:r>
      <w:r>
        <w:rPr>
          <w:rFonts w:hint="eastAsia" w:ascii="仿宋_GB2312"/>
          <w:szCs w:val="28"/>
        </w:rPr>
        <w:t>。</w:t>
      </w:r>
    </w:p>
    <w:p w14:paraId="01F05485">
      <w:pPr>
        <w:spacing w:line="360" w:lineRule="auto"/>
        <w:ind w:firstLine="560"/>
        <w:rPr>
          <w:rFonts w:ascii="仿宋_GB2312"/>
          <w:szCs w:val="28"/>
          <w:highlight w:val="none"/>
        </w:rPr>
      </w:pPr>
      <w:r>
        <w:rPr>
          <w:rFonts w:hint="eastAsia" w:ascii="仿宋_GB2312"/>
          <w:szCs w:val="28"/>
        </w:rPr>
        <w:t>2023年中央财政医疗服务与保障能力提升（卫生健康人才培养）补助资金</w:t>
      </w:r>
      <w:r>
        <w:rPr>
          <w:rFonts w:hint="eastAsia" w:ascii="仿宋_GB2312"/>
          <w:szCs w:val="28"/>
          <w:highlight w:val="none"/>
        </w:rPr>
        <w:t>项目各部分权重和绩效分值如附表所示：</w:t>
      </w:r>
    </w:p>
    <w:p w14:paraId="6CD87778">
      <w:pPr>
        <w:spacing w:line="360" w:lineRule="auto"/>
        <w:ind w:firstLine="0" w:firstLineChars="0"/>
        <w:jc w:val="center"/>
        <w:rPr>
          <w:rFonts w:ascii="仿宋_GB2312"/>
          <w:b/>
          <w:bCs/>
          <w:szCs w:val="28"/>
        </w:rPr>
      </w:pPr>
      <w:r>
        <w:rPr>
          <w:rFonts w:ascii="仿宋_GB2312"/>
          <w:b/>
          <w:bCs/>
          <w:szCs w:val="28"/>
        </w:rPr>
        <w:t xml:space="preserve">  </w:t>
      </w:r>
      <w:r>
        <w:rPr>
          <w:rFonts w:hint="eastAsia" w:ascii="仿宋_GB2312"/>
          <w:b/>
          <w:bCs/>
          <w:szCs w:val="28"/>
        </w:rPr>
        <w:t>项目各部分权重和绩效分值</w:t>
      </w:r>
    </w:p>
    <w:tbl>
      <w:tblPr>
        <w:tblStyle w:val="15"/>
        <w:tblW w:w="4887" w:type="pct"/>
        <w:tblInd w:w="0" w:type="dxa"/>
        <w:tblLayout w:type="autofit"/>
        <w:tblCellMar>
          <w:top w:w="0" w:type="dxa"/>
          <w:left w:w="108" w:type="dxa"/>
          <w:bottom w:w="0" w:type="dxa"/>
          <w:right w:w="108" w:type="dxa"/>
        </w:tblCellMar>
      </w:tblPr>
      <w:tblGrid>
        <w:gridCol w:w="1394"/>
        <w:gridCol w:w="1391"/>
        <w:gridCol w:w="2001"/>
        <w:gridCol w:w="1134"/>
        <w:gridCol w:w="851"/>
        <w:gridCol w:w="1558"/>
      </w:tblGrid>
      <w:tr w14:paraId="33C079CB">
        <w:tblPrEx>
          <w:tblCellMar>
            <w:top w:w="0" w:type="dxa"/>
            <w:left w:w="108" w:type="dxa"/>
            <w:bottom w:w="0" w:type="dxa"/>
            <w:right w:w="108" w:type="dxa"/>
          </w:tblCellMar>
        </w:tblPrEx>
        <w:trPr>
          <w:trHeight w:val="690" w:hRule="atLeast"/>
        </w:trPr>
        <w:tc>
          <w:tcPr>
            <w:tcW w:w="837" w:type="pct"/>
            <w:tcBorders>
              <w:top w:val="single" w:color="000000" w:sz="8" w:space="0"/>
              <w:left w:val="single" w:color="000000" w:sz="8" w:space="0"/>
              <w:bottom w:val="single" w:color="000000" w:sz="8" w:space="0"/>
              <w:right w:val="single" w:color="000000" w:sz="8" w:space="0"/>
            </w:tcBorders>
            <w:shd w:val="clear" w:color="000000" w:fill="D0CECE"/>
            <w:vAlign w:val="center"/>
          </w:tcPr>
          <w:p w14:paraId="60C667FD">
            <w:pPr>
              <w:widowControl/>
              <w:ind w:firstLine="0" w:firstLineChars="0"/>
              <w:jc w:val="center"/>
              <w:rPr>
                <w:rFonts w:ascii="仿宋_GB2312" w:hAnsi="宋体" w:cs="宋体"/>
                <w:b/>
                <w:bCs/>
                <w:color w:val="000000"/>
                <w:kern w:val="0"/>
                <w:sz w:val="24"/>
                <w:szCs w:val="24"/>
              </w:rPr>
            </w:pPr>
            <w:r>
              <w:rPr>
                <w:rFonts w:hint="eastAsia" w:ascii="仿宋_GB2312" w:hAnsi="宋体" w:cs="宋体"/>
                <w:b/>
                <w:bCs/>
                <w:color w:val="000000"/>
                <w:kern w:val="0"/>
                <w:sz w:val="24"/>
                <w:szCs w:val="24"/>
              </w:rPr>
              <w:t>一级指标</w:t>
            </w:r>
          </w:p>
        </w:tc>
        <w:tc>
          <w:tcPr>
            <w:tcW w:w="835" w:type="pct"/>
            <w:tcBorders>
              <w:top w:val="single" w:color="000000" w:sz="8" w:space="0"/>
              <w:left w:val="nil"/>
              <w:bottom w:val="single" w:color="000000" w:sz="8" w:space="0"/>
              <w:right w:val="single" w:color="000000" w:sz="8" w:space="0"/>
            </w:tcBorders>
            <w:shd w:val="clear" w:color="000000" w:fill="D0CECE"/>
            <w:vAlign w:val="center"/>
          </w:tcPr>
          <w:p w14:paraId="3690357F">
            <w:pPr>
              <w:widowControl/>
              <w:ind w:firstLine="0" w:firstLineChars="0"/>
              <w:jc w:val="center"/>
              <w:rPr>
                <w:rFonts w:hint="eastAsia" w:ascii="仿宋_GB2312" w:hAnsi="宋体" w:cs="宋体"/>
                <w:b/>
                <w:bCs/>
                <w:color w:val="000000"/>
                <w:kern w:val="0"/>
                <w:sz w:val="24"/>
                <w:szCs w:val="24"/>
              </w:rPr>
            </w:pPr>
            <w:r>
              <w:rPr>
                <w:rFonts w:hint="eastAsia" w:ascii="仿宋_GB2312" w:hAnsi="宋体" w:cs="宋体"/>
                <w:b/>
                <w:bCs/>
                <w:color w:val="000000"/>
                <w:kern w:val="0"/>
                <w:sz w:val="24"/>
                <w:szCs w:val="24"/>
              </w:rPr>
              <w:t>二级指标</w:t>
            </w:r>
          </w:p>
        </w:tc>
        <w:tc>
          <w:tcPr>
            <w:tcW w:w="1201" w:type="pct"/>
            <w:tcBorders>
              <w:top w:val="single" w:color="000000" w:sz="8" w:space="0"/>
              <w:left w:val="nil"/>
              <w:bottom w:val="single" w:color="000000" w:sz="8" w:space="0"/>
              <w:right w:val="single" w:color="000000" w:sz="8" w:space="0"/>
            </w:tcBorders>
            <w:shd w:val="clear" w:color="000000" w:fill="D0CECE"/>
            <w:vAlign w:val="center"/>
          </w:tcPr>
          <w:p w14:paraId="55610D3F">
            <w:pPr>
              <w:widowControl/>
              <w:ind w:firstLine="0" w:firstLineChars="0"/>
              <w:jc w:val="center"/>
              <w:rPr>
                <w:rFonts w:hint="eastAsia" w:ascii="仿宋_GB2312" w:hAnsi="宋体" w:cs="宋体"/>
                <w:b/>
                <w:bCs/>
                <w:color w:val="000000"/>
                <w:kern w:val="0"/>
                <w:sz w:val="24"/>
                <w:szCs w:val="24"/>
              </w:rPr>
            </w:pPr>
            <w:r>
              <w:rPr>
                <w:rFonts w:hint="eastAsia" w:ascii="仿宋_GB2312" w:hAnsi="宋体" w:cs="宋体"/>
                <w:b/>
                <w:bCs/>
                <w:color w:val="000000"/>
                <w:kern w:val="0"/>
                <w:sz w:val="24"/>
                <w:szCs w:val="24"/>
              </w:rPr>
              <w:t>三级指标</w:t>
            </w:r>
          </w:p>
        </w:tc>
        <w:tc>
          <w:tcPr>
            <w:tcW w:w="681" w:type="pct"/>
            <w:tcBorders>
              <w:top w:val="single" w:color="000000" w:sz="8" w:space="0"/>
              <w:left w:val="nil"/>
              <w:bottom w:val="single" w:color="000000" w:sz="8" w:space="0"/>
              <w:right w:val="single" w:color="000000" w:sz="8" w:space="0"/>
            </w:tcBorders>
            <w:shd w:val="clear" w:color="000000" w:fill="D0CECE"/>
            <w:vAlign w:val="center"/>
          </w:tcPr>
          <w:p w14:paraId="07460800">
            <w:pPr>
              <w:widowControl/>
              <w:ind w:firstLine="0" w:firstLineChars="0"/>
              <w:jc w:val="center"/>
              <w:rPr>
                <w:rFonts w:hint="eastAsia" w:ascii="仿宋_GB2312" w:hAnsi="宋体" w:cs="宋体"/>
                <w:b/>
                <w:bCs/>
                <w:color w:val="000000"/>
                <w:kern w:val="0"/>
                <w:sz w:val="24"/>
                <w:szCs w:val="24"/>
              </w:rPr>
            </w:pPr>
            <w:r>
              <w:rPr>
                <w:rFonts w:hint="eastAsia" w:ascii="仿宋_GB2312" w:hAnsi="宋体" w:cs="宋体"/>
                <w:b/>
                <w:bCs/>
                <w:color w:val="000000"/>
                <w:kern w:val="0"/>
                <w:sz w:val="24"/>
                <w:szCs w:val="24"/>
              </w:rPr>
              <w:t>分值</w:t>
            </w:r>
          </w:p>
        </w:tc>
        <w:tc>
          <w:tcPr>
            <w:tcW w:w="511" w:type="pct"/>
            <w:tcBorders>
              <w:top w:val="single" w:color="000000" w:sz="8" w:space="0"/>
              <w:left w:val="nil"/>
              <w:bottom w:val="single" w:color="000000" w:sz="8" w:space="0"/>
              <w:right w:val="single" w:color="000000" w:sz="8" w:space="0"/>
            </w:tcBorders>
            <w:shd w:val="clear" w:color="000000" w:fill="D0CECE"/>
            <w:vAlign w:val="center"/>
          </w:tcPr>
          <w:p w14:paraId="24ADA0DF">
            <w:pPr>
              <w:widowControl/>
              <w:ind w:firstLine="0" w:firstLineChars="0"/>
              <w:jc w:val="center"/>
              <w:rPr>
                <w:rFonts w:hint="eastAsia" w:ascii="仿宋_GB2312" w:hAnsi="宋体" w:cs="宋体"/>
                <w:b/>
                <w:bCs/>
                <w:color w:val="000000"/>
                <w:kern w:val="0"/>
                <w:sz w:val="24"/>
                <w:szCs w:val="24"/>
              </w:rPr>
            </w:pPr>
            <w:r>
              <w:rPr>
                <w:rFonts w:hint="eastAsia" w:ascii="仿宋_GB2312" w:hAnsi="宋体" w:cs="宋体"/>
                <w:b/>
                <w:bCs/>
                <w:color w:val="000000"/>
                <w:kern w:val="0"/>
                <w:sz w:val="24"/>
                <w:szCs w:val="24"/>
              </w:rPr>
              <w:t>得分</w:t>
            </w:r>
          </w:p>
        </w:tc>
        <w:tc>
          <w:tcPr>
            <w:tcW w:w="935" w:type="pct"/>
            <w:tcBorders>
              <w:top w:val="single" w:color="000000" w:sz="8" w:space="0"/>
              <w:left w:val="nil"/>
              <w:bottom w:val="single" w:color="000000" w:sz="8" w:space="0"/>
              <w:right w:val="single" w:color="000000" w:sz="8" w:space="0"/>
            </w:tcBorders>
            <w:shd w:val="clear" w:color="000000" w:fill="D0CECE"/>
            <w:vAlign w:val="center"/>
          </w:tcPr>
          <w:p w14:paraId="34015FAF">
            <w:pPr>
              <w:widowControl/>
              <w:ind w:firstLine="0" w:firstLineChars="0"/>
              <w:jc w:val="center"/>
              <w:rPr>
                <w:rFonts w:hint="eastAsia" w:ascii="仿宋_GB2312" w:hAnsi="宋体" w:cs="宋体"/>
                <w:b/>
                <w:bCs/>
                <w:color w:val="000000"/>
                <w:kern w:val="0"/>
                <w:sz w:val="24"/>
                <w:szCs w:val="24"/>
              </w:rPr>
            </w:pPr>
            <w:r>
              <w:rPr>
                <w:rFonts w:hint="eastAsia" w:ascii="仿宋_GB2312" w:hAnsi="宋体" w:cs="宋体"/>
                <w:b/>
                <w:bCs/>
                <w:color w:val="000000"/>
                <w:kern w:val="0"/>
                <w:sz w:val="24"/>
                <w:szCs w:val="24"/>
              </w:rPr>
              <w:t>得分率</w:t>
            </w:r>
          </w:p>
        </w:tc>
      </w:tr>
      <w:tr w14:paraId="3B66E8B7">
        <w:tblPrEx>
          <w:tblCellMar>
            <w:top w:w="0" w:type="dxa"/>
            <w:left w:w="108" w:type="dxa"/>
            <w:bottom w:w="0" w:type="dxa"/>
            <w:right w:w="108" w:type="dxa"/>
          </w:tblCellMar>
        </w:tblPrEx>
        <w:trPr>
          <w:trHeight w:val="1030" w:hRule="atLeast"/>
        </w:trPr>
        <w:tc>
          <w:tcPr>
            <w:tcW w:w="837" w:type="pct"/>
            <w:vMerge w:val="restart"/>
            <w:tcBorders>
              <w:top w:val="nil"/>
              <w:left w:val="single" w:color="000000" w:sz="8" w:space="0"/>
              <w:bottom w:val="single" w:color="000000" w:sz="8" w:space="0"/>
              <w:right w:val="single" w:color="000000" w:sz="8" w:space="0"/>
            </w:tcBorders>
            <w:shd w:val="clear" w:color="000000" w:fill="FFFFFF"/>
            <w:vAlign w:val="center"/>
          </w:tcPr>
          <w:p w14:paraId="7A0D2394">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决策</w:t>
            </w:r>
          </w:p>
        </w:tc>
        <w:tc>
          <w:tcPr>
            <w:tcW w:w="835" w:type="pct"/>
            <w:vMerge w:val="restart"/>
            <w:tcBorders>
              <w:top w:val="nil"/>
              <w:left w:val="single" w:color="000000" w:sz="8" w:space="0"/>
              <w:bottom w:val="single" w:color="000000" w:sz="8" w:space="0"/>
              <w:right w:val="single" w:color="000000" w:sz="8" w:space="0"/>
            </w:tcBorders>
            <w:shd w:val="clear" w:color="000000" w:fill="FFFFFF"/>
            <w:vAlign w:val="center"/>
          </w:tcPr>
          <w:p w14:paraId="651AE5DD">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项目立项</w:t>
            </w:r>
          </w:p>
        </w:tc>
        <w:tc>
          <w:tcPr>
            <w:tcW w:w="1201" w:type="pct"/>
            <w:tcBorders>
              <w:top w:val="nil"/>
              <w:left w:val="nil"/>
              <w:bottom w:val="single" w:color="000000" w:sz="8" w:space="0"/>
              <w:right w:val="single" w:color="000000" w:sz="8" w:space="0"/>
            </w:tcBorders>
            <w:shd w:val="clear" w:color="000000" w:fill="FFFFFF"/>
            <w:vAlign w:val="center"/>
          </w:tcPr>
          <w:p w14:paraId="53F14E4A">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立项依据充分性</w:t>
            </w:r>
          </w:p>
        </w:tc>
        <w:tc>
          <w:tcPr>
            <w:tcW w:w="681" w:type="pct"/>
            <w:tcBorders>
              <w:top w:val="nil"/>
              <w:left w:val="nil"/>
              <w:bottom w:val="single" w:color="000000" w:sz="8" w:space="0"/>
              <w:right w:val="single" w:color="000000" w:sz="8" w:space="0"/>
            </w:tcBorders>
            <w:shd w:val="clear" w:color="000000" w:fill="FFFFFF"/>
            <w:vAlign w:val="center"/>
          </w:tcPr>
          <w:p w14:paraId="6B554226">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4</w:t>
            </w:r>
          </w:p>
        </w:tc>
        <w:tc>
          <w:tcPr>
            <w:tcW w:w="511" w:type="pct"/>
            <w:tcBorders>
              <w:top w:val="nil"/>
              <w:left w:val="nil"/>
              <w:bottom w:val="single" w:color="000000" w:sz="8" w:space="0"/>
              <w:right w:val="single" w:color="000000" w:sz="8" w:space="0"/>
            </w:tcBorders>
            <w:shd w:val="clear" w:color="000000" w:fill="FFFFFF"/>
            <w:vAlign w:val="center"/>
          </w:tcPr>
          <w:p w14:paraId="40D7A0C5">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4</w:t>
            </w:r>
          </w:p>
        </w:tc>
        <w:tc>
          <w:tcPr>
            <w:tcW w:w="935" w:type="pct"/>
            <w:tcBorders>
              <w:top w:val="nil"/>
              <w:left w:val="nil"/>
              <w:bottom w:val="single" w:color="000000" w:sz="8" w:space="0"/>
              <w:right w:val="single" w:color="000000" w:sz="8" w:space="0"/>
            </w:tcBorders>
            <w:shd w:val="clear" w:color="000000" w:fill="FFFFFF"/>
            <w:vAlign w:val="center"/>
          </w:tcPr>
          <w:p w14:paraId="2B3F6DE0">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100%</w:t>
            </w:r>
          </w:p>
        </w:tc>
      </w:tr>
      <w:tr w14:paraId="5FF946E0">
        <w:tblPrEx>
          <w:tblCellMar>
            <w:top w:w="0" w:type="dxa"/>
            <w:left w:w="108" w:type="dxa"/>
            <w:bottom w:w="0" w:type="dxa"/>
            <w:right w:w="108" w:type="dxa"/>
          </w:tblCellMar>
        </w:tblPrEx>
        <w:trPr>
          <w:trHeight w:val="1030" w:hRule="atLeast"/>
        </w:trPr>
        <w:tc>
          <w:tcPr>
            <w:tcW w:w="837" w:type="pct"/>
            <w:vMerge w:val="continue"/>
            <w:tcBorders>
              <w:top w:val="nil"/>
              <w:left w:val="single" w:color="000000" w:sz="8" w:space="0"/>
              <w:bottom w:val="single" w:color="000000" w:sz="8" w:space="0"/>
              <w:right w:val="single" w:color="000000" w:sz="8" w:space="0"/>
            </w:tcBorders>
            <w:vAlign w:val="center"/>
          </w:tcPr>
          <w:p w14:paraId="75FA931D">
            <w:pPr>
              <w:widowControl/>
              <w:ind w:firstLine="0" w:firstLineChars="0"/>
              <w:jc w:val="left"/>
              <w:rPr>
                <w:rFonts w:ascii="仿宋_GB2312" w:hAnsi="宋体" w:cs="宋体"/>
                <w:color w:val="000000"/>
                <w:kern w:val="0"/>
                <w:sz w:val="24"/>
                <w:szCs w:val="24"/>
              </w:rPr>
            </w:pPr>
          </w:p>
        </w:tc>
        <w:tc>
          <w:tcPr>
            <w:tcW w:w="835" w:type="pct"/>
            <w:vMerge w:val="continue"/>
            <w:tcBorders>
              <w:top w:val="nil"/>
              <w:left w:val="single" w:color="000000" w:sz="8" w:space="0"/>
              <w:bottom w:val="single" w:color="000000" w:sz="8" w:space="0"/>
              <w:right w:val="single" w:color="000000" w:sz="8" w:space="0"/>
            </w:tcBorders>
            <w:vAlign w:val="center"/>
          </w:tcPr>
          <w:p w14:paraId="28EAA930">
            <w:pPr>
              <w:widowControl/>
              <w:ind w:firstLine="0" w:firstLineChars="0"/>
              <w:jc w:val="left"/>
              <w:rPr>
                <w:rFonts w:ascii="仿宋_GB2312" w:hAnsi="宋体" w:cs="宋体"/>
                <w:color w:val="000000"/>
                <w:kern w:val="0"/>
                <w:sz w:val="24"/>
                <w:szCs w:val="24"/>
              </w:rPr>
            </w:pPr>
          </w:p>
        </w:tc>
        <w:tc>
          <w:tcPr>
            <w:tcW w:w="1201" w:type="pct"/>
            <w:tcBorders>
              <w:top w:val="nil"/>
              <w:left w:val="nil"/>
              <w:bottom w:val="single" w:color="000000" w:sz="8" w:space="0"/>
              <w:right w:val="single" w:color="000000" w:sz="8" w:space="0"/>
            </w:tcBorders>
            <w:shd w:val="clear" w:color="000000" w:fill="FFFFFF"/>
            <w:vAlign w:val="center"/>
          </w:tcPr>
          <w:p w14:paraId="4D694E69">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立项程序规范性</w:t>
            </w:r>
          </w:p>
        </w:tc>
        <w:tc>
          <w:tcPr>
            <w:tcW w:w="681" w:type="pct"/>
            <w:tcBorders>
              <w:top w:val="nil"/>
              <w:left w:val="nil"/>
              <w:bottom w:val="single" w:color="000000" w:sz="8" w:space="0"/>
              <w:right w:val="single" w:color="000000" w:sz="8" w:space="0"/>
            </w:tcBorders>
            <w:shd w:val="clear" w:color="000000" w:fill="FFFFFF"/>
            <w:vAlign w:val="center"/>
          </w:tcPr>
          <w:p w14:paraId="5BF1DFEB">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4</w:t>
            </w:r>
          </w:p>
        </w:tc>
        <w:tc>
          <w:tcPr>
            <w:tcW w:w="511" w:type="pct"/>
            <w:tcBorders>
              <w:top w:val="nil"/>
              <w:left w:val="nil"/>
              <w:bottom w:val="single" w:color="000000" w:sz="8" w:space="0"/>
              <w:right w:val="single" w:color="000000" w:sz="8" w:space="0"/>
            </w:tcBorders>
            <w:shd w:val="clear" w:color="000000" w:fill="FFFFFF"/>
            <w:vAlign w:val="center"/>
          </w:tcPr>
          <w:p w14:paraId="6928290A">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4</w:t>
            </w:r>
          </w:p>
        </w:tc>
        <w:tc>
          <w:tcPr>
            <w:tcW w:w="935" w:type="pct"/>
            <w:tcBorders>
              <w:top w:val="nil"/>
              <w:left w:val="nil"/>
              <w:bottom w:val="single" w:color="000000" w:sz="8" w:space="0"/>
              <w:right w:val="single" w:color="000000" w:sz="8" w:space="0"/>
            </w:tcBorders>
            <w:shd w:val="clear" w:color="000000" w:fill="FFFFFF"/>
            <w:vAlign w:val="center"/>
          </w:tcPr>
          <w:p w14:paraId="44BB4956">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100%</w:t>
            </w:r>
          </w:p>
        </w:tc>
      </w:tr>
      <w:tr w14:paraId="5A1F76C7">
        <w:tblPrEx>
          <w:tblCellMar>
            <w:top w:w="0" w:type="dxa"/>
            <w:left w:w="108" w:type="dxa"/>
            <w:bottom w:w="0" w:type="dxa"/>
            <w:right w:w="108" w:type="dxa"/>
          </w:tblCellMar>
        </w:tblPrEx>
        <w:trPr>
          <w:trHeight w:val="1030" w:hRule="atLeast"/>
        </w:trPr>
        <w:tc>
          <w:tcPr>
            <w:tcW w:w="837" w:type="pct"/>
            <w:vMerge w:val="continue"/>
            <w:tcBorders>
              <w:top w:val="nil"/>
              <w:left w:val="single" w:color="000000" w:sz="8" w:space="0"/>
              <w:bottom w:val="single" w:color="000000" w:sz="8" w:space="0"/>
              <w:right w:val="single" w:color="000000" w:sz="8" w:space="0"/>
            </w:tcBorders>
            <w:vAlign w:val="center"/>
          </w:tcPr>
          <w:p w14:paraId="7920E905">
            <w:pPr>
              <w:widowControl/>
              <w:ind w:firstLine="0" w:firstLineChars="0"/>
              <w:jc w:val="left"/>
              <w:rPr>
                <w:rFonts w:ascii="仿宋_GB2312" w:hAnsi="宋体" w:cs="宋体"/>
                <w:color w:val="000000"/>
                <w:kern w:val="0"/>
                <w:sz w:val="24"/>
                <w:szCs w:val="24"/>
              </w:rPr>
            </w:pPr>
          </w:p>
        </w:tc>
        <w:tc>
          <w:tcPr>
            <w:tcW w:w="835" w:type="pct"/>
            <w:vMerge w:val="restart"/>
            <w:tcBorders>
              <w:top w:val="nil"/>
              <w:left w:val="single" w:color="000000" w:sz="8" w:space="0"/>
              <w:bottom w:val="single" w:color="000000" w:sz="8" w:space="0"/>
              <w:right w:val="single" w:color="000000" w:sz="8" w:space="0"/>
            </w:tcBorders>
            <w:shd w:val="clear" w:color="000000" w:fill="FFFFFF"/>
            <w:vAlign w:val="center"/>
          </w:tcPr>
          <w:p w14:paraId="7E98695C">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绩效目标</w:t>
            </w:r>
          </w:p>
        </w:tc>
        <w:tc>
          <w:tcPr>
            <w:tcW w:w="1201" w:type="pct"/>
            <w:tcBorders>
              <w:top w:val="nil"/>
              <w:left w:val="nil"/>
              <w:bottom w:val="single" w:color="000000" w:sz="8" w:space="0"/>
              <w:right w:val="single" w:color="000000" w:sz="8" w:space="0"/>
            </w:tcBorders>
            <w:shd w:val="clear" w:color="000000" w:fill="FFFFFF"/>
            <w:vAlign w:val="center"/>
          </w:tcPr>
          <w:p w14:paraId="380EFB10">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绩效目标合理性</w:t>
            </w:r>
          </w:p>
        </w:tc>
        <w:tc>
          <w:tcPr>
            <w:tcW w:w="681" w:type="pct"/>
            <w:tcBorders>
              <w:top w:val="nil"/>
              <w:left w:val="nil"/>
              <w:bottom w:val="single" w:color="000000" w:sz="8" w:space="0"/>
              <w:right w:val="single" w:color="000000" w:sz="8" w:space="0"/>
            </w:tcBorders>
            <w:shd w:val="clear" w:color="000000" w:fill="FFFFFF"/>
            <w:vAlign w:val="center"/>
          </w:tcPr>
          <w:p w14:paraId="31C26C68">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3</w:t>
            </w:r>
          </w:p>
        </w:tc>
        <w:tc>
          <w:tcPr>
            <w:tcW w:w="511" w:type="pct"/>
            <w:tcBorders>
              <w:top w:val="nil"/>
              <w:left w:val="nil"/>
              <w:bottom w:val="single" w:color="000000" w:sz="8" w:space="0"/>
              <w:right w:val="single" w:color="000000" w:sz="8" w:space="0"/>
            </w:tcBorders>
            <w:shd w:val="clear" w:color="000000" w:fill="FFFFFF"/>
            <w:vAlign w:val="center"/>
          </w:tcPr>
          <w:p w14:paraId="0AC59239">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3</w:t>
            </w:r>
          </w:p>
        </w:tc>
        <w:tc>
          <w:tcPr>
            <w:tcW w:w="935" w:type="pct"/>
            <w:tcBorders>
              <w:top w:val="nil"/>
              <w:left w:val="nil"/>
              <w:bottom w:val="single" w:color="000000" w:sz="8" w:space="0"/>
              <w:right w:val="single" w:color="000000" w:sz="8" w:space="0"/>
            </w:tcBorders>
            <w:shd w:val="clear" w:color="000000" w:fill="FFFFFF"/>
            <w:vAlign w:val="center"/>
          </w:tcPr>
          <w:p w14:paraId="58875046">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100%</w:t>
            </w:r>
          </w:p>
        </w:tc>
      </w:tr>
      <w:tr w14:paraId="508EC426">
        <w:tblPrEx>
          <w:tblCellMar>
            <w:top w:w="0" w:type="dxa"/>
            <w:left w:w="108" w:type="dxa"/>
            <w:bottom w:w="0" w:type="dxa"/>
            <w:right w:w="108" w:type="dxa"/>
          </w:tblCellMar>
        </w:tblPrEx>
        <w:trPr>
          <w:trHeight w:val="1030" w:hRule="atLeast"/>
        </w:trPr>
        <w:tc>
          <w:tcPr>
            <w:tcW w:w="837" w:type="pct"/>
            <w:vMerge w:val="continue"/>
            <w:tcBorders>
              <w:top w:val="nil"/>
              <w:left w:val="single" w:color="000000" w:sz="8" w:space="0"/>
              <w:bottom w:val="single" w:color="000000" w:sz="8" w:space="0"/>
              <w:right w:val="single" w:color="000000" w:sz="8" w:space="0"/>
            </w:tcBorders>
            <w:vAlign w:val="center"/>
          </w:tcPr>
          <w:p w14:paraId="041C98F9">
            <w:pPr>
              <w:widowControl/>
              <w:ind w:firstLine="0" w:firstLineChars="0"/>
              <w:jc w:val="left"/>
              <w:rPr>
                <w:rFonts w:ascii="仿宋_GB2312" w:hAnsi="宋体" w:cs="宋体"/>
                <w:color w:val="000000"/>
                <w:kern w:val="0"/>
                <w:sz w:val="24"/>
                <w:szCs w:val="24"/>
              </w:rPr>
            </w:pPr>
          </w:p>
        </w:tc>
        <w:tc>
          <w:tcPr>
            <w:tcW w:w="835" w:type="pct"/>
            <w:vMerge w:val="continue"/>
            <w:tcBorders>
              <w:top w:val="nil"/>
              <w:left w:val="single" w:color="000000" w:sz="8" w:space="0"/>
              <w:bottom w:val="single" w:color="000000" w:sz="8" w:space="0"/>
              <w:right w:val="single" w:color="000000" w:sz="8" w:space="0"/>
            </w:tcBorders>
            <w:vAlign w:val="center"/>
          </w:tcPr>
          <w:p w14:paraId="5825326A">
            <w:pPr>
              <w:widowControl/>
              <w:ind w:firstLine="0" w:firstLineChars="0"/>
              <w:jc w:val="left"/>
              <w:rPr>
                <w:rFonts w:ascii="仿宋_GB2312" w:hAnsi="宋体" w:cs="宋体"/>
                <w:color w:val="000000"/>
                <w:kern w:val="0"/>
                <w:sz w:val="24"/>
                <w:szCs w:val="24"/>
              </w:rPr>
            </w:pPr>
          </w:p>
        </w:tc>
        <w:tc>
          <w:tcPr>
            <w:tcW w:w="1201" w:type="pct"/>
            <w:tcBorders>
              <w:top w:val="nil"/>
              <w:left w:val="nil"/>
              <w:bottom w:val="single" w:color="000000" w:sz="8" w:space="0"/>
              <w:right w:val="single" w:color="000000" w:sz="8" w:space="0"/>
            </w:tcBorders>
            <w:shd w:val="clear" w:color="000000" w:fill="FFFFFF"/>
            <w:vAlign w:val="center"/>
          </w:tcPr>
          <w:p w14:paraId="260C01EC">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绩效指标明确性</w:t>
            </w:r>
          </w:p>
        </w:tc>
        <w:tc>
          <w:tcPr>
            <w:tcW w:w="681" w:type="pct"/>
            <w:tcBorders>
              <w:top w:val="nil"/>
              <w:left w:val="nil"/>
              <w:bottom w:val="single" w:color="000000" w:sz="8" w:space="0"/>
              <w:right w:val="single" w:color="000000" w:sz="8" w:space="0"/>
            </w:tcBorders>
            <w:shd w:val="clear" w:color="000000" w:fill="FFFFFF"/>
            <w:vAlign w:val="center"/>
          </w:tcPr>
          <w:p w14:paraId="35B2866A">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3</w:t>
            </w:r>
          </w:p>
        </w:tc>
        <w:tc>
          <w:tcPr>
            <w:tcW w:w="511" w:type="pct"/>
            <w:tcBorders>
              <w:top w:val="nil"/>
              <w:left w:val="nil"/>
              <w:bottom w:val="single" w:color="000000" w:sz="8" w:space="0"/>
              <w:right w:val="single" w:color="000000" w:sz="8" w:space="0"/>
            </w:tcBorders>
            <w:shd w:val="clear" w:color="000000" w:fill="FFFFFF"/>
            <w:vAlign w:val="center"/>
          </w:tcPr>
          <w:p w14:paraId="1CDB5585">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3</w:t>
            </w:r>
          </w:p>
        </w:tc>
        <w:tc>
          <w:tcPr>
            <w:tcW w:w="935" w:type="pct"/>
            <w:tcBorders>
              <w:top w:val="nil"/>
              <w:left w:val="nil"/>
              <w:bottom w:val="single" w:color="000000" w:sz="8" w:space="0"/>
              <w:right w:val="single" w:color="000000" w:sz="8" w:space="0"/>
            </w:tcBorders>
            <w:shd w:val="clear" w:color="000000" w:fill="FFFFFF"/>
            <w:vAlign w:val="center"/>
          </w:tcPr>
          <w:p w14:paraId="256C8DF5">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100%</w:t>
            </w:r>
          </w:p>
        </w:tc>
      </w:tr>
      <w:tr w14:paraId="2F8F77DC">
        <w:tblPrEx>
          <w:tblCellMar>
            <w:top w:w="0" w:type="dxa"/>
            <w:left w:w="108" w:type="dxa"/>
            <w:bottom w:w="0" w:type="dxa"/>
            <w:right w:w="108" w:type="dxa"/>
          </w:tblCellMar>
        </w:tblPrEx>
        <w:trPr>
          <w:trHeight w:val="1030" w:hRule="atLeast"/>
        </w:trPr>
        <w:tc>
          <w:tcPr>
            <w:tcW w:w="837" w:type="pct"/>
            <w:vMerge w:val="continue"/>
            <w:tcBorders>
              <w:top w:val="nil"/>
              <w:left w:val="single" w:color="000000" w:sz="8" w:space="0"/>
              <w:bottom w:val="single" w:color="000000" w:sz="8" w:space="0"/>
              <w:right w:val="single" w:color="000000" w:sz="8" w:space="0"/>
            </w:tcBorders>
            <w:vAlign w:val="center"/>
          </w:tcPr>
          <w:p w14:paraId="1007BEF9">
            <w:pPr>
              <w:widowControl/>
              <w:ind w:firstLine="0" w:firstLineChars="0"/>
              <w:jc w:val="left"/>
              <w:rPr>
                <w:rFonts w:ascii="仿宋_GB2312" w:hAnsi="宋体" w:cs="宋体"/>
                <w:color w:val="000000"/>
                <w:kern w:val="0"/>
                <w:sz w:val="24"/>
                <w:szCs w:val="24"/>
              </w:rPr>
            </w:pPr>
          </w:p>
        </w:tc>
        <w:tc>
          <w:tcPr>
            <w:tcW w:w="835" w:type="pct"/>
            <w:vMerge w:val="restart"/>
            <w:tcBorders>
              <w:top w:val="nil"/>
              <w:left w:val="single" w:color="000000" w:sz="8" w:space="0"/>
              <w:bottom w:val="single" w:color="000000" w:sz="8" w:space="0"/>
              <w:right w:val="single" w:color="000000" w:sz="8" w:space="0"/>
            </w:tcBorders>
            <w:shd w:val="clear" w:color="000000" w:fill="FFFFFF"/>
            <w:vAlign w:val="center"/>
          </w:tcPr>
          <w:p w14:paraId="14360FC8">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资金投入</w:t>
            </w:r>
          </w:p>
        </w:tc>
        <w:tc>
          <w:tcPr>
            <w:tcW w:w="1201" w:type="pct"/>
            <w:tcBorders>
              <w:top w:val="nil"/>
              <w:left w:val="nil"/>
              <w:bottom w:val="single" w:color="000000" w:sz="8" w:space="0"/>
              <w:right w:val="single" w:color="000000" w:sz="8" w:space="0"/>
            </w:tcBorders>
            <w:shd w:val="clear" w:color="000000" w:fill="FFFFFF"/>
            <w:vAlign w:val="center"/>
          </w:tcPr>
          <w:p w14:paraId="79081D68">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预算编制科学性</w:t>
            </w:r>
          </w:p>
        </w:tc>
        <w:tc>
          <w:tcPr>
            <w:tcW w:w="681" w:type="pct"/>
            <w:tcBorders>
              <w:top w:val="nil"/>
              <w:left w:val="nil"/>
              <w:bottom w:val="single" w:color="000000" w:sz="8" w:space="0"/>
              <w:right w:val="single" w:color="000000" w:sz="8" w:space="0"/>
            </w:tcBorders>
            <w:shd w:val="clear" w:color="000000" w:fill="FFFFFF"/>
            <w:vAlign w:val="center"/>
          </w:tcPr>
          <w:p w14:paraId="475D0FFF">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3</w:t>
            </w:r>
          </w:p>
        </w:tc>
        <w:tc>
          <w:tcPr>
            <w:tcW w:w="511" w:type="pct"/>
            <w:tcBorders>
              <w:top w:val="nil"/>
              <w:left w:val="nil"/>
              <w:bottom w:val="single" w:color="000000" w:sz="8" w:space="0"/>
              <w:right w:val="single" w:color="000000" w:sz="8" w:space="0"/>
            </w:tcBorders>
            <w:shd w:val="clear" w:color="000000" w:fill="FFFFFF"/>
            <w:vAlign w:val="center"/>
          </w:tcPr>
          <w:p w14:paraId="583B9528">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3</w:t>
            </w:r>
          </w:p>
        </w:tc>
        <w:tc>
          <w:tcPr>
            <w:tcW w:w="935" w:type="pct"/>
            <w:tcBorders>
              <w:top w:val="nil"/>
              <w:left w:val="nil"/>
              <w:bottom w:val="single" w:color="000000" w:sz="8" w:space="0"/>
              <w:right w:val="single" w:color="000000" w:sz="8" w:space="0"/>
            </w:tcBorders>
            <w:shd w:val="clear" w:color="000000" w:fill="FFFFFF"/>
            <w:vAlign w:val="center"/>
          </w:tcPr>
          <w:p w14:paraId="00D6127A">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100%</w:t>
            </w:r>
          </w:p>
        </w:tc>
      </w:tr>
      <w:tr w14:paraId="3B476D7B">
        <w:tblPrEx>
          <w:tblCellMar>
            <w:top w:w="0" w:type="dxa"/>
            <w:left w:w="108" w:type="dxa"/>
            <w:bottom w:w="0" w:type="dxa"/>
            <w:right w:w="108" w:type="dxa"/>
          </w:tblCellMar>
        </w:tblPrEx>
        <w:trPr>
          <w:trHeight w:val="1030" w:hRule="atLeast"/>
        </w:trPr>
        <w:tc>
          <w:tcPr>
            <w:tcW w:w="837" w:type="pct"/>
            <w:vMerge w:val="continue"/>
            <w:tcBorders>
              <w:top w:val="nil"/>
              <w:left w:val="single" w:color="000000" w:sz="8" w:space="0"/>
              <w:bottom w:val="single" w:color="000000" w:sz="8" w:space="0"/>
              <w:right w:val="single" w:color="000000" w:sz="8" w:space="0"/>
            </w:tcBorders>
            <w:vAlign w:val="center"/>
          </w:tcPr>
          <w:p w14:paraId="2DF60CD7">
            <w:pPr>
              <w:widowControl/>
              <w:ind w:firstLine="0" w:firstLineChars="0"/>
              <w:jc w:val="left"/>
              <w:rPr>
                <w:rFonts w:ascii="仿宋_GB2312" w:hAnsi="宋体" w:cs="宋体"/>
                <w:color w:val="000000"/>
                <w:kern w:val="0"/>
                <w:sz w:val="24"/>
                <w:szCs w:val="24"/>
              </w:rPr>
            </w:pPr>
          </w:p>
        </w:tc>
        <w:tc>
          <w:tcPr>
            <w:tcW w:w="835" w:type="pct"/>
            <w:vMerge w:val="continue"/>
            <w:tcBorders>
              <w:top w:val="nil"/>
              <w:left w:val="single" w:color="000000" w:sz="8" w:space="0"/>
              <w:bottom w:val="single" w:color="000000" w:sz="8" w:space="0"/>
              <w:right w:val="single" w:color="000000" w:sz="8" w:space="0"/>
            </w:tcBorders>
            <w:vAlign w:val="center"/>
          </w:tcPr>
          <w:p w14:paraId="535751E2">
            <w:pPr>
              <w:widowControl/>
              <w:ind w:firstLine="0" w:firstLineChars="0"/>
              <w:jc w:val="left"/>
              <w:rPr>
                <w:rFonts w:ascii="仿宋_GB2312" w:hAnsi="宋体" w:cs="宋体"/>
                <w:color w:val="000000"/>
                <w:kern w:val="0"/>
                <w:sz w:val="24"/>
                <w:szCs w:val="24"/>
              </w:rPr>
            </w:pPr>
          </w:p>
        </w:tc>
        <w:tc>
          <w:tcPr>
            <w:tcW w:w="1201" w:type="pct"/>
            <w:tcBorders>
              <w:top w:val="nil"/>
              <w:left w:val="nil"/>
              <w:bottom w:val="single" w:color="000000" w:sz="8" w:space="0"/>
              <w:right w:val="single" w:color="000000" w:sz="8" w:space="0"/>
            </w:tcBorders>
            <w:shd w:val="clear" w:color="000000" w:fill="FFFFFF"/>
            <w:vAlign w:val="center"/>
          </w:tcPr>
          <w:p w14:paraId="57ED2F04">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资金分配合理性</w:t>
            </w:r>
          </w:p>
        </w:tc>
        <w:tc>
          <w:tcPr>
            <w:tcW w:w="681" w:type="pct"/>
            <w:tcBorders>
              <w:top w:val="nil"/>
              <w:left w:val="nil"/>
              <w:bottom w:val="single" w:color="000000" w:sz="8" w:space="0"/>
              <w:right w:val="single" w:color="000000" w:sz="8" w:space="0"/>
            </w:tcBorders>
            <w:shd w:val="clear" w:color="000000" w:fill="FFFFFF"/>
            <w:vAlign w:val="center"/>
          </w:tcPr>
          <w:p w14:paraId="4131A1CB">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3</w:t>
            </w:r>
          </w:p>
        </w:tc>
        <w:tc>
          <w:tcPr>
            <w:tcW w:w="511" w:type="pct"/>
            <w:tcBorders>
              <w:top w:val="nil"/>
              <w:left w:val="nil"/>
              <w:bottom w:val="single" w:color="000000" w:sz="8" w:space="0"/>
              <w:right w:val="single" w:color="000000" w:sz="8" w:space="0"/>
            </w:tcBorders>
            <w:shd w:val="clear" w:color="000000" w:fill="FFFFFF"/>
            <w:vAlign w:val="center"/>
          </w:tcPr>
          <w:p w14:paraId="2818AD75">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3</w:t>
            </w:r>
          </w:p>
        </w:tc>
        <w:tc>
          <w:tcPr>
            <w:tcW w:w="935" w:type="pct"/>
            <w:tcBorders>
              <w:top w:val="nil"/>
              <w:left w:val="nil"/>
              <w:bottom w:val="single" w:color="000000" w:sz="8" w:space="0"/>
              <w:right w:val="single" w:color="000000" w:sz="8" w:space="0"/>
            </w:tcBorders>
            <w:shd w:val="clear" w:color="000000" w:fill="FFFFFF"/>
            <w:vAlign w:val="center"/>
          </w:tcPr>
          <w:p w14:paraId="55C32AA2">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100%</w:t>
            </w:r>
          </w:p>
        </w:tc>
      </w:tr>
      <w:tr w14:paraId="289129DB">
        <w:tblPrEx>
          <w:tblCellMar>
            <w:top w:w="0" w:type="dxa"/>
            <w:left w:w="108" w:type="dxa"/>
            <w:bottom w:w="0" w:type="dxa"/>
            <w:right w:w="108" w:type="dxa"/>
          </w:tblCellMar>
        </w:tblPrEx>
        <w:trPr>
          <w:trHeight w:val="690" w:hRule="atLeast"/>
        </w:trPr>
        <w:tc>
          <w:tcPr>
            <w:tcW w:w="837" w:type="pct"/>
            <w:vMerge w:val="restart"/>
            <w:tcBorders>
              <w:top w:val="nil"/>
              <w:left w:val="single" w:color="000000" w:sz="8" w:space="0"/>
              <w:bottom w:val="single" w:color="000000" w:sz="8" w:space="0"/>
              <w:right w:val="single" w:color="000000" w:sz="8" w:space="0"/>
            </w:tcBorders>
            <w:shd w:val="clear" w:color="000000" w:fill="FFFFFF"/>
            <w:vAlign w:val="center"/>
          </w:tcPr>
          <w:p w14:paraId="3E3FDF5A">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过程</w:t>
            </w:r>
          </w:p>
        </w:tc>
        <w:tc>
          <w:tcPr>
            <w:tcW w:w="835" w:type="pct"/>
            <w:vMerge w:val="restart"/>
            <w:tcBorders>
              <w:top w:val="nil"/>
              <w:left w:val="single" w:color="000000" w:sz="8" w:space="0"/>
              <w:bottom w:val="single" w:color="000000" w:sz="8" w:space="0"/>
              <w:right w:val="single" w:color="000000" w:sz="8" w:space="0"/>
            </w:tcBorders>
            <w:shd w:val="clear" w:color="000000" w:fill="FFFFFF"/>
            <w:vAlign w:val="center"/>
          </w:tcPr>
          <w:p w14:paraId="3368471A">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资金管理</w:t>
            </w:r>
          </w:p>
        </w:tc>
        <w:tc>
          <w:tcPr>
            <w:tcW w:w="1201" w:type="pct"/>
            <w:tcBorders>
              <w:top w:val="nil"/>
              <w:left w:val="nil"/>
              <w:bottom w:val="single" w:color="000000" w:sz="8" w:space="0"/>
              <w:right w:val="single" w:color="000000" w:sz="8" w:space="0"/>
            </w:tcBorders>
            <w:shd w:val="clear" w:color="000000" w:fill="FFFFFF"/>
            <w:vAlign w:val="center"/>
          </w:tcPr>
          <w:p w14:paraId="427C8E41">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资金到位率</w:t>
            </w:r>
          </w:p>
        </w:tc>
        <w:tc>
          <w:tcPr>
            <w:tcW w:w="681" w:type="pct"/>
            <w:tcBorders>
              <w:top w:val="nil"/>
              <w:left w:val="nil"/>
              <w:bottom w:val="single" w:color="000000" w:sz="8" w:space="0"/>
              <w:right w:val="single" w:color="000000" w:sz="8" w:space="0"/>
            </w:tcBorders>
            <w:shd w:val="clear" w:color="000000" w:fill="FFFFFF"/>
            <w:vAlign w:val="center"/>
          </w:tcPr>
          <w:p w14:paraId="3F6A3D56">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5</w:t>
            </w:r>
          </w:p>
        </w:tc>
        <w:tc>
          <w:tcPr>
            <w:tcW w:w="511" w:type="pct"/>
            <w:tcBorders>
              <w:top w:val="nil"/>
              <w:left w:val="nil"/>
              <w:bottom w:val="single" w:color="000000" w:sz="8" w:space="0"/>
              <w:right w:val="single" w:color="000000" w:sz="8" w:space="0"/>
            </w:tcBorders>
            <w:shd w:val="clear" w:color="000000" w:fill="FFFFFF"/>
            <w:vAlign w:val="center"/>
          </w:tcPr>
          <w:p w14:paraId="69BFF165">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5</w:t>
            </w:r>
          </w:p>
        </w:tc>
        <w:tc>
          <w:tcPr>
            <w:tcW w:w="935" w:type="pct"/>
            <w:tcBorders>
              <w:top w:val="nil"/>
              <w:left w:val="nil"/>
              <w:bottom w:val="single" w:color="000000" w:sz="8" w:space="0"/>
              <w:right w:val="single" w:color="000000" w:sz="8" w:space="0"/>
            </w:tcBorders>
            <w:shd w:val="clear" w:color="000000" w:fill="FFFFFF"/>
            <w:vAlign w:val="center"/>
          </w:tcPr>
          <w:p w14:paraId="039C91C7">
            <w:pPr>
              <w:widowControl/>
              <w:ind w:firstLine="480"/>
              <w:rPr>
                <w:rFonts w:hint="eastAsia" w:ascii="仿宋_GB2312" w:hAnsi="宋体" w:cs="宋体"/>
                <w:color w:val="000000"/>
                <w:kern w:val="0"/>
                <w:sz w:val="24"/>
                <w:szCs w:val="24"/>
              </w:rPr>
            </w:pPr>
            <w:r>
              <w:rPr>
                <w:rFonts w:hint="eastAsia" w:ascii="仿宋_GB2312" w:hAnsi="宋体" w:cs="宋体"/>
                <w:color w:val="000000"/>
                <w:kern w:val="0"/>
                <w:sz w:val="24"/>
                <w:szCs w:val="24"/>
              </w:rPr>
              <w:t>100%</w:t>
            </w:r>
          </w:p>
        </w:tc>
      </w:tr>
      <w:tr w14:paraId="07BAC0DF">
        <w:tblPrEx>
          <w:tblCellMar>
            <w:top w:w="0" w:type="dxa"/>
            <w:left w:w="108" w:type="dxa"/>
            <w:bottom w:w="0" w:type="dxa"/>
            <w:right w:w="108" w:type="dxa"/>
          </w:tblCellMar>
        </w:tblPrEx>
        <w:trPr>
          <w:trHeight w:val="690" w:hRule="atLeast"/>
        </w:trPr>
        <w:tc>
          <w:tcPr>
            <w:tcW w:w="837" w:type="pct"/>
            <w:vMerge w:val="continue"/>
            <w:tcBorders>
              <w:top w:val="nil"/>
              <w:left w:val="single" w:color="000000" w:sz="8" w:space="0"/>
              <w:bottom w:val="single" w:color="000000" w:sz="8" w:space="0"/>
              <w:right w:val="single" w:color="000000" w:sz="8" w:space="0"/>
            </w:tcBorders>
            <w:vAlign w:val="center"/>
          </w:tcPr>
          <w:p w14:paraId="63FF70A0">
            <w:pPr>
              <w:widowControl/>
              <w:ind w:firstLine="0" w:firstLineChars="0"/>
              <w:jc w:val="left"/>
              <w:rPr>
                <w:rFonts w:ascii="仿宋_GB2312" w:hAnsi="宋体" w:cs="宋体"/>
                <w:color w:val="000000"/>
                <w:kern w:val="0"/>
                <w:sz w:val="24"/>
                <w:szCs w:val="24"/>
              </w:rPr>
            </w:pPr>
          </w:p>
        </w:tc>
        <w:tc>
          <w:tcPr>
            <w:tcW w:w="835" w:type="pct"/>
            <w:vMerge w:val="continue"/>
            <w:tcBorders>
              <w:top w:val="nil"/>
              <w:left w:val="single" w:color="000000" w:sz="8" w:space="0"/>
              <w:bottom w:val="single" w:color="000000" w:sz="8" w:space="0"/>
              <w:right w:val="single" w:color="000000" w:sz="8" w:space="0"/>
            </w:tcBorders>
            <w:vAlign w:val="center"/>
          </w:tcPr>
          <w:p w14:paraId="5990A18F">
            <w:pPr>
              <w:widowControl/>
              <w:ind w:firstLine="0" w:firstLineChars="0"/>
              <w:jc w:val="left"/>
              <w:rPr>
                <w:rFonts w:ascii="仿宋_GB2312" w:hAnsi="宋体" w:cs="宋体"/>
                <w:color w:val="000000"/>
                <w:kern w:val="0"/>
                <w:sz w:val="24"/>
                <w:szCs w:val="24"/>
              </w:rPr>
            </w:pPr>
          </w:p>
        </w:tc>
        <w:tc>
          <w:tcPr>
            <w:tcW w:w="1201" w:type="pct"/>
            <w:tcBorders>
              <w:top w:val="nil"/>
              <w:left w:val="nil"/>
              <w:bottom w:val="single" w:color="000000" w:sz="8" w:space="0"/>
              <w:right w:val="single" w:color="000000" w:sz="8" w:space="0"/>
            </w:tcBorders>
            <w:shd w:val="clear" w:color="000000" w:fill="FFFFFF"/>
            <w:vAlign w:val="center"/>
          </w:tcPr>
          <w:p w14:paraId="1C92D952">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预算执行率</w:t>
            </w:r>
          </w:p>
        </w:tc>
        <w:tc>
          <w:tcPr>
            <w:tcW w:w="681" w:type="pct"/>
            <w:tcBorders>
              <w:top w:val="nil"/>
              <w:left w:val="nil"/>
              <w:bottom w:val="single" w:color="000000" w:sz="8" w:space="0"/>
              <w:right w:val="single" w:color="000000" w:sz="8" w:space="0"/>
            </w:tcBorders>
            <w:shd w:val="clear" w:color="000000" w:fill="FFFFFF"/>
            <w:vAlign w:val="center"/>
          </w:tcPr>
          <w:p w14:paraId="48A7E79F">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5</w:t>
            </w:r>
          </w:p>
        </w:tc>
        <w:tc>
          <w:tcPr>
            <w:tcW w:w="511" w:type="pct"/>
            <w:tcBorders>
              <w:top w:val="nil"/>
              <w:left w:val="nil"/>
              <w:bottom w:val="single" w:color="000000" w:sz="8" w:space="0"/>
              <w:right w:val="single" w:color="000000" w:sz="8" w:space="0"/>
            </w:tcBorders>
            <w:shd w:val="clear" w:color="000000" w:fill="FFFFFF"/>
            <w:vAlign w:val="center"/>
          </w:tcPr>
          <w:p w14:paraId="6C6D8784">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3.71</w:t>
            </w:r>
          </w:p>
        </w:tc>
        <w:tc>
          <w:tcPr>
            <w:tcW w:w="935" w:type="pct"/>
            <w:tcBorders>
              <w:top w:val="nil"/>
              <w:left w:val="nil"/>
              <w:bottom w:val="single" w:color="000000" w:sz="8" w:space="0"/>
              <w:right w:val="single" w:color="000000" w:sz="8" w:space="0"/>
            </w:tcBorders>
            <w:shd w:val="clear" w:color="000000" w:fill="FFFFFF"/>
            <w:vAlign w:val="center"/>
          </w:tcPr>
          <w:p w14:paraId="40F4BB1B">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74.18%</w:t>
            </w:r>
          </w:p>
        </w:tc>
      </w:tr>
      <w:tr w14:paraId="24B88553">
        <w:tblPrEx>
          <w:tblCellMar>
            <w:top w:w="0" w:type="dxa"/>
            <w:left w:w="108" w:type="dxa"/>
            <w:bottom w:w="0" w:type="dxa"/>
            <w:right w:w="108" w:type="dxa"/>
          </w:tblCellMar>
        </w:tblPrEx>
        <w:trPr>
          <w:trHeight w:val="1030" w:hRule="atLeast"/>
        </w:trPr>
        <w:tc>
          <w:tcPr>
            <w:tcW w:w="837" w:type="pct"/>
            <w:vMerge w:val="continue"/>
            <w:tcBorders>
              <w:top w:val="nil"/>
              <w:left w:val="single" w:color="000000" w:sz="8" w:space="0"/>
              <w:bottom w:val="single" w:color="000000" w:sz="8" w:space="0"/>
              <w:right w:val="single" w:color="000000" w:sz="8" w:space="0"/>
            </w:tcBorders>
            <w:vAlign w:val="center"/>
          </w:tcPr>
          <w:p w14:paraId="2285D81F">
            <w:pPr>
              <w:widowControl/>
              <w:ind w:firstLine="0" w:firstLineChars="0"/>
              <w:jc w:val="left"/>
              <w:rPr>
                <w:rFonts w:ascii="仿宋_GB2312" w:hAnsi="宋体" w:cs="宋体"/>
                <w:color w:val="000000"/>
                <w:kern w:val="0"/>
                <w:sz w:val="24"/>
                <w:szCs w:val="24"/>
              </w:rPr>
            </w:pPr>
          </w:p>
        </w:tc>
        <w:tc>
          <w:tcPr>
            <w:tcW w:w="835" w:type="pct"/>
            <w:vMerge w:val="continue"/>
            <w:tcBorders>
              <w:top w:val="nil"/>
              <w:left w:val="single" w:color="000000" w:sz="8" w:space="0"/>
              <w:bottom w:val="single" w:color="000000" w:sz="8" w:space="0"/>
              <w:right w:val="single" w:color="000000" w:sz="8" w:space="0"/>
            </w:tcBorders>
            <w:vAlign w:val="center"/>
          </w:tcPr>
          <w:p w14:paraId="03C0DE14">
            <w:pPr>
              <w:widowControl/>
              <w:ind w:firstLine="0" w:firstLineChars="0"/>
              <w:jc w:val="left"/>
              <w:rPr>
                <w:rFonts w:ascii="仿宋_GB2312" w:hAnsi="宋体" w:cs="宋体"/>
                <w:color w:val="000000"/>
                <w:kern w:val="0"/>
                <w:sz w:val="24"/>
                <w:szCs w:val="24"/>
              </w:rPr>
            </w:pPr>
          </w:p>
        </w:tc>
        <w:tc>
          <w:tcPr>
            <w:tcW w:w="1201" w:type="pct"/>
            <w:tcBorders>
              <w:top w:val="nil"/>
              <w:left w:val="nil"/>
              <w:bottom w:val="single" w:color="000000" w:sz="8" w:space="0"/>
              <w:right w:val="single" w:color="000000" w:sz="8" w:space="0"/>
            </w:tcBorders>
            <w:shd w:val="clear" w:color="000000" w:fill="FFFFFF"/>
            <w:vAlign w:val="center"/>
          </w:tcPr>
          <w:p w14:paraId="19145D51">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资金使用合规性</w:t>
            </w:r>
          </w:p>
        </w:tc>
        <w:tc>
          <w:tcPr>
            <w:tcW w:w="681" w:type="pct"/>
            <w:tcBorders>
              <w:top w:val="nil"/>
              <w:left w:val="nil"/>
              <w:bottom w:val="single" w:color="000000" w:sz="8" w:space="0"/>
              <w:right w:val="single" w:color="000000" w:sz="8" w:space="0"/>
            </w:tcBorders>
            <w:shd w:val="clear" w:color="000000" w:fill="FFFFFF"/>
            <w:vAlign w:val="center"/>
          </w:tcPr>
          <w:p w14:paraId="3D4C9ACF">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3</w:t>
            </w:r>
          </w:p>
        </w:tc>
        <w:tc>
          <w:tcPr>
            <w:tcW w:w="511" w:type="pct"/>
            <w:tcBorders>
              <w:top w:val="nil"/>
              <w:left w:val="nil"/>
              <w:bottom w:val="single" w:color="000000" w:sz="8" w:space="0"/>
              <w:right w:val="single" w:color="000000" w:sz="8" w:space="0"/>
            </w:tcBorders>
            <w:shd w:val="clear" w:color="000000" w:fill="FFFFFF"/>
            <w:vAlign w:val="center"/>
          </w:tcPr>
          <w:p w14:paraId="3EDBBB62">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3</w:t>
            </w:r>
          </w:p>
        </w:tc>
        <w:tc>
          <w:tcPr>
            <w:tcW w:w="935" w:type="pct"/>
            <w:tcBorders>
              <w:top w:val="nil"/>
              <w:left w:val="nil"/>
              <w:bottom w:val="single" w:color="000000" w:sz="8" w:space="0"/>
              <w:right w:val="single" w:color="000000" w:sz="8" w:space="0"/>
            </w:tcBorders>
            <w:shd w:val="clear" w:color="000000" w:fill="FFFFFF"/>
            <w:vAlign w:val="center"/>
          </w:tcPr>
          <w:p w14:paraId="0EB083AF">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100%</w:t>
            </w:r>
          </w:p>
        </w:tc>
      </w:tr>
      <w:tr w14:paraId="68A9D15E">
        <w:tblPrEx>
          <w:tblCellMar>
            <w:top w:w="0" w:type="dxa"/>
            <w:left w:w="108" w:type="dxa"/>
            <w:bottom w:w="0" w:type="dxa"/>
            <w:right w:w="108" w:type="dxa"/>
          </w:tblCellMar>
        </w:tblPrEx>
        <w:trPr>
          <w:trHeight w:val="1030" w:hRule="atLeast"/>
        </w:trPr>
        <w:tc>
          <w:tcPr>
            <w:tcW w:w="837" w:type="pct"/>
            <w:vMerge w:val="continue"/>
            <w:tcBorders>
              <w:top w:val="nil"/>
              <w:left w:val="single" w:color="000000" w:sz="8" w:space="0"/>
              <w:bottom w:val="single" w:color="000000" w:sz="8" w:space="0"/>
              <w:right w:val="single" w:color="000000" w:sz="8" w:space="0"/>
            </w:tcBorders>
            <w:vAlign w:val="center"/>
          </w:tcPr>
          <w:p w14:paraId="55DF9632">
            <w:pPr>
              <w:widowControl/>
              <w:ind w:firstLine="0" w:firstLineChars="0"/>
              <w:jc w:val="left"/>
              <w:rPr>
                <w:rFonts w:ascii="仿宋_GB2312" w:hAnsi="宋体" w:cs="宋体"/>
                <w:color w:val="000000"/>
                <w:kern w:val="0"/>
                <w:sz w:val="24"/>
                <w:szCs w:val="24"/>
              </w:rPr>
            </w:pPr>
          </w:p>
        </w:tc>
        <w:tc>
          <w:tcPr>
            <w:tcW w:w="835" w:type="pct"/>
            <w:vMerge w:val="restart"/>
            <w:tcBorders>
              <w:top w:val="nil"/>
              <w:left w:val="single" w:color="000000" w:sz="8" w:space="0"/>
              <w:bottom w:val="single" w:color="000000" w:sz="8" w:space="0"/>
              <w:right w:val="single" w:color="000000" w:sz="8" w:space="0"/>
            </w:tcBorders>
            <w:shd w:val="clear" w:color="000000" w:fill="FFFFFF"/>
            <w:vAlign w:val="center"/>
          </w:tcPr>
          <w:p w14:paraId="7D91DC38">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组织实施</w:t>
            </w:r>
          </w:p>
        </w:tc>
        <w:tc>
          <w:tcPr>
            <w:tcW w:w="1201" w:type="pct"/>
            <w:tcBorders>
              <w:top w:val="nil"/>
              <w:left w:val="nil"/>
              <w:bottom w:val="single" w:color="000000" w:sz="8" w:space="0"/>
              <w:right w:val="single" w:color="000000" w:sz="8" w:space="0"/>
            </w:tcBorders>
            <w:shd w:val="clear" w:color="000000" w:fill="FFFFFF"/>
            <w:vAlign w:val="center"/>
          </w:tcPr>
          <w:p w14:paraId="5FBA4B4D">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管理制度健全性</w:t>
            </w:r>
          </w:p>
        </w:tc>
        <w:tc>
          <w:tcPr>
            <w:tcW w:w="681" w:type="pct"/>
            <w:tcBorders>
              <w:top w:val="nil"/>
              <w:left w:val="nil"/>
              <w:bottom w:val="single" w:color="000000" w:sz="8" w:space="0"/>
              <w:right w:val="single" w:color="000000" w:sz="8" w:space="0"/>
            </w:tcBorders>
            <w:shd w:val="clear" w:color="000000" w:fill="FFFFFF"/>
            <w:vAlign w:val="center"/>
          </w:tcPr>
          <w:p w14:paraId="08E7A5AA">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3</w:t>
            </w:r>
          </w:p>
        </w:tc>
        <w:tc>
          <w:tcPr>
            <w:tcW w:w="511" w:type="pct"/>
            <w:tcBorders>
              <w:top w:val="nil"/>
              <w:left w:val="nil"/>
              <w:bottom w:val="single" w:color="000000" w:sz="8" w:space="0"/>
              <w:right w:val="single" w:color="000000" w:sz="8" w:space="0"/>
            </w:tcBorders>
            <w:shd w:val="clear" w:color="000000" w:fill="FFFFFF"/>
            <w:vAlign w:val="center"/>
          </w:tcPr>
          <w:p w14:paraId="39CB1252">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3</w:t>
            </w:r>
          </w:p>
        </w:tc>
        <w:tc>
          <w:tcPr>
            <w:tcW w:w="935" w:type="pct"/>
            <w:tcBorders>
              <w:top w:val="nil"/>
              <w:left w:val="nil"/>
              <w:bottom w:val="single" w:color="000000" w:sz="8" w:space="0"/>
              <w:right w:val="single" w:color="000000" w:sz="8" w:space="0"/>
            </w:tcBorders>
            <w:shd w:val="clear" w:color="000000" w:fill="FFFFFF"/>
            <w:vAlign w:val="center"/>
          </w:tcPr>
          <w:p w14:paraId="3E8AAA08">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100%</w:t>
            </w:r>
          </w:p>
        </w:tc>
      </w:tr>
      <w:tr w14:paraId="13A1C854">
        <w:tblPrEx>
          <w:tblCellMar>
            <w:top w:w="0" w:type="dxa"/>
            <w:left w:w="108" w:type="dxa"/>
            <w:bottom w:w="0" w:type="dxa"/>
            <w:right w:w="108" w:type="dxa"/>
          </w:tblCellMar>
        </w:tblPrEx>
        <w:trPr>
          <w:trHeight w:val="1030" w:hRule="atLeast"/>
        </w:trPr>
        <w:tc>
          <w:tcPr>
            <w:tcW w:w="837" w:type="pct"/>
            <w:vMerge w:val="continue"/>
            <w:tcBorders>
              <w:top w:val="nil"/>
              <w:left w:val="single" w:color="000000" w:sz="8" w:space="0"/>
              <w:bottom w:val="single" w:color="000000" w:sz="8" w:space="0"/>
              <w:right w:val="single" w:color="000000" w:sz="8" w:space="0"/>
            </w:tcBorders>
            <w:vAlign w:val="center"/>
          </w:tcPr>
          <w:p w14:paraId="55D1E288">
            <w:pPr>
              <w:widowControl/>
              <w:ind w:firstLine="0" w:firstLineChars="0"/>
              <w:jc w:val="left"/>
              <w:rPr>
                <w:rFonts w:ascii="仿宋_GB2312" w:hAnsi="宋体" w:cs="宋体"/>
                <w:color w:val="000000"/>
                <w:kern w:val="0"/>
                <w:sz w:val="24"/>
                <w:szCs w:val="24"/>
              </w:rPr>
            </w:pPr>
          </w:p>
        </w:tc>
        <w:tc>
          <w:tcPr>
            <w:tcW w:w="835" w:type="pct"/>
            <w:vMerge w:val="continue"/>
            <w:tcBorders>
              <w:top w:val="nil"/>
              <w:left w:val="single" w:color="000000" w:sz="8" w:space="0"/>
              <w:bottom w:val="single" w:color="000000" w:sz="8" w:space="0"/>
              <w:right w:val="single" w:color="000000" w:sz="8" w:space="0"/>
            </w:tcBorders>
            <w:vAlign w:val="center"/>
          </w:tcPr>
          <w:p w14:paraId="6FEC5E02">
            <w:pPr>
              <w:widowControl/>
              <w:ind w:firstLine="0" w:firstLineChars="0"/>
              <w:jc w:val="left"/>
              <w:rPr>
                <w:rFonts w:ascii="仿宋_GB2312" w:hAnsi="宋体" w:cs="宋体"/>
                <w:color w:val="000000"/>
                <w:kern w:val="0"/>
                <w:sz w:val="24"/>
                <w:szCs w:val="24"/>
              </w:rPr>
            </w:pPr>
          </w:p>
        </w:tc>
        <w:tc>
          <w:tcPr>
            <w:tcW w:w="1201" w:type="pct"/>
            <w:tcBorders>
              <w:top w:val="nil"/>
              <w:left w:val="nil"/>
              <w:bottom w:val="single" w:color="000000" w:sz="8" w:space="0"/>
              <w:right w:val="single" w:color="000000" w:sz="8" w:space="0"/>
            </w:tcBorders>
            <w:shd w:val="clear" w:color="000000" w:fill="FFFFFF"/>
            <w:vAlign w:val="center"/>
          </w:tcPr>
          <w:p w14:paraId="59DF746D">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制度执行有效性</w:t>
            </w:r>
          </w:p>
        </w:tc>
        <w:tc>
          <w:tcPr>
            <w:tcW w:w="681" w:type="pct"/>
            <w:tcBorders>
              <w:top w:val="nil"/>
              <w:left w:val="nil"/>
              <w:bottom w:val="single" w:color="000000" w:sz="8" w:space="0"/>
              <w:right w:val="single" w:color="000000" w:sz="8" w:space="0"/>
            </w:tcBorders>
            <w:shd w:val="clear" w:color="000000" w:fill="FFFFFF"/>
            <w:vAlign w:val="center"/>
          </w:tcPr>
          <w:p w14:paraId="6C82639E">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4</w:t>
            </w:r>
          </w:p>
        </w:tc>
        <w:tc>
          <w:tcPr>
            <w:tcW w:w="511" w:type="pct"/>
            <w:tcBorders>
              <w:top w:val="nil"/>
              <w:left w:val="nil"/>
              <w:bottom w:val="single" w:color="000000" w:sz="8" w:space="0"/>
              <w:right w:val="single" w:color="000000" w:sz="8" w:space="0"/>
            </w:tcBorders>
            <w:shd w:val="clear" w:color="000000" w:fill="FFFFFF"/>
            <w:vAlign w:val="center"/>
          </w:tcPr>
          <w:p w14:paraId="6134A56C">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4</w:t>
            </w:r>
          </w:p>
        </w:tc>
        <w:tc>
          <w:tcPr>
            <w:tcW w:w="935" w:type="pct"/>
            <w:tcBorders>
              <w:top w:val="nil"/>
              <w:left w:val="nil"/>
              <w:bottom w:val="single" w:color="000000" w:sz="8" w:space="0"/>
              <w:right w:val="single" w:color="000000" w:sz="8" w:space="0"/>
            </w:tcBorders>
            <w:shd w:val="clear" w:color="000000" w:fill="FFFFFF"/>
            <w:vAlign w:val="center"/>
          </w:tcPr>
          <w:p w14:paraId="3BBB1858">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100%</w:t>
            </w:r>
          </w:p>
        </w:tc>
      </w:tr>
      <w:tr w14:paraId="71D7B8B2">
        <w:tblPrEx>
          <w:tblCellMar>
            <w:top w:w="0" w:type="dxa"/>
            <w:left w:w="108" w:type="dxa"/>
            <w:bottom w:w="0" w:type="dxa"/>
            <w:right w:w="108" w:type="dxa"/>
          </w:tblCellMar>
        </w:tblPrEx>
        <w:trPr>
          <w:trHeight w:val="850" w:hRule="atLeast"/>
        </w:trPr>
        <w:tc>
          <w:tcPr>
            <w:tcW w:w="837" w:type="pct"/>
            <w:vMerge w:val="restart"/>
            <w:tcBorders>
              <w:top w:val="nil"/>
              <w:left w:val="single" w:color="000000" w:sz="8" w:space="0"/>
              <w:bottom w:val="single" w:color="000000" w:sz="8" w:space="0"/>
              <w:right w:val="single" w:color="000000" w:sz="8" w:space="0"/>
            </w:tcBorders>
            <w:shd w:val="clear" w:color="000000" w:fill="FFFFFF"/>
            <w:vAlign w:val="center"/>
          </w:tcPr>
          <w:p w14:paraId="408F089F">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产出</w:t>
            </w:r>
          </w:p>
        </w:tc>
        <w:tc>
          <w:tcPr>
            <w:tcW w:w="835" w:type="pct"/>
            <w:vMerge w:val="restart"/>
            <w:tcBorders>
              <w:top w:val="nil"/>
              <w:left w:val="single" w:color="000000" w:sz="8" w:space="0"/>
              <w:bottom w:val="single" w:color="000000" w:sz="8" w:space="0"/>
              <w:right w:val="single" w:color="000000" w:sz="8" w:space="0"/>
            </w:tcBorders>
            <w:shd w:val="clear" w:color="000000" w:fill="FFFFFF"/>
            <w:vAlign w:val="center"/>
          </w:tcPr>
          <w:p w14:paraId="4A4A87E3">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产出数量</w:t>
            </w:r>
          </w:p>
        </w:tc>
        <w:tc>
          <w:tcPr>
            <w:tcW w:w="1201" w:type="pct"/>
            <w:tcBorders>
              <w:top w:val="nil"/>
              <w:left w:val="nil"/>
              <w:bottom w:val="single" w:color="000000" w:sz="8" w:space="0"/>
              <w:right w:val="single" w:color="000000" w:sz="8" w:space="0"/>
            </w:tcBorders>
            <w:shd w:val="clear" w:color="000000" w:fill="FFFFFF"/>
            <w:vAlign w:val="center"/>
          </w:tcPr>
          <w:p w14:paraId="284BFE49">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住院医师规范化招收完成率</w:t>
            </w:r>
          </w:p>
        </w:tc>
        <w:tc>
          <w:tcPr>
            <w:tcW w:w="681" w:type="pct"/>
            <w:tcBorders>
              <w:top w:val="nil"/>
              <w:left w:val="nil"/>
              <w:bottom w:val="single" w:color="000000" w:sz="8" w:space="0"/>
              <w:right w:val="single" w:color="000000" w:sz="8" w:space="0"/>
            </w:tcBorders>
            <w:shd w:val="clear" w:color="000000" w:fill="FFFFFF"/>
            <w:vAlign w:val="center"/>
          </w:tcPr>
          <w:p w14:paraId="066702CD">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8</w:t>
            </w:r>
          </w:p>
        </w:tc>
        <w:tc>
          <w:tcPr>
            <w:tcW w:w="511" w:type="pct"/>
            <w:tcBorders>
              <w:top w:val="nil"/>
              <w:left w:val="nil"/>
              <w:bottom w:val="single" w:color="000000" w:sz="8" w:space="0"/>
              <w:right w:val="single" w:color="000000" w:sz="8" w:space="0"/>
            </w:tcBorders>
            <w:shd w:val="clear" w:color="000000" w:fill="FFFFFF"/>
            <w:vAlign w:val="center"/>
          </w:tcPr>
          <w:p w14:paraId="38E32281">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8</w:t>
            </w:r>
          </w:p>
        </w:tc>
        <w:tc>
          <w:tcPr>
            <w:tcW w:w="935" w:type="pct"/>
            <w:vMerge w:val="restart"/>
            <w:tcBorders>
              <w:top w:val="nil"/>
              <w:left w:val="single" w:color="000000" w:sz="8" w:space="0"/>
              <w:bottom w:val="single" w:color="000000" w:sz="8" w:space="0"/>
              <w:right w:val="single" w:color="000000" w:sz="8" w:space="0"/>
            </w:tcBorders>
            <w:shd w:val="clear" w:color="000000" w:fill="FFFFFF"/>
            <w:vAlign w:val="center"/>
          </w:tcPr>
          <w:p w14:paraId="7CAF72E5">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100%</w:t>
            </w:r>
          </w:p>
        </w:tc>
      </w:tr>
      <w:tr w14:paraId="5EE120D5">
        <w:tblPrEx>
          <w:tblCellMar>
            <w:top w:w="0" w:type="dxa"/>
            <w:left w:w="108" w:type="dxa"/>
            <w:bottom w:w="0" w:type="dxa"/>
            <w:right w:w="108" w:type="dxa"/>
          </w:tblCellMar>
        </w:tblPrEx>
        <w:trPr>
          <w:trHeight w:val="850" w:hRule="atLeast"/>
        </w:trPr>
        <w:tc>
          <w:tcPr>
            <w:tcW w:w="837" w:type="pct"/>
            <w:vMerge w:val="continue"/>
            <w:tcBorders>
              <w:top w:val="nil"/>
              <w:left w:val="single" w:color="000000" w:sz="8" w:space="0"/>
              <w:bottom w:val="single" w:color="000000" w:sz="8" w:space="0"/>
              <w:right w:val="single" w:color="000000" w:sz="8" w:space="0"/>
            </w:tcBorders>
            <w:vAlign w:val="center"/>
          </w:tcPr>
          <w:p w14:paraId="7BD56817">
            <w:pPr>
              <w:widowControl/>
              <w:ind w:firstLine="0" w:firstLineChars="0"/>
              <w:jc w:val="left"/>
              <w:rPr>
                <w:rFonts w:ascii="仿宋_GB2312" w:hAnsi="宋体" w:cs="宋体"/>
                <w:color w:val="000000"/>
                <w:kern w:val="0"/>
                <w:sz w:val="24"/>
                <w:szCs w:val="24"/>
              </w:rPr>
            </w:pPr>
          </w:p>
        </w:tc>
        <w:tc>
          <w:tcPr>
            <w:tcW w:w="835" w:type="pct"/>
            <w:vMerge w:val="continue"/>
            <w:tcBorders>
              <w:top w:val="nil"/>
              <w:left w:val="single" w:color="000000" w:sz="8" w:space="0"/>
              <w:bottom w:val="single" w:color="000000" w:sz="8" w:space="0"/>
              <w:right w:val="single" w:color="000000" w:sz="8" w:space="0"/>
            </w:tcBorders>
            <w:vAlign w:val="center"/>
          </w:tcPr>
          <w:p w14:paraId="45073C0E">
            <w:pPr>
              <w:widowControl/>
              <w:ind w:firstLine="0" w:firstLineChars="0"/>
              <w:jc w:val="left"/>
              <w:rPr>
                <w:rFonts w:ascii="仿宋_GB2312" w:hAnsi="宋体" w:cs="宋体"/>
                <w:color w:val="000000"/>
                <w:kern w:val="0"/>
                <w:sz w:val="24"/>
                <w:szCs w:val="24"/>
              </w:rPr>
            </w:pPr>
          </w:p>
        </w:tc>
        <w:tc>
          <w:tcPr>
            <w:tcW w:w="1201" w:type="pct"/>
            <w:tcBorders>
              <w:top w:val="nil"/>
              <w:left w:val="nil"/>
              <w:bottom w:val="single" w:color="000000" w:sz="8" w:space="0"/>
              <w:right w:val="single" w:color="000000" w:sz="8" w:space="0"/>
            </w:tcBorders>
            <w:shd w:val="clear" w:color="000000" w:fill="FFFFFF"/>
            <w:vAlign w:val="center"/>
          </w:tcPr>
          <w:p w14:paraId="4197CF1C">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紧缺人才招收完成率</w:t>
            </w:r>
          </w:p>
        </w:tc>
        <w:tc>
          <w:tcPr>
            <w:tcW w:w="681" w:type="pct"/>
            <w:tcBorders>
              <w:top w:val="nil"/>
              <w:left w:val="nil"/>
              <w:bottom w:val="single" w:color="000000" w:sz="8" w:space="0"/>
              <w:right w:val="single" w:color="000000" w:sz="8" w:space="0"/>
            </w:tcBorders>
            <w:shd w:val="clear" w:color="000000" w:fill="FFFFFF"/>
            <w:vAlign w:val="center"/>
          </w:tcPr>
          <w:p w14:paraId="77F13FD5">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8</w:t>
            </w:r>
          </w:p>
        </w:tc>
        <w:tc>
          <w:tcPr>
            <w:tcW w:w="511" w:type="pct"/>
            <w:tcBorders>
              <w:top w:val="nil"/>
              <w:left w:val="nil"/>
              <w:bottom w:val="single" w:color="000000" w:sz="8" w:space="0"/>
              <w:right w:val="single" w:color="000000" w:sz="8" w:space="0"/>
            </w:tcBorders>
            <w:shd w:val="clear" w:color="000000" w:fill="FFFFFF"/>
            <w:vAlign w:val="center"/>
          </w:tcPr>
          <w:p w14:paraId="7D2AC656">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8</w:t>
            </w:r>
          </w:p>
        </w:tc>
        <w:tc>
          <w:tcPr>
            <w:tcW w:w="935" w:type="pct"/>
            <w:vMerge w:val="continue"/>
            <w:tcBorders>
              <w:top w:val="nil"/>
              <w:left w:val="single" w:color="000000" w:sz="8" w:space="0"/>
              <w:bottom w:val="single" w:color="000000" w:sz="8" w:space="0"/>
              <w:right w:val="single" w:color="000000" w:sz="8" w:space="0"/>
            </w:tcBorders>
            <w:vAlign w:val="center"/>
          </w:tcPr>
          <w:p w14:paraId="6D07CA19">
            <w:pPr>
              <w:widowControl/>
              <w:ind w:firstLine="0" w:firstLineChars="0"/>
              <w:jc w:val="left"/>
              <w:rPr>
                <w:rFonts w:ascii="仿宋_GB2312" w:hAnsi="宋体" w:cs="宋体"/>
                <w:color w:val="000000"/>
                <w:kern w:val="0"/>
                <w:sz w:val="24"/>
                <w:szCs w:val="24"/>
              </w:rPr>
            </w:pPr>
          </w:p>
        </w:tc>
      </w:tr>
      <w:tr w14:paraId="29E42203">
        <w:tblPrEx>
          <w:tblCellMar>
            <w:top w:w="0" w:type="dxa"/>
            <w:left w:w="108" w:type="dxa"/>
            <w:bottom w:w="0" w:type="dxa"/>
            <w:right w:w="108" w:type="dxa"/>
          </w:tblCellMar>
        </w:tblPrEx>
        <w:trPr>
          <w:trHeight w:val="1130" w:hRule="atLeast"/>
        </w:trPr>
        <w:tc>
          <w:tcPr>
            <w:tcW w:w="837" w:type="pct"/>
            <w:vMerge w:val="continue"/>
            <w:tcBorders>
              <w:top w:val="nil"/>
              <w:left w:val="single" w:color="000000" w:sz="8" w:space="0"/>
              <w:bottom w:val="single" w:color="000000" w:sz="8" w:space="0"/>
              <w:right w:val="single" w:color="000000" w:sz="8" w:space="0"/>
            </w:tcBorders>
            <w:vAlign w:val="center"/>
          </w:tcPr>
          <w:p w14:paraId="7DB5800A">
            <w:pPr>
              <w:widowControl/>
              <w:ind w:firstLine="0" w:firstLineChars="0"/>
              <w:jc w:val="left"/>
              <w:rPr>
                <w:rFonts w:ascii="仿宋_GB2312" w:hAnsi="宋体" w:cs="宋体"/>
                <w:color w:val="000000"/>
                <w:kern w:val="0"/>
                <w:sz w:val="24"/>
                <w:szCs w:val="24"/>
              </w:rPr>
            </w:pPr>
          </w:p>
        </w:tc>
        <w:tc>
          <w:tcPr>
            <w:tcW w:w="835" w:type="pct"/>
            <w:vMerge w:val="restart"/>
            <w:tcBorders>
              <w:top w:val="nil"/>
              <w:left w:val="single" w:color="000000" w:sz="8" w:space="0"/>
              <w:bottom w:val="single" w:color="000000" w:sz="8" w:space="0"/>
              <w:right w:val="single" w:color="000000" w:sz="8" w:space="0"/>
            </w:tcBorders>
            <w:shd w:val="clear" w:color="000000" w:fill="FFFFFF"/>
            <w:vAlign w:val="center"/>
          </w:tcPr>
          <w:p w14:paraId="36FDF8B8">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产出质量</w:t>
            </w:r>
          </w:p>
        </w:tc>
        <w:tc>
          <w:tcPr>
            <w:tcW w:w="1201" w:type="pct"/>
            <w:tcBorders>
              <w:top w:val="nil"/>
              <w:left w:val="nil"/>
              <w:bottom w:val="single" w:color="000000" w:sz="8" w:space="0"/>
              <w:right w:val="single" w:color="000000" w:sz="8" w:space="0"/>
            </w:tcBorders>
            <w:shd w:val="clear" w:color="000000" w:fill="FFFFFF"/>
            <w:vAlign w:val="center"/>
          </w:tcPr>
          <w:p w14:paraId="483B72B3">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住院医师规范化培训结业考核通过率</w:t>
            </w:r>
          </w:p>
        </w:tc>
        <w:tc>
          <w:tcPr>
            <w:tcW w:w="681" w:type="pct"/>
            <w:tcBorders>
              <w:top w:val="nil"/>
              <w:left w:val="nil"/>
              <w:bottom w:val="single" w:color="000000" w:sz="8" w:space="0"/>
              <w:right w:val="single" w:color="000000" w:sz="8" w:space="0"/>
            </w:tcBorders>
            <w:shd w:val="clear" w:color="000000" w:fill="FFFFFF"/>
            <w:vAlign w:val="center"/>
          </w:tcPr>
          <w:p w14:paraId="2BAC1E49">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8</w:t>
            </w:r>
          </w:p>
        </w:tc>
        <w:tc>
          <w:tcPr>
            <w:tcW w:w="511" w:type="pct"/>
            <w:tcBorders>
              <w:top w:val="nil"/>
              <w:left w:val="nil"/>
              <w:bottom w:val="single" w:color="000000" w:sz="8" w:space="0"/>
              <w:right w:val="single" w:color="000000" w:sz="8" w:space="0"/>
            </w:tcBorders>
            <w:shd w:val="clear" w:color="000000" w:fill="FFFFFF"/>
            <w:vAlign w:val="center"/>
          </w:tcPr>
          <w:p w14:paraId="0512A785">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8</w:t>
            </w:r>
          </w:p>
        </w:tc>
        <w:tc>
          <w:tcPr>
            <w:tcW w:w="935" w:type="pct"/>
            <w:vMerge w:val="restart"/>
            <w:tcBorders>
              <w:top w:val="nil"/>
              <w:left w:val="single" w:color="000000" w:sz="8" w:space="0"/>
              <w:bottom w:val="single" w:color="000000" w:sz="8" w:space="0"/>
              <w:right w:val="single" w:color="000000" w:sz="8" w:space="0"/>
            </w:tcBorders>
            <w:shd w:val="clear" w:color="000000" w:fill="FFFFFF"/>
            <w:vAlign w:val="center"/>
          </w:tcPr>
          <w:p w14:paraId="37B15A5B">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100%</w:t>
            </w:r>
          </w:p>
        </w:tc>
      </w:tr>
      <w:tr w14:paraId="0E98D181">
        <w:tblPrEx>
          <w:tblCellMar>
            <w:top w:w="0" w:type="dxa"/>
            <w:left w:w="108" w:type="dxa"/>
            <w:bottom w:w="0" w:type="dxa"/>
            <w:right w:w="108" w:type="dxa"/>
          </w:tblCellMar>
        </w:tblPrEx>
        <w:trPr>
          <w:trHeight w:val="970" w:hRule="atLeast"/>
        </w:trPr>
        <w:tc>
          <w:tcPr>
            <w:tcW w:w="837" w:type="pct"/>
            <w:vMerge w:val="continue"/>
            <w:tcBorders>
              <w:top w:val="nil"/>
              <w:left w:val="single" w:color="000000" w:sz="8" w:space="0"/>
              <w:bottom w:val="single" w:color="000000" w:sz="8" w:space="0"/>
              <w:right w:val="single" w:color="000000" w:sz="8" w:space="0"/>
            </w:tcBorders>
            <w:vAlign w:val="center"/>
          </w:tcPr>
          <w:p w14:paraId="2FF99579">
            <w:pPr>
              <w:widowControl/>
              <w:ind w:firstLine="0" w:firstLineChars="0"/>
              <w:jc w:val="left"/>
              <w:rPr>
                <w:rFonts w:ascii="仿宋_GB2312" w:hAnsi="宋体" w:cs="宋体"/>
                <w:color w:val="000000"/>
                <w:kern w:val="0"/>
                <w:sz w:val="24"/>
                <w:szCs w:val="24"/>
              </w:rPr>
            </w:pPr>
          </w:p>
        </w:tc>
        <w:tc>
          <w:tcPr>
            <w:tcW w:w="835" w:type="pct"/>
            <w:vMerge w:val="continue"/>
            <w:tcBorders>
              <w:top w:val="nil"/>
              <w:left w:val="single" w:color="000000" w:sz="8" w:space="0"/>
              <w:bottom w:val="single" w:color="000000" w:sz="8" w:space="0"/>
              <w:right w:val="single" w:color="000000" w:sz="8" w:space="0"/>
            </w:tcBorders>
            <w:vAlign w:val="center"/>
          </w:tcPr>
          <w:p w14:paraId="14E80845">
            <w:pPr>
              <w:widowControl/>
              <w:ind w:firstLine="0" w:firstLineChars="0"/>
              <w:jc w:val="left"/>
              <w:rPr>
                <w:rFonts w:ascii="仿宋_GB2312" w:hAnsi="宋体" w:cs="宋体"/>
                <w:color w:val="000000"/>
                <w:kern w:val="0"/>
                <w:sz w:val="24"/>
                <w:szCs w:val="24"/>
              </w:rPr>
            </w:pPr>
          </w:p>
        </w:tc>
        <w:tc>
          <w:tcPr>
            <w:tcW w:w="1201" w:type="pct"/>
            <w:tcBorders>
              <w:top w:val="nil"/>
              <w:left w:val="nil"/>
              <w:bottom w:val="single" w:color="000000" w:sz="8" w:space="0"/>
              <w:right w:val="single" w:color="000000" w:sz="8" w:space="0"/>
            </w:tcBorders>
            <w:shd w:val="clear" w:color="000000" w:fill="FFFFFF"/>
            <w:vAlign w:val="center"/>
          </w:tcPr>
          <w:p w14:paraId="2491F338">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培养计划完成率</w:t>
            </w:r>
          </w:p>
        </w:tc>
        <w:tc>
          <w:tcPr>
            <w:tcW w:w="681" w:type="pct"/>
            <w:tcBorders>
              <w:top w:val="nil"/>
              <w:left w:val="nil"/>
              <w:bottom w:val="single" w:color="000000" w:sz="8" w:space="0"/>
              <w:right w:val="single" w:color="000000" w:sz="8" w:space="0"/>
            </w:tcBorders>
            <w:shd w:val="clear" w:color="000000" w:fill="FFFFFF"/>
            <w:vAlign w:val="center"/>
          </w:tcPr>
          <w:p w14:paraId="0E2C6F02">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8</w:t>
            </w:r>
          </w:p>
        </w:tc>
        <w:tc>
          <w:tcPr>
            <w:tcW w:w="511" w:type="pct"/>
            <w:tcBorders>
              <w:top w:val="nil"/>
              <w:left w:val="nil"/>
              <w:bottom w:val="single" w:color="000000" w:sz="8" w:space="0"/>
              <w:right w:val="single" w:color="000000" w:sz="8" w:space="0"/>
            </w:tcBorders>
            <w:shd w:val="clear" w:color="000000" w:fill="FFFFFF"/>
            <w:vAlign w:val="center"/>
          </w:tcPr>
          <w:p w14:paraId="59AB5406">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8</w:t>
            </w:r>
          </w:p>
        </w:tc>
        <w:tc>
          <w:tcPr>
            <w:tcW w:w="935" w:type="pct"/>
            <w:vMerge w:val="continue"/>
            <w:tcBorders>
              <w:top w:val="nil"/>
              <w:left w:val="single" w:color="000000" w:sz="8" w:space="0"/>
              <w:bottom w:val="single" w:color="000000" w:sz="8" w:space="0"/>
              <w:right w:val="single" w:color="000000" w:sz="8" w:space="0"/>
            </w:tcBorders>
            <w:vAlign w:val="center"/>
          </w:tcPr>
          <w:p w14:paraId="1CC36224">
            <w:pPr>
              <w:widowControl/>
              <w:ind w:firstLine="0" w:firstLineChars="0"/>
              <w:jc w:val="left"/>
              <w:rPr>
                <w:rFonts w:ascii="仿宋_GB2312" w:hAnsi="宋体" w:cs="宋体"/>
                <w:color w:val="000000"/>
                <w:kern w:val="0"/>
                <w:sz w:val="24"/>
                <w:szCs w:val="24"/>
              </w:rPr>
            </w:pPr>
          </w:p>
        </w:tc>
      </w:tr>
      <w:tr w14:paraId="4C26EE80">
        <w:tblPrEx>
          <w:tblCellMar>
            <w:top w:w="0" w:type="dxa"/>
            <w:left w:w="108" w:type="dxa"/>
            <w:bottom w:w="0" w:type="dxa"/>
            <w:right w:w="108" w:type="dxa"/>
          </w:tblCellMar>
        </w:tblPrEx>
        <w:trPr>
          <w:trHeight w:val="1690" w:hRule="atLeast"/>
        </w:trPr>
        <w:tc>
          <w:tcPr>
            <w:tcW w:w="837" w:type="pct"/>
            <w:vMerge w:val="continue"/>
            <w:tcBorders>
              <w:top w:val="nil"/>
              <w:left w:val="single" w:color="000000" w:sz="8" w:space="0"/>
              <w:bottom w:val="single" w:color="000000" w:sz="8" w:space="0"/>
              <w:right w:val="single" w:color="000000" w:sz="8" w:space="0"/>
            </w:tcBorders>
            <w:vAlign w:val="center"/>
          </w:tcPr>
          <w:p w14:paraId="17A9EDD9">
            <w:pPr>
              <w:widowControl/>
              <w:ind w:firstLine="0" w:firstLineChars="0"/>
              <w:jc w:val="left"/>
              <w:rPr>
                <w:rFonts w:ascii="仿宋_GB2312" w:hAnsi="宋体" w:cs="宋体"/>
                <w:color w:val="000000"/>
                <w:kern w:val="0"/>
                <w:sz w:val="24"/>
                <w:szCs w:val="24"/>
              </w:rPr>
            </w:pPr>
          </w:p>
        </w:tc>
        <w:tc>
          <w:tcPr>
            <w:tcW w:w="835" w:type="pct"/>
            <w:tcBorders>
              <w:top w:val="nil"/>
              <w:left w:val="nil"/>
              <w:bottom w:val="single" w:color="000000" w:sz="8" w:space="0"/>
              <w:right w:val="single" w:color="000000" w:sz="8" w:space="0"/>
            </w:tcBorders>
            <w:shd w:val="clear" w:color="000000" w:fill="FFFFFF"/>
            <w:vAlign w:val="center"/>
          </w:tcPr>
          <w:p w14:paraId="6D166935">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产出成本</w:t>
            </w:r>
          </w:p>
        </w:tc>
        <w:tc>
          <w:tcPr>
            <w:tcW w:w="1201" w:type="pct"/>
            <w:tcBorders>
              <w:top w:val="nil"/>
              <w:left w:val="nil"/>
              <w:bottom w:val="single" w:color="000000" w:sz="8" w:space="0"/>
              <w:right w:val="single" w:color="000000" w:sz="8" w:space="0"/>
            </w:tcBorders>
            <w:shd w:val="clear" w:color="000000" w:fill="FFFFFF"/>
            <w:vAlign w:val="center"/>
          </w:tcPr>
          <w:p w14:paraId="0FCF0C1F">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中央财政对住院医师规范化培训投入标准完成率</w:t>
            </w:r>
          </w:p>
        </w:tc>
        <w:tc>
          <w:tcPr>
            <w:tcW w:w="681" w:type="pct"/>
            <w:tcBorders>
              <w:top w:val="nil"/>
              <w:left w:val="nil"/>
              <w:bottom w:val="single" w:color="000000" w:sz="8" w:space="0"/>
              <w:right w:val="single" w:color="000000" w:sz="8" w:space="0"/>
            </w:tcBorders>
            <w:shd w:val="clear" w:color="000000" w:fill="FFFFFF"/>
            <w:vAlign w:val="center"/>
          </w:tcPr>
          <w:p w14:paraId="1510AA1A">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8</w:t>
            </w:r>
          </w:p>
        </w:tc>
        <w:tc>
          <w:tcPr>
            <w:tcW w:w="511" w:type="pct"/>
            <w:tcBorders>
              <w:top w:val="nil"/>
              <w:left w:val="nil"/>
              <w:bottom w:val="single" w:color="000000" w:sz="8" w:space="0"/>
              <w:right w:val="single" w:color="000000" w:sz="8" w:space="0"/>
            </w:tcBorders>
            <w:shd w:val="clear" w:color="000000" w:fill="FFFFFF"/>
            <w:vAlign w:val="center"/>
          </w:tcPr>
          <w:p w14:paraId="3B5A5AB2">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8</w:t>
            </w:r>
          </w:p>
        </w:tc>
        <w:tc>
          <w:tcPr>
            <w:tcW w:w="935" w:type="pct"/>
            <w:tcBorders>
              <w:top w:val="nil"/>
              <w:left w:val="nil"/>
              <w:bottom w:val="single" w:color="000000" w:sz="8" w:space="0"/>
              <w:right w:val="single" w:color="000000" w:sz="8" w:space="0"/>
            </w:tcBorders>
            <w:shd w:val="clear" w:color="000000" w:fill="FFFFFF"/>
            <w:vAlign w:val="center"/>
          </w:tcPr>
          <w:p w14:paraId="145641CC">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100.00%</w:t>
            </w:r>
          </w:p>
        </w:tc>
      </w:tr>
      <w:tr w14:paraId="08C9747D">
        <w:tblPrEx>
          <w:tblCellMar>
            <w:top w:w="0" w:type="dxa"/>
            <w:left w:w="108" w:type="dxa"/>
            <w:bottom w:w="0" w:type="dxa"/>
            <w:right w:w="108" w:type="dxa"/>
          </w:tblCellMar>
        </w:tblPrEx>
        <w:trPr>
          <w:trHeight w:val="850" w:hRule="atLeast"/>
        </w:trPr>
        <w:tc>
          <w:tcPr>
            <w:tcW w:w="837" w:type="pct"/>
            <w:tcBorders>
              <w:top w:val="nil"/>
              <w:left w:val="single" w:color="000000" w:sz="8" w:space="0"/>
              <w:bottom w:val="single" w:color="000000" w:sz="8" w:space="0"/>
              <w:right w:val="single" w:color="000000" w:sz="8" w:space="0"/>
            </w:tcBorders>
            <w:shd w:val="clear" w:color="000000" w:fill="FFFFFF"/>
            <w:vAlign w:val="center"/>
          </w:tcPr>
          <w:p w14:paraId="0C98719B">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效益</w:t>
            </w:r>
          </w:p>
        </w:tc>
        <w:tc>
          <w:tcPr>
            <w:tcW w:w="835" w:type="pct"/>
            <w:tcBorders>
              <w:top w:val="nil"/>
              <w:left w:val="nil"/>
              <w:bottom w:val="single" w:color="000000" w:sz="8" w:space="0"/>
              <w:right w:val="single" w:color="000000" w:sz="8" w:space="0"/>
            </w:tcBorders>
            <w:shd w:val="clear" w:color="000000" w:fill="FFFFFF"/>
            <w:vAlign w:val="center"/>
          </w:tcPr>
          <w:p w14:paraId="4F4AF743">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项目效益</w:t>
            </w:r>
          </w:p>
        </w:tc>
        <w:tc>
          <w:tcPr>
            <w:tcW w:w="1201" w:type="pct"/>
            <w:tcBorders>
              <w:top w:val="nil"/>
              <w:left w:val="nil"/>
              <w:bottom w:val="single" w:color="000000" w:sz="8" w:space="0"/>
              <w:right w:val="single" w:color="000000" w:sz="8" w:space="0"/>
            </w:tcBorders>
            <w:shd w:val="clear" w:color="000000" w:fill="FFFFFF"/>
            <w:vAlign w:val="center"/>
          </w:tcPr>
          <w:p w14:paraId="09FCA8C6">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参培住院医师业务水平</w:t>
            </w:r>
          </w:p>
        </w:tc>
        <w:tc>
          <w:tcPr>
            <w:tcW w:w="681" w:type="pct"/>
            <w:tcBorders>
              <w:top w:val="nil"/>
              <w:left w:val="nil"/>
              <w:bottom w:val="single" w:color="000000" w:sz="8" w:space="0"/>
              <w:right w:val="single" w:color="000000" w:sz="8" w:space="0"/>
            </w:tcBorders>
            <w:shd w:val="clear" w:color="000000" w:fill="FFFFFF"/>
            <w:vAlign w:val="center"/>
          </w:tcPr>
          <w:p w14:paraId="3CE368D4">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w:t>
            </w:r>
          </w:p>
        </w:tc>
        <w:tc>
          <w:tcPr>
            <w:tcW w:w="511" w:type="pct"/>
            <w:tcBorders>
              <w:top w:val="nil"/>
              <w:left w:val="nil"/>
              <w:bottom w:val="single" w:color="000000" w:sz="8" w:space="0"/>
              <w:right w:val="single" w:color="000000" w:sz="8" w:space="0"/>
            </w:tcBorders>
            <w:shd w:val="clear" w:color="000000" w:fill="FFFFFF"/>
            <w:vAlign w:val="center"/>
          </w:tcPr>
          <w:p w14:paraId="7B396FFE">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w:t>
            </w:r>
          </w:p>
        </w:tc>
        <w:tc>
          <w:tcPr>
            <w:tcW w:w="935" w:type="pct"/>
            <w:tcBorders>
              <w:top w:val="nil"/>
              <w:left w:val="nil"/>
              <w:bottom w:val="single" w:color="000000" w:sz="8" w:space="0"/>
              <w:right w:val="single" w:color="000000" w:sz="8" w:space="0"/>
            </w:tcBorders>
            <w:shd w:val="clear" w:color="000000" w:fill="FFFFFF"/>
            <w:vAlign w:val="center"/>
          </w:tcPr>
          <w:p w14:paraId="658A6173">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100%</w:t>
            </w:r>
          </w:p>
        </w:tc>
      </w:tr>
      <w:tr w14:paraId="57A5C76D">
        <w:tblPrEx>
          <w:tblCellMar>
            <w:top w:w="0" w:type="dxa"/>
            <w:left w:w="108" w:type="dxa"/>
            <w:bottom w:w="0" w:type="dxa"/>
            <w:right w:w="108" w:type="dxa"/>
          </w:tblCellMar>
        </w:tblPrEx>
        <w:trPr>
          <w:trHeight w:val="850" w:hRule="atLeast"/>
        </w:trPr>
        <w:tc>
          <w:tcPr>
            <w:tcW w:w="837" w:type="pct"/>
            <w:tcBorders>
              <w:top w:val="nil"/>
              <w:left w:val="single" w:color="000000" w:sz="8" w:space="0"/>
              <w:bottom w:val="single" w:color="000000" w:sz="8" w:space="0"/>
              <w:right w:val="single" w:color="000000" w:sz="8" w:space="0"/>
            </w:tcBorders>
            <w:shd w:val="clear" w:color="000000" w:fill="FFFFFF"/>
            <w:vAlign w:val="center"/>
          </w:tcPr>
          <w:p w14:paraId="33868E9E">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满意度指标完成情况分析</w:t>
            </w:r>
          </w:p>
        </w:tc>
        <w:tc>
          <w:tcPr>
            <w:tcW w:w="835" w:type="pct"/>
            <w:tcBorders>
              <w:top w:val="nil"/>
              <w:left w:val="nil"/>
              <w:bottom w:val="single" w:color="000000" w:sz="8" w:space="0"/>
              <w:right w:val="single" w:color="000000" w:sz="8" w:space="0"/>
            </w:tcBorders>
            <w:shd w:val="clear" w:color="000000" w:fill="FFFFFF"/>
            <w:vAlign w:val="center"/>
          </w:tcPr>
          <w:p w14:paraId="4C1A0782">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满意度指标</w:t>
            </w:r>
          </w:p>
        </w:tc>
        <w:tc>
          <w:tcPr>
            <w:tcW w:w="1201" w:type="pct"/>
            <w:tcBorders>
              <w:top w:val="nil"/>
              <w:left w:val="nil"/>
              <w:bottom w:val="single" w:color="000000" w:sz="8" w:space="0"/>
              <w:right w:val="single" w:color="000000" w:sz="8" w:space="0"/>
            </w:tcBorders>
            <w:shd w:val="clear" w:color="000000" w:fill="FFFFFF"/>
            <w:vAlign w:val="center"/>
          </w:tcPr>
          <w:p w14:paraId="1D9EE457">
            <w:pPr>
              <w:widowControl/>
              <w:ind w:firstLine="0" w:firstLineChars="0"/>
              <w:jc w:val="center"/>
              <w:rPr>
                <w:rFonts w:hint="eastAsia" w:ascii="宋体" w:hAnsi="宋体" w:eastAsia="宋体" w:cs="宋体"/>
                <w:color w:val="000000"/>
                <w:kern w:val="0"/>
                <w:sz w:val="22"/>
              </w:rPr>
            </w:pPr>
            <w:r>
              <w:rPr>
                <w:rFonts w:hint="eastAsia" w:ascii="宋体" w:hAnsi="宋体" w:eastAsia="宋体" w:cs="宋体"/>
                <w:color w:val="000000"/>
                <w:kern w:val="0"/>
                <w:sz w:val="22"/>
              </w:rPr>
              <w:t>参培对象满意度</w:t>
            </w:r>
          </w:p>
        </w:tc>
        <w:tc>
          <w:tcPr>
            <w:tcW w:w="681" w:type="pct"/>
            <w:tcBorders>
              <w:top w:val="nil"/>
              <w:left w:val="nil"/>
              <w:bottom w:val="single" w:color="000000" w:sz="8" w:space="0"/>
              <w:right w:val="single" w:color="000000" w:sz="8" w:space="0"/>
            </w:tcBorders>
            <w:shd w:val="clear" w:color="000000" w:fill="FFFFFF"/>
            <w:vAlign w:val="center"/>
          </w:tcPr>
          <w:p w14:paraId="73AA9679">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w:t>
            </w:r>
          </w:p>
        </w:tc>
        <w:tc>
          <w:tcPr>
            <w:tcW w:w="511" w:type="pct"/>
            <w:tcBorders>
              <w:top w:val="nil"/>
              <w:left w:val="nil"/>
              <w:bottom w:val="single" w:color="000000" w:sz="8" w:space="0"/>
              <w:right w:val="single" w:color="000000" w:sz="8" w:space="0"/>
            </w:tcBorders>
            <w:shd w:val="clear" w:color="000000" w:fill="FFFFFF"/>
            <w:vAlign w:val="center"/>
          </w:tcPr>
          <w:p w14:paraId="725B9AFD">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w:t>
            </w:r>
          </w:p>
        </w:tc>
        <w:tc>
          <w:tcPr>
            <w:tcW w:w="935" w:type="pct"/>
            <w:tcBorders>
              <w:top w:val="nil"/>
              <w:left w:val="nil"/>
              <w:bottom w:val="single" w:color="000000" w:sz="8" w:space="0"/>
              <w:right w:val="single" w:color="000000" w:sz="8" w:space="0"/>
            </w:tcBorders>
            <w:shd w:val="clear" w:color="000000" w:fill="FFFFFF"/>
            <w:vAlign w:val="center"/>
          </w:tcPr>
          <w:p w14:paraId="3F55BFA4">
            <w:pPr>
              <w:widowControl/>
              <w:ind w:firstLine="0" w:firstLineChars="0"/>
              <w:jc w:val="center"/>
              <w:rPr>
                <w:rFonts w:hint="eastAsia" w:ascii="仿宋_GB2312" w:hAnsi="宋体" w:cs="宋体"/>
                <w:color w:val="000000"/>
                <w:kern w:val="0"/>
                <w:sz w:val="24"/>
                <w:szCs w:val="24"/>
              </w:rPr>
            </w:pPr>
            <w:r>
              <w:rPr>
                <w:rFonts w:hint="eastAsia" w:ascii="仿宋_GB2312" w:hAnsi="宋体" w:cs="宋体"/>
                <w:color w:val="000000"/>
                <w:kern w:val="0"/>
                <w:sz w:val="24"/>
                <w:szCs w:val="24"/>
              </w:rPr>
              <w:t>100%</w:t>
            </w:r>
          </w:p>
        </w:tc>
      </w:tr>
    </w:tbl>
    <w:p w14:paraId="21FA52E0">
      <w:pPr>
        <w:spacing w:line="360" w:lineRule="auto"/>
        <w:ind w:firstLine="0" w:firstLineChars="0"/>
        <w:jc w:val="center"/>
        <w:rPr>
          <w:rFonts w:hint="eastAsia" w:ascii="仿宋_GB2312"/>
          <w:b/>
          <w:bCs/>
          <w:szCs w:val="28"/>
        </w:rPr>
      </w:pPr>
    </w:p>
    <w:p w14:paraId="1ED71E8F">
      <w:pPr>
        <w:pStyle w:val="3"/>
        <w:ind w:firstLine="643"/>
        <w:rPr>
          <w:rFonts w:ascii="仿宋" w:hAnsi="仿宋" w:eastAsia="仿宋"/>
          <w:lang w:bidi="en-US"/>
        </w:rPr>
      </w:pPr>
      <w:bookmarkStart w:id="31" w:name="_Toc67911610"/>
      <w:bookmarkStart w:id="32" w:name="_Toc165277239"/>
      <w:r>
        <w:rPr>
          <w:rFonts w:hint="eastAsia" w:ascii="仿宋" w:hAnsi="仿宋" w:eastAsia="仿宋"/>
          <w:lang w:bidi="en-US"/>
        </w:rPr>
        <w:t>（二）主要绩效</w:t>
      </w:r>
      <w:bookmarkEnd w:id="31"/>
      <w:bookmarkEnd w:id="32"/>
    </w:p>
    <w:p w14:paraId="755E0543">
      <w:pPr>
        <w:spacing w:line="360" w:lineRule="auto"/>
        <w:ind w:firstLine="548" w:firstLineChars="196"/>
        <w:rPr>
          <w:rFonts w:ascii="仿宋_GB2312"/>
          <w:bCs/>
          <w:szCs w:val="28"/>
          <w:highlight w:val="yellow"/>
        </w:rPr>
      </w:pPr>
      <w:r>
        <w:rPr>
          <w:rFonts w:hint="eastAsia" w:ascii="仿宋_GB2312"/>
          <w:bCs/>
          <w:szCs w:val="28"/>
        </w:rPr>
        <w:t>该项目资金区财政及时拨付，单位在此次评价期间内，有序完成设定目标的部分工作任务，已</w:t>
      </w:r>
      <w:r>
        <w:rPr>
          <w:rFonts w:hint="eastAsia" w:ascii="仿宋_GB2312"/>
        </w:rPr>
        <w:t>完成2023年20名中医住院医师规范化培训的招录和48名农村订单定向中医全科住院医规范化培训学员的招录任务，于2024年9月按照住院医师规范化培训大纲开展培训工作，所有学员进入临床科室进行轮转和学习，遵照相关文件要求发放学员生活补助。</w:t>
      </w:r>
    </w:p>
    <w:p w14:paraId="32FCCC68">
      <w:pPr>
        <w:pStyle w:val="2"/>
        <w:ind w:firstLine="0" w:firstLineChars="0"/>
        <w:jc w:val="left"/>
        <w:rPr>
          <w:rFonts w:ascii="仿宋" w:hAnsi="仿宋" w:eastAsia="仿宋"/>
          <w:sz w:val="36"/>
          <w:szCs w:val="36"/>
          <w:lang w:bidi="en-US"/>
        </w:rPr>
      </w:pPr>
      <w:bookmarkStart w:id="33" w:name="_Toc165277240"/>
      <w:bookmarkStart w:id="34" w:name="_Toc67911611"/>
      <w:r>
        <w:rPr>
          <w:rFonts w:hint="eastAsia" w:ascii="仿宋" w:hAnsi="仿宋" w:eastAsia="仿宋"/>
          <w:sz w:val="36"/>
          <w:szCs w:val="36"/>
          <w:lang w:bidi="en-US"/>
        </w:rPr>
        <w:t>四、绩效评价指标分析</w:t>
      </w:r>
      <w:bookmarkEnd w:id="33"/>
      <w:bookmarkEnd w:id="34"/>
    </w:p>
    <w:p w14:paraId="273A8F5E">
      <w:pPr>
        <w:pStyle w:val="3"/>
        <w:ind w:firstLine="643"/>
        <w:rPr>
          <w:rFonts w:ascii="仿宋" w:hAnsi="仿宋" w:eastAsia="仿宋"/>
          <w:lang w:bidi="en-US"/>
        </w:rPr>
      </w:pPr>
      <w:bookmarkStart w:id="35" w:name="_Toc67911612"/>
      <w:bookmarkStart w:id="36" w:name="_Toc165277241"/>
      <w:r>
        <w:rPr>
          <w:rFonts w:hint="eastAsia" w:ascii="仿宋" w:hAnsi="仿宋" w:eastAsia="仿宋"/>
          <w:lang w:bidi="en-US"/>
        </w:rPr>
        <w:t>（一）项目决策情况</w:t>
      </w:r>
      <w:bookmarkEnd w:id="35"/>
      <w:bookmarkEnd w:id="36"/>
    </w:p>
    <w:p w14:paraId="0C9ADDF9">
      <w:pPr>
        <w:spacing w:line="360" w:lineRule="auto"/>
        <w:ind w:firstLine="560"/>
        <w:rPr>
          <w:rFonts w:ascii="仿宋_GB2312"/>
          <w:szCs w:val="28"/>
        </w:rPr>
      </w:pPr>
      <w:r>
        <w:rPr>
          <w:rFonts w:hint="eastAsia" w:ascii="仿宋_GB2312"/>
          <w:szCs w:val="28"/>
        </w:rPr>
        <w:t>项目决算指标由3个二级指标和6个三级指标构成，权重为</w:t>
      </w:r>
      <w:r>
        <w:rPr>
          <w:rFonts w:ascii="仿宋_GB2312"/>
          <w:szCs w:val="28"/>
        </w:rPr>
        <w:t>20</w:t>
      </w:r>
      <w:r>
        <w:rPr>
          <w:rFonts w:hint="eastAsia" w:ascii="仿宋_GB2312"/>
          <w:szCs w:val="28"/>
        </w:rPr>
        <w:t>分，实际得分20分。</w:t>
      </w:r>
    </w:p>
    <w:p w14:paraId="045AD7D9">
      <w:pPr>
        <w:pStyle w:val="4"/>
        <w:ind w:firstLine="643"/>
      </w:pPr>
      <w:bookmarkStart w:id="37" w:name="_Toc165277242"/>
      <w:r>
        <w:t>1.</w:t>
      </w:r>
      <w:r>
        <w:rPr>
          <w:rFonts w:hint="eastAsia"/>
        </w:rPr>
        <w:t>项目立项</w:t>
      </w:r>
      <w:bookmarkEnd w:id="37"/>
    </w:p>
    <w:p w14:paraId="16230C87">
      <w:pPr>
        <w:spacing w:line="360" w:lineRule="auto"/>
        <w:ind w:firstLine="562"/>
        <w:rPr>
          <w:rFonts w:ascii="仿宋_GB2312"/>
          <w:szCs w:val="28"/>
        </w:rPr>
      </w:pPr>
      <w:r>
        <w:rPr>
          <w:rFonts w:hint="eastAsia" w:ascii="仿宋_GB2312"/>
          <w:b/>
          <w:bCs/>
          <w:szCs w:val="28"/>
        </w:rPr>
        <w:t>立项依据充分性：</w:t>
      </w:r>
      <w:r>
        <w:rPr>
          <w:rFonts w:hint="eastAsia" w:ascii="仿宋_GB2312"/>
          <w:szCs w:val="28"/>
        </w:rPr>
        <w:t>项目立项</w:t>
      </w:r>
      <w:r>
        <w:rPr>
          <w:rFonts w:hint="eastAsia" w:ascii="仿宋_GB2312" w:hAnsi="仿宋"/>
          <w:szCs w:val="28"/>
        </w:rPr>
        <w:t>符合《关于开展2023年自治区住院医师规范化培训招收工作的通知》(新卫科教函</w:t>
      </w:r>
      <w:r>
        <w:rPr>
          <w:rFonts w:hint="eastAsia" w:ascii="仿宋_GB2312"/>
        </w:rPr>
        <w:t>〔2023〕30号）、《关于 2023 年自治区农村订单定向免费医学毕业生参加住院医师规范化培训的通知》</w:t>
      </w:r>
      <w:r>
        <w:rPr>
          <w:rFonts w:hint="eastAsia" w:ascii="仿宋_GB2312" w:hAnsi="仿宋"/>
          <w:szCs w:val="28"/>
        </w:rPr>
        <w:t>(新卫科教函</w:t>
      </w:r>
      <w:r>
        <w:rPr>
          <w:rFonts w:hint="eastAsia" w:ascii="仿宋_GB2312"/>
        </w:rPr>
        <w:t>〔2023〕62号）、《关于调整部分农村订单定向免费医学生住院医师规范化培训基地的通知》</w:t>
      </w:r>
      <w:r>
        <w:rPr>
          <w:rFonts w:hint="eastAsia" w:ascii="仿宋_GB2312" w:hAnsi="仿宋"/>
          <w:szCs w:val="28"/>
        </w:rPr>
        <w:t>(新卫科教函</w:t>
      </w:r>
      <w:r>
        <w:rPr>
          <w:rFonts w:hint="eastAsia" w:ascii="仿宋_GB2312"/>
        </w:rPr>
        <w:t>〔2023〕71号）文件要求</w:t>
      </w:r>
      <w:r>
        <w:rPr>
          <w:rFonts w:hint="eastAsia" w:ascii="仿宋_GB2312"/>
          <w:szCs w:val="28"/>
        </w:rPr>
        <w:t>。同时，项目与我院作为医、教、研、防为一体的医疗单位，从事医学教育工作的部门职责范围相符，属于部门履职所需。因此，立项依据充分，得4分。</w:t>
      </w:r>
    </w:p>
    <w:p w14:paraId="59A4627F">
      <w:pPr>
        <w:spacing w:line="360" w:lineRule="auto"/>
        <w:ind w:firstLine="562"/>
        <w:rPr>
          <w:rFonts w:ascii="仿宋_GB2312"/>
          <w:szCs w:val="28"/>
        </w:rPr>
      </w:pPr>
      <w:r>
        <w:rPr>
          <w:rFonts w:hint="eastAsia" w:ascii="仿宋_GB2312"/>
          <w:b/>
          <w:bCs/>
          <w:szCs w:val="28"/>
        </w:rPr>
        <w:t>立项程序规范性</w:t>
      </w:r>
      <w:r>
        <w:rPr>
          <w:rFonts w:ascii="仿宋_GB2312"/>
          <w:b/>
          <w:bCs/>
          <w:szCs w:val="28"/>
        </w:rPr>
        <w:t>:</w:t>
      </w:r>
      <w:r>
        <w:rPr>
          <w:rFonts w:hint="eastAsia"/>
        </w:rPr>
        <w:t xml:space="preserve"> 该项目为中央直达资金，</w:t>
      </w:r>
      <w:r>
        <w:rPr>
          <w:rFonts w:hint="eastAsia" w:ascii="仿宋_GB2312"/>
          <w:szCs w:val="28"/>
        </w:rPr>
        <w:t>项目按照规定的2023年自治区住培招收计划，结合基地编制床位数核定单位招收培养住培学员的人数，我院住院医师规范化培训实施方案符合相关要求，故立项程序规范，得4分。</w:t>
      </w:r>
    </w:p>
    <w:p w14:paraId="1263789B">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8</w:t>
      </w:r>
      <w:r>
        <w:rPr>
          <w:rFonts w:hint="eastAsia" w:ascii="仿宋_GB2312" w:hAnsi="仿宋" w:cs="宋体"/>
          <w:b/>
          <w:kern w:val="0"/>
          <w:szCs w:val="28"/>
        </w:rPr>
        <w:t>分，得分8分。</w:t>
      </w:r>
    </w:p>
    <w:p w14:paraId="0D169D51">
      <w:pPr>
        <w:pStyle w:val="4"/>
        <w:ind w:firstLine="643"/>
      </w:pPr>
      <w:bookmarkStart w:id="38" w:name="_Toc165277243"/>
      <w:r>
        <w:rPr>
          <w:rFonts w:hint="eastAsia"/>
        </w:rPr>
        <w:t>2</w:t>
      </w:r>
      <w:r>
        <w:t>.</w:t>
      </w:r>
      <w:r>
        <w:rPr>
          <w:rFonts w:hint="eastAsia"/>
        </w:rPr>
        <w:t>绩效目标</w:t>
      </w:r>
      <w:bookmarkEnd w:id="38"/>
    </w:p>
    <w:p w14:paraId="3D9DDE5C">
      <w:pPr>
        <w:spacing w:line="360" w:lineRule="auto"/>
        <w:ind w:firstLine="562"/>
        <w:rPr>
          <w:rFonts w:ascii="仿宋_GB2312"/>
          <w:szCs w:val="28"/>
        </w:rPr>
      </w:pPr>
      <w:r>
        <w:rPr>
          <w:rFonts w:hint="eastAsia" w:ascii="仿宋_GB2312"/>
          <w:b/>
          <w:bCs/>
          <w:szCs w:val="28"/>
        </w:rPr>
        <w:t>绩效目标合理性：</w:t>
      </w:r>
      <w:r>
        <w:rPr>
          <w:rFonts w:hint="eastAsia" w:ascii="仿宋_GB2312"/>
          <w:szCs w:val="28"/>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szCs w:val="28"/>
        </w:rPr>
        <w:t>3</w:t>
      </w:r>
      <w:r>
        <w:rPr>
          <w:rFonts w:hint="eastAsia" w:ascii="仿宋_GB2312"/>
          <w:szCs w:val="28"/>
        </w:rPr>
        <w:t>分。</w:t>
      </w:r>
    </w:p>
    <w:p w14:paraId="6C684031">
      <w:pPr>
        <w:autoSpaceDE w:val="0"/>
        <w:spacing w:line="600" w:lineRule="exact"/>
        <w:ind w:firstLine="562"/>
        <w:rPr>
          <w:rFonts w:ascii="仿宋_GB2312" w:hAnsi="仿宋" w:cs="宋体"/>
          <w:kern w:val="0"/>
          <w:szCs w:val="28"/>
        </w:rPr>
      </w:pPr>
      <w:r>
        <w:rPr>
          <w:rFonts w:hint="eastAsia" w:ascii="仿宋_GB2312" w:hAnsi="仿宋" w:cs="宋体"/>
          <w:b/>
          <w:kern w:val="0"/>
          <w:szCs w:val="28"/>
        </w:rPr>
        <w:t>绩效目标明确性：</w:t>
      </w:r>
      <w:r>
        <w:rPr>
          <w:rFonts w:hint="eastAsia" w:ascii="仿宋_GB2312" w:hAnsi="仿宋" w:cs="宋体"/>
          <w:kern w:val="0"/>
          <w:szCs w:val="28"/>
        </w:rPr>
        <w:t>其中，目标已细化为具体的绩效指标7个，可通过数量指标、质量指标、和成本指标予以量化，并具有确切的评价标准，且指标设定均与目标相关。各项指标均能在现实条件下收集到相关数据进行佐证（招收完成率和紧缺专业招收完成率通过自治区卫健委下达文件与我院招录学员名单作为佐证；考核通过率通过自治区卫健委转发的考核成绩单、国家中医住院医师规范化管理平台中合格证书管理作为佐证材料；培养计划完成率提供情况说明；项目的投入标准提供财务明细账；参培住院医师的业务水平提供情况说明；参培对象满意度提供问卷星导出数据作为佐证材料。）并与当年项目年度计划相对应，故绩效目标明确性指标得分</w:t>
      </w:r>
      <w:r>
        <w:rPr>
          <w:rFonts w:ascii="仿宋_GB2312" w:hAnsi="仿宋" w:cs="宋体"/>
          <w:kern w:val="0"/>
          <w:szCs w:val="28"/>
        </w:rPr>
        <w:t>3</w:t>
      </w:r>
      <w:r>
        <w:rPr>
          <w:rFonts w:hint="eastAsia" w:ascii="仿宋_GB2312" w:hAnsi="仿宋" w:cs="宋体"/>
          <w:kern w:val="0"/>
          <w:szCs w:val="28"/>
        </w:rPr>
        <w:t>分。</w:t>
      </w:r>
    </w:p>
    <w:p w14:paraId="767390A8">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14:paraId="4A817CC9">
      <w:pPr>
        <w:pStyle w:val="4"/>
        <w:ind w:firstLine="643"/>
      </w:pPr>
      <w:bookmarkStart w:id="39" w:name="_Toc165277244"/>
      <w:r>
        <w:rPr>
          <w:rFonts w:hint="eastAsia"/>
        </w:rPr>
        <w:t>3.资金投入</w:t>
      </w:r>
      <w:bookmarkEnd w:id="39"/>
    </w:p>
    <w:p w14:paraId="577C1672">
      <w:pPr>
        <w:autoSpaceDE w:val="0"/>
        <w:spacing w:line="600" w:lineRule="exact"/>
        <w:ind w:firstLine="562"/>
        <w:jc w:val="left"/>
        <w:rPr>
          <w:rFonts w:hint="eastAsia" w:ascii="仿宋_GB2312" w:hAnsi="仿宋" w:cs="宋体"/>
          <w:bCs/>
          <w:kern w:val="0"/>
          <w:szCs w:val="28"/>
        </w:rPr>
      </w:pPr>
      <w:r>
        <w:rPr>
          <w:rFonts w:hint="eastAsia" w:ascii="仿宋_GB2312" w:hAnsi="仿宋" w:cs="宋体"/>
          <w:b/>
          <w:kern w:val="0"/>
          <w:szCs w:val="28"/>
        </w:rPr>
        <w:t>预算编制科学性：</w:t>
      </w:r>
      <w:r>
        <w:rPr>
          <w:rFonts w:hint="eastAsia" w:ascii="仿宋_GB2312"/>
        </w:rPr>
        <w:t>该项目为中央直达资金，</w:t>
      </w:r>
      <w:r>
        <w:rPr>
          <w:rFonts w:hint="eastAsia" w:ascii="仿宋_GB2312" w:hAnsi="Times New Roman" w:cs="Times New Roman"/>
          <w:bCs/>
          <w:kern w:val="0"/>
          <w:szCs w:val="28"/>
          <w:lang w:bidi="en-US"/>
        </w:rPr>
        <w:t>根据</w:t>
      </w:r>
      <w:r>
        <w:rPr>
          <w:rFonts w:hint="eastAsia" w:ascii="仿宋_GB2312"/>
        </w:rPr>
        <w:t>《关于提前下达2023年中央财政医疗服务与保障能力提升（卫生健康人才培养）（直达资金）补助资金预算的通知》（乌财社〔2022〕395号）和《关于下达2023年中央医疗服务与保障能力提升（卫生健康人才培养）（直达资金）补助资金预算（第二批）的通知》（乌财社〔2023〕133号），我单位按照规培生补助标准进行支付</w:t>
      </w:r>
      <w:r>
        <w:rPr>
          <w:rFonts w:hint="eastAsia" w:ascii="仿宋_GB2312" w:hAnsi="仿宋" w:cs="宋体"/>
          <w:kern w:val="0"/>
          <w:szCs w:val="28"/>
        </w:rPr>
        <w:t>，故预算编制科学性指标得分</w:t>
      </w:r>
      <w:r>
        <w:rPr>
          <w:rFonts w:ascii="仿宋_GB2312" w:hAnsi="仿宋" w:cs="宋体"/>
          <w:kern w:val="0"/>
          <w:szCs w:val="28"/>
        </w:rPr>
        <w:t>3</w:t>
      </w:r>
      <w:r>
        <w:rPr>
          <w:rFonts w:hint="eastAsia" w:ascii="仿宋_GB2312" w:hAnsi="仿宋" w:cs="宋体"/>
          <w:kern w:val="0"/>
          <w:szCs w:val="28"/>
        </w:rPr>
        <w:t>分</w:t>
      </w:r>
      <w:r>
        <w:rPr>
          <w:rFonts w:hint="eastAsia" w:ascii="仿宋_GB2312" w:hAnsi="仿宋" w:cs="宋体"/>
          <w:b/>
          <w:kern w:val="0"/>
          <w:szCs w:val="28"/>
        </w:rPr>
        <w:t>。</w:t>
      </w:r>
    </w:p>
    <w:p w14:paraId="08D409D1">
      <w:pPr>
        <w:spacing w:line="360" w:lineRule="auto"/>
        <w:ind w:firstLine="281" w:firstLineChars="100"/>
        <w:rPr>
          <w:rFonts w:ascii="仿宋_GB2312"/>
        </w:rPr>
      </w:pPr>
      <w:r>
        <w:rPr>
          <w:rFonts w:hint="eastAsia"/>
          <w:b/>
          <w:bCs/>
        </w:rPr>
        <w:t>资金分配合理性</w:t>
      </w:r>
      <w:r>
        <w:rPr>
          <w:rFonts w:hint="eastAsia"/>
        </w:rPr>
        <w:t>：</w:t>
      </w:r>
      <w:r>
        <w:t xml:space="preserve"> </w:t>
      </w:r>
      <w:r>
        <w:rPr>
          <w:rFonts w:hint="eastAsia" w:ascii="仿宋_GB2312" w:hAnsi="Times New Roman" w:cs="Times New Roman"/>
          <w:bCs/>
          <w:kern w:val="0"/>
          <w:szCs w:val="28"/>
          <w:lang w:bidi="en-US"/>
        </w:rPr>
        <w:t>根据《关于开展2023年自治区住院医师规范化培训招收工作的通知》（新卫科教函〔2023〕30号）和《关于2023年自治区农村订单定向免费医学毕业生参加住院医师规范化培训的通知》（新卫科教函〔2023〕62号）文件精神，该部分资金主要用于规培学员的生活补助</w:t>
      </w:r>
      <w:r>
        <w:rPr>
          <w:rFonts w:hint="eastAsia" w:ascii="仿宋_GB2312" w:hAnsi="仿宋" w:cs="宋体"/>
          <w:kern w:val="0"/>
          <w:szCs w:val="28"/>
        </w:rPr>
        <w:t>。</w:t>
      </w:r>
      <w:r>
        <w:rPr>
          <w:rFonts w:hint="eastAsia" w:ascii="仿宋_GB2312"/>
        </w:rPr>
        <w:t>其中住院医师规范化在培学员7</w:t>
      </w:r>
      <w:r>
        <w:rPr>
          <w:rFonts w:ascii="仿宋_GB2312"/>
        </w:rPr>
        <w:t>2人，发放生活补助标准为：有单位且有医师执业证书</w:t>
      </w:r>
      <w:r>
        <w:rPr>
          <w:rFonts w:hint="eastAsia" w:ascii="仿宋_GB2312"/>
        </w:rPr>
        <w:t>2</w:t>
      </w:r>
      <w:r>
        <w:rPr>
          <w:rFonts w:ascii="仿宋_GB2312"/>
        </w:rPr>
        <w:t>200元</w:t>
      </w:r>
      <w:r>
        <w:rPr>
          <w:rFonts w:hint="eastAsia" w:ascii="仿宋_GB2312"/>
        </w:rPr>
        <w:t>/</w:t>
      </w:r>
      <w:r>
        <w:rPr>
          <w:rFonts w:ascii="仿宋_GB2312"/>
        </w:rPr>
        <w:t>月，有单位无医师执业证书</w:t>
      </w:r>
      <w:r>
        <w:rPr>
          <w:rFonts w:hint="eastAsia" w:ascii="仿宋_GB2312"/>
        </w:rPr>
        <w:t>2</w:t>
      </w:r>
      <w:r>
        <w:rPr>
          <w:rFonts w:ascii="仿宋_GB2312"/>
        </w:rPr>
        <w:t>000元</w:t>
      </w:r>
      <w:r>
        <w:rPr>
          <w:rFonts w:hint="eastAsia" w:ascii="仿宋_GB2312"/>
        </w:rPr>
        <w:t>/</w:t>
      </w:r>
      <w:r>
        <w:rPr>
          <w:rFonts w:ascii="仿宋_GB2312"/>
        </w:rPr>
        <w:t>月；</w:t>
      </w:r>
      <w:r>
        <w:rPr>
          <w:rFonts w:hint="eastAsia" w:ascii="仿宋_GB2312"/>
        </w:rPr>
        <w:t>无</w:t>
      </w:r>
      <w:r>
        <w:rPr>
          <w:rFonts w:ascii="仿宋_GB2312"/>
        </w:rPr>
        <w:t>单位且有医师执业证书3700元</w:t>
      </w:r>
      <w:r>
        <w:rPr>
          <w:rFonts w:hint="eastAsia" w:ascii="仿宋_GB2312"/>
        </w:rPr>
        <w:t>/</w:t>
      </w:r>
      <w:r>
        <w:rPr>
          <w:rFonts w:ascii="仿宋_GB2312"/>
        </w:rPr>
        <w:t>月，</w:t>
      </w:r>
      <w:r>
        <w:rPr>
          <w:rFonts w:hint="eastAsia" w:ascii="仿宋_GB2312"/>
        </w:rPr>
        <w:t>无</w:t>
      </w:r>
      <w:r>
        <w:rPr>
          <w:rFonts w:ascii="仿宋_GB2312"/>
        </w:rPr>
        <w:t>单位无医师执业证书3500元</w:t>
      </w:r>
      <w:r>
        <w:rPr>
          <w:rFonts w:hint="eastAsia" w:ascii="仿宋_GB2312"/>
        </w:rPr>
        <w:t>/</w:t>
      </w:r>
      <w:r>
        <w:rPr>
          <w:rFonts w:ascii="仿宋_GB2312"/>
        </w:rPr>
        <w:t>月；</w:t>
      </w:r>
    </w:p>
    <w:p w14:paraId="49895EEE">
      <w:pPr>
        <w:spacing w:line="360" w:lineRule="auto"/>
        <w:ind w:firstLine="280" w:firstLineChars="100"/>
        <w:rPr>
          <w:rFonts w:ascii="仿宋_GB2312"/>
        </w:rPr>
      </w:pPr>
      <w:r>
        <w:rPr>
          <w:rFonts w:hint="eastAsia" w:ascii="仿宋_GB2312"/>
        </w:rPr>
        <w:t>农村订单定向在培学员</w:t>
      </w:r>
      <w:r>
        <w:rPr>
          <w:rFonts w:ascii="仿宋_GB2312"/>
        </w:rPr>
        <w:t>135人，发放生活补助标准为：有医师执业证书</w:t>
      </w:r>
      <w:r>
        <w:rPr>
          <w:rFonts w:hint="eastAsia" w:ascii="仿宋_GB2312"/>
        </w:rPr>
        <w:t>2</w:t>
      </w:r>
      <w:r>
        <w:rPr>
          <w:rFonts w:ascii="仿宋_GB2312"/>
        </w:rPr>
        <w:t>200元</w:t>
      </w:r>
      <w:r>
        <w:rPr>
          <w:rFonts w:hint="eastAsia" w:ascii="仿宋_GB2312"/>
        </w:rPr>
        <w:t>/</w:t>
      </w:r>
      <w:r>
        <w:rPr>
          <w:rFonts w:ascii="仿宋_GB2312"/>
        </w:rPr>
        <w:t>月，无医师执业证书</w:t>
      </w:r>
      <w:r>
        <w:rPr>
          <w:rFonts w:hint="eastAsia" w:ascii="仿宋_GB2312"/>
        </w:rPr>
        <w:t>2</w:t>
      </w:r>
      <w:r>
        <w:rPr>
          <w:rFonts w:ascii="仿宋_GB2312"/>
        </w:rPr>
        <w:t>000元</w:t>
      </w:r>
      <w:r>
        <w:rPr>
          <w:rFonts w:hint="eastAsia" w:ascii="仿宋_GB2312"/>
        </w:rPr>
        <w:t>/</w:t>
      </w:r>
      <w:r>
        <w:rPr>
          <w:rFonts w:ascii="仿宋_GB2312"/>
        </w:rPr>
        <w:t>月；三年级学员因参与病人管床工作，在上述标准基础上增加</w:t>
      </w:r>
      <w:r>
        <w:rPr>
          <w:rFonts w:hint="eastAsia" w:ascii="仿宋_GB2312"/>
        </w:rPr>
        <w:t>2</w:t>
      </w:r>
      <w:r>
        <w:rPr>
          <w:rFonts w:ascii="仿宋_GB2312"/>
        </w:rPr>
        <w:t>30元</w:t>
      </w:r>
      <w:r>
        <w:rPr>
          <w:rFonts w:hint="eastAsia" w:ascii="仿宋_GB2312"/>
        </w:rPr>
        <w:t>/</w:t>
      </w:r>
      <w:r>
        <w:rPr>
          <w:rFonts w:ascii="仿宋_GB2312"/>
        </w:rPr>
        <w:t>月</w:t>
      </w:r>
      <w:r>
        <w:rPr>
          <w:rFonts w:hint="eastAsia" w:ascii="仿宋_GB2312"/>
        </w:rPr>
        <w:t>，</w:t>
      </w:r>
      <w:r>
        <w:rPr>
          <w:rFonts w:ascii="仿宋_GB2312"/>
        </w:rPr>
        <w:t>共</w:t>
      </w:r>
      <w:r>
        <w:rPr>
          <w:rFonts w:hint="eastAsia" w:ascii="仿宋_GB2312"/>
        </w:rPr>
        <w:t>3</w:t>
      </w:r>
      <w:r>
        <w:rPr>
          <w:rFonts w:ascii="仿宋_GB2312"/>
        </w:rPr>
        <w:t>3人。</w:t>
      </w:r>
    </w:p>
    <w:p w14:paraId="4E75F4BF">
      <w:pPr>
        <w:spacing w:line="360" w:lineRule="auto"/>
        <w:ind w:firstLine="560"/>
      </w:pPr>
      <w:r>
        <w:rPr>
          <w:rFonts w:hint="eastAsia" w:ascii="仿宋_GB2312" w:hAnsi="仿宋" w:cs="宋体"/>
          <w:kern w:val="0"/>
          <w:szCs w:val="28"/>
        </w:rPr>
        <w:t>故资金分配合理性指标得分</w:t>
      </w:r>
      <w:r>
        <w:rPr>
          <w:rFonts w:ascii="仿宋_GB2312" w:hAnsi="仿宋" w:cs="宋体"/>
          <w:kern w:val="0"/>
          <w:szCs w:val="28"/>
        </w:rPr>
        <w:t>3</w:t>
      </w:r>
      <w:r>
        <w:rPr>
          <w:rFonts w:hint="eastAsia" w:ascii="仿宋_GB2312" w:hAnsi="仿宋" w:cs="宋体"/>
          <w:kern w:val="0"/>
          <w:szCs w:val="28"/>
        </w:rPr>
        <w:t>分。</w:t>
      </w:r>
    </w:p>
    <w:p w14:paraId="6237FA25">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6</w:t>
      </w:r>
      <w:r>
        <w:rPr>
          <w:rFonts w:hint="eastAsia" w:ascii="仿宋_GB2312" w:hAnsi="仿宋" w:cs="宋体"/>
          <w:b/>
          <w:kern w:val="0"/>
          <w:szCs w:val="28"/>
        </w:rPr>
        <w:t>分，得分6分。</w:t>
      </w:r>
    </w:p>
    <w:p w14:paraId="188448AB">
      <w:pPr>
        <w:pStyle w:val="3"/>
        <w:ind w:firstLine="643"/>
        <w:rPr>
          <w:rFonts w:ascii="仿宋" w:hAnsi="仿宋" w:eastAsia="仿宋"/>
          <w:lang w:bidi="en-US"/>
        </w:rPr>
      </w:pPr>
      <w:bookmarkStart w:id="40" w:name="_Toc67911613"/>
      <w:bookmarkStart w:id="41" w:name="_Toc165277245"/>
      <w:r>
        <w:rPr>
          <w:rFonts w:hint="eastAsia" w:ascii="仿宋" w:hAnsi="仿宋" w:eastAsia="仿宋"/>
          <w:lang w:bidi="en-US"/>
        </w:rPr>
        <w:t>（二）项目过程情况</w:t>
      </w:r>
      <w:bookmarkEnd w:id="40"/>
      <w:bookmarkEnd w:id="41"/>
    </w:p>
    <w:p w14:paraId="25E478D4">
      <w:pPr>
        <w:spacing w:line="360" w:lineRule="auto"/>
        <w:ind w:firstLine="560"/>
        <w:rPr>
          <w:rFonts w:ascii="仿宋_GB2312"/>
          <w:szCs w:val="28"/>
        </w:rPr>
      </w:pPr>
      <w:r>
        <w:rPr>
          <w:rFonts w:hint="eastAsia" w:ascii="仿宋_GB2312"/>
          <w:szCs w:val="28"/>
        </w:rPr>
        <w:t>项目过程指标由2个二级指标和</w:t>
      </w:r>
      <w:r>
        <w:rPr>
          <w:rFonts w:ascii="仿宋_GB2312"/>
          <w:szCs w:val="28"/>
        </w:rPr>
        <w:t>5</w:t>
      </w:r>
      <w:r>
        <w:rPr>
          <w:rFonts w:hint="eastAsia" w:ascii="仿宋_GB2312"/>
          <w:szCs w:val="28"/>
        </w:rPr>
        <w:t>个三级指标构成，权重为</w:t>
      </w:r>
      <w:r>
        <w:rPr>
          <w:rFonts w:ascii="仿宋_GB2312"/>
          <w:szCs w:val="28"/>
        </w:rPr>
        <w:t>20</w:t>
      </w:r>
      <w:r>
        <w:rPr>
          <w:rFonts w:hint="eastAsia" w:ascii="仿宋_GB2312"/>
          <w:szCs w:val="28"/>
        </w:rPr>
        <w:t>分，实际得分20分。</w:t>
      </w:r>
    </w:p>
    <w:p w14:paraId="48FC130A">
      <w:pPr>
        <w:pStyle w:val="4"/>
        <w:ind w:firstLine="643"/>
      </w:pPr>
      <w:bookmarkStart w:id="42" w:name="_Toc165277246"/>
      <w:r>
        <w:t>1.</w:t>
      </w:r>
      <w:r>
        <w:rPr>
          <w:rFonts w:hint="eastAsia"/>
        </w:rPr>
        <w:t>资金管理</w:t>
      </w:r>
      <w:bookmarkEnd w:id="42"/>
    </w:p>
    <w:p w14:paraId="09733F0D">
      <w:pPr>
        <w:spacing w:line="360" w:lineRule="auto"/>
        <w:ind w:firstLine="562"/>
        <w:rPr>
          <w:rFonts w:ascii="仿宋_GB2312"/>
          <w:szCs w:val="28"/>
        </w:rPr>
      </w:pPr>
      <w:r>
        <w:rPr>
          <w:rFonts w:hint="eastAsia" w:ascii="仿宋_GB2312"/>
          <w:b/>
          <w:bCs/>
          <w:szCs w:val="28"/>
        </w:rPr>
        <w:t>资金到位率：</w:t>
      </w:r>
      <w:r>
        <w:t xml:space="preserve"> </w:t>
      </w:r>
      <w:r>
        <w:rPr>
          <w:rFonts w:hint="eastAsia" w:ascii="仿宋_GB2312" w:hAnsi="仿宋" w:cs="宋体"/>
          <w:kern w:val="0"/>
          <w:szCs w:val="28"/>
        </w:rPr>
        <w:t>该项目资金由财政拨付，预算批复541.9万元，在2022年12月8日通过</w:t>
      </w:r>
      <w:r>
        <w:rPr>
          <w:rFonts w:hint="eastAsia" w:ascii="仿宋_GB2312"/>
        </w:rPr>
        <w:t>《关于提前下达2023年中央财政医疗服务与保障能力提升（卫生健康人才培养）（直达资金）补助资金预算的通知》（乌财社〔2022〕395号）</w:t>
      </w:r>
      <w:r>
        <w:rPr>
          <w:rFonts w:hint="eastAsia" w:ascii="仿宋_GB2312" w:hAnsi="仿宋" w:cs="宋体"/>
          <w:kern w:val="0"/>
          <w:szCs w:val="28"/>
        </w:rPr>
        <w:t>拨付资金518.4万元，2023年6月15日通过</w:t>
      </w:r>
      <w:r>
        <w:rPr>
          <w:rFonts w:hint="eastAsia" w:ascii="仿宋_GB2312"/>
        </w:rPr>
        <w:t>《关于下达2023年中央医疗服务与保障能力提升（卫生健康人才培养）（直达资金）补助资金预算（第二批）的通知》（乌财社〔2023〕133号）</w:t>
      </w:r>
      <w:r>
        <w:rPr>
          <w:rFonts w:hint="eastAsia" w:ascii="仿宋_GB2312" w:hAnsi="仿宋" w:cs="宋体"/>
          <w:kern w:val="0"/>
          <w:szCs w:val="28"/>
        </w:rPr>
        <w:t>拨付资金23.5万元，资金到位率1</w:t>
      </w:r>
      <w:r>
        <w:rPr>
          <w:rFonts w:ascii="仿宋_GB2312" w:hAnsi="仿宋" w:cs="宋体"/>
          <w:kern w:val="0"/>
          <w:szCs w:val="28"/>
        </w:rPr>
        <w:t>00%，</w:t>
      </w:r>
      <w:r>
        <w:rPr>
          <w:rFonts w:hint="eastAsia" w:ascii="仿宋_GB2312" w:hAnsi="仿宋" w:cs="宋体"/>
          <w:kern w:val="0"/>
          <w:szCs w:val="28"/>
        </w:rPr>
        <w:t>故资金到位率指标得分5分。</w:t>
      </w:r>
    </w:p>
    <w:p w14:paraId="20DD121D">
      <w:pPr>
        <w:spacing w:line="360" w:lineRule="auto"/>
        <w:ind w:firstLine="560"/>
        <w:rPr>
          <w:rFonts w:ascii="仿宋_GB2312"/>
          <w:szCs w:val="28"/>
        </w:rPr>
      </w:pPr>
    </w:p>
    <w:p w14:paraId="5C0CA478">
      <w:pPr>
        <w:spacing w:line="360" w:lineRule="auto"/>
        <w:ind w:firstLine="562"/>
        <w:rPr>
          <w:rFonts w:ascii="仿宋_GB2312"/>
          <w:szCs w:val="28"/>
        </w:rPr>
      </w:pPr>
      <w:r>
        <w:rPr>
          <w:rFonts w:hint="eastAsia" w:ascii="仿宋_GB2312"/>
          <w:b/>
          <w:bCs/>
          <w:szCs w:val="28"/>
        </w:rPr>
        <w:t>预算执行率：</w:t>
      </w:r>
      <w:r>
        <w:rPr>
          <w:rFonts w:hint="eastAsia" w:ascii="仿宋_GB2312"/>
          <w:szCs w:val="28"/>
        </w:rPr>
        <w:t>该项目资金用于住院医师规范化培训的学员生活补助，4月支付给住院医师规范化培训学员生活补助38.32万元</w:t>
      </w:r>
      <w:r>
        <w:rPr>
          <w:rFonts w:hint="eastAsia" w:ascii="仿宋_GB2312"/>
          <w:b/>
          <w:bCs/>
          <w:szCs w:val="28"/>
        </w:rPr>
        <w:t>；</w:t>
      </w:r>
      <w:r>
        <w:rPr>
          <w:rFonts w:hint="eastAsia" w:ascii="仿宋_GB2312"/>
          <w:szCs w:val="28"/>
        </w:rPr>
        <w:t>5月支付给住院医师规范化培训学员生活补助43.61万元</w:t>
      </w:r>
      <w:r>
        <w:rPr>
          <w:rFonts w:hint="eastAsia" w:ascii="仿宋_GB2312"/>
          <w:b/>
          <w:bCs/>
          <w:szCs w:val="28"/>
        </w:rPr>
        <w:t>；</w:t>
      </w:r>
      <w:r>
        <w:rPr>
          <w:rFonts w:hint="eastAsia" w:ascii="仿宋_GB2312"/>
          <w:szCs w:val="28"/>
        </w:rPr>
        <w:t>6月支付给住院医师规范化培训学员生活补助43.69万元</w:t>
      </w:r>
      <w:r>
        <w:rPr>
          <w:rFonts w:hint="eastAsia" w:ascii="仿宋_GB2312"/>
          <w:b/>
          <w:bCs/>
          <w:szCs w:val="28"/>
        </w:rPr>
        <w:t>；</w:t>
      </w:r>
      <w:r>
        <w:rPr>
          <w:rFonts w:hint="eastAsia" w:ascii="仿宋_GB2312"/>
          <w:szCs w:val="28"/>
        </w:rPr>
        <w:t>7月支付给住院医师规范化培训学员生活补助43.31万元</w:t>
      </w:r>
      <w:r>
        <w:rPr>
          <w:rFonts w:hint="eastAsia" w:ascii="仿宋_GB2312"/>
          <w:b/>
          <w:bCs/>
          <w:szCs w:val="28"/>
        </w:rPr>
        <w:t>；</w:t>
      </w:r>
      <w:r>
        <w:rPr>
          <w:rFonts w:hint="eastAsia" w:ascii="仿宋_GB2312"/>
          <w:szCs w:val="28"/>
        </w:rPr>
        <w:t>8月支付给住院医师规范化培训学员生活补助33.6万元</w:t>
      </w:r>
      <w:r>
        <w:rPr>
          <w:rFonts w:hint="eastAsia" w:ascii="仿宋_GB2312"/>
          <w:b/>
          <w:bCs/>
          <w:szCs w:val="28"/>
        </w:rPr>
        <w:t>；</w:t>
      </w:r>
      <w:r>
        <w:rPr>
          <w:rFonts w:hint="eastAsia" w:ascii="仿宋_GB2312"/>
          <w:szCs w:val="28"/>
        </w:rPr>
        <w:t>9月支付给住院医师规范化培训学员生活补助32.89万元</w:t>
      </w:r>
      <w:r>
        <w:rPr>
          <w:rFonts w:hint="eastAsia" w:ascii="仿宋_GB2312"/>
          <w:b/>
          <w:bCs/>
          <w:szCs w:val="28"/>
        </w:rPr>
        <w:t>；</w:t>
      </w:r>
      <w:r>
        <w:rPr>
          <w:rFonts w:hint="eastAsia" w:ascii="仿宋_GB2312"/>
          <w:szCs w:val="28"/>
        </w:rPr>
        <w:t>10月支付给住院医师规范化培训学员生活补助65.96万元</w:t>
      </w:r>
      <w:r>
        <w:rPr>
          <w:rFonts w:hint="eastAsia" w:ascii="仿宋_GB2312"/>
          <w:b/>
          <w:bCs/>
          <w:szCs w:val="28"/>
        </w:rPr>
        <w:t>；</w:t>
      </w:r>
      <w:r>
        <w:rPr>
          <w:rFonts w:hint="eastAsia" w:ascii="仿宋_GB2312"/>
          <w:szCs w:val="28"/>
        </w:rPr>
        <w:t>12月支付给住院医师规范化培训学员生活补助100.61万元</w:t>
      </w:r>
      <w:r>
        <w:rPr>
          <w:rFonts w:hint="eastAsia" w:ascii="仿宋_GB2312"/>
          <w:b/>
          <w:bCs/>
          <w:szCs w:val="28"/>
        </w:rPr>
        <w:t>；</w:t>
      </w:r>
      <w:r>
        <w:rPr>
          <w:rFonts w:hint="eastAsia" w:ascii="仿宋_GB2312"/>
          <w:szCs w:val="28"/>
        </w:rPr>
        <w:t>共执行资金401.99万元，401.99/541.9*5=3.71,故预算执行率得分为3.71分。</w:t>
      </w:r>
    </w:p>
    <w:p w14:paraId="04C96122">
      <w:pPr>
        <w:spacing w:line="360" w:lineRule="auto"/>
        <w:ind w:firstLine="562"/>
        <w:rPr>
          <w:rFonts w:ascii="仿宋_GB2312"/>
          <w:b/>
          <w:bCs/>
          <w:szCs w:val="28"/>
        </w:rPr>
      </w:pPr>
    </w:p>
    <w:p w14:paraId="3C9FF8F1">
      <w:pPr>
        <w:spacing w:line="360" w:lineRule="auto"/>
        <w:ind w:firstLine="562"/>
        <w:rPr>
          <w:rFonts w:ascii="仿宋_GB2312"/>
          <w:szCs w:val="28"/>
        </w:rPr>
      </w:pPr>
      <w:r>
        <w:rPr>
          <w:rFonts w:hint="eastAsia" w:ascii="仿宋_GB2312"/>
          <w:b/>
          <w:bCs/>
          <w:szCs w:val="28"/>
        </w:rPr>
        <w:t>资金使用合规性：</w:t>
      </w:r>
      <w:r>
        <w:rPr>
          <w:rFonts w:hint="eastAsia" w:ascii="仿宋_GB2312"/>
          <w:szCs w:val="28"/>
        </w:rPr>
        <w:t>本项目资金使用《中医全科住院医师规范化培训管理制度》和本单位的《财政专项资金使用制度》的规定。同时，资金的拨付有使用计划的申请和资金支付的审批程序，需要项目负责人、项目管理科室、分管院领导、财务科长和分管财务的院领导签批手续，符合项目预算批复或合同规定的用途，不存在截留、挤占、挪用、虚列支出等情况。故资金使用合规性得分为3分。</w:t>
      </w:r>
    </w:p>
    <w:p w14:paraId="7DDC4E81">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13</w:t>
      </w:r>
      <w:r>
        <w:rPr>
          <w:rFonts w:hint="eastAsia" w:ascii="仿宋_GB2312" w:hAnsi="仿宋" w:cs="宋体"/>
          <w:b/>
          <w:kern w:val="0"/>
          <w:szCs w:val="28"/>
        </w:rPr>
        <w:t>分，得分11.71分。</w:t>
      </w:r>
    </w:p>
    <w:p w14:paraId="07BC9CC2">
      <w:pPr>
        <w:pStyle w:val="4"/>
        <w:ind w:firstLine="643"/>
      </w:pPr>
      <w:bookmarkStart w:id="43" w:name="_Toc165277247"/>
      <w:r>
        <w:t>2.</w:t>
      </w:r>
      <w:r>
        <w:rPr>
          <w:rFonts w:hint="eastAsia"/>
        </w:rPr>
        <w:t>组织实施</w:t>
      </w:r>
      <w:bookmarkEnd w:id="43"/>
    </w:p>
    <w:p w14:paraId="69D6758C">
      <w:pPr>
        <w:spacing w:line="360" w:lineRule="auto"/>
        <w:ind w:firstLine="562"/>
        <w:rPr>
          <w:rFonts w:ascii="仿宋_GB2312"/>
          <w:szCs w:val="28"/>
        </w:rPr>
      </w:pPr>
      <w:r>
        <w:rPr>
          <w:rFonts w:hint="eastAsia" w:ascii="仿宋_GB2312"/>
          <w:b/>
          <w:bCs/>
          <w:szCs w:val="28"/>
        </w:rPr>
        <w:t>管理制度健全性</w:t>
      </w:r>
      <w:r>
        <w:rPr>
          <w:rFonts w:hint="eastAsia" w:ascii="仿宋_GB2312"/>
          <w:szCs w:val="28"/>
        </w:rPr>
        <w:t>：乌鲁木齐市中医医院已制定相应的《中医全科住院医师规范化培训管理制度》和《财政专项资金使用制度》，且制度合法、合规、完整，为项目顺利实施提供重要保障。故管理制度健全性得分为3分。</w:t>
      </w:r>
    </w:p>
    <w:p w14:paraId="37950434">
      <w:pPr>
        <w:spacing w:line="360" w:lineRule="auto"/>
        <w:ind w:firstLine="562"/>
        <w:rPr>
          <w:rFonts w:ascii="仿宋_GB2312"/>
          <w:szCs w:val="28"/>
        </w:rPr>
      </w:pPr>
      <w:r>
        <w:rPr>
          <w:rFonts w:hint="eastAsia" w:ascii="仿宋_GB2312"/>
          <w:b/>
          <w:bCs/>
          <w:szCs w:val="28"/>
        </w:rPr>
        <w:t>制度执行有效性：</w:t>
      </w:r>
      <w:r>
        <w:rPr>
          <w:rFonts w:hint="eastAsia" w:ascii="仿宋_GB2312"/>
          <w:szCs w:val="28"/>
        </w:rPr>
        <w:t>根据评价小组核查情况，乌鲁木齐市中医医院严格遵守相关法律法规和相关管理规定，项目调整及支出调整手续完备，整体管理合理有序，项目完成后，及时将会计凭证、规培生支付明细单等相关资料分类归档，制度执行有效。故制度执行有效性指标得分</w:t>
      </w:r>
      <w:r>
        <w:rPr>
          <w:rFonts w:ascii="仿宋_GB2312"/>
          <w:szCs w:val="28"/>
        </w:rPr>
        <w:t>4</w:t>
      </w:r>
      <w:r>
        <w:rPr>
          <w:rFonts w:hint="eastAsia" w:ascii="仿宋_GB2312"/>
          <w:szCs w:val="28"/>
        </w:rPr>
        <w:t>分。</w:t>
      </w:r>
    </w:p>
    <w:p w14:paraId="26E8E49D">
      <w:pPr>
        <w:autoSpaceDE w:val="0"/>
        <w:spacing w:line="600" w:lineRule="exact"/>
        <w:ind w:firstLine="562"/>
        <w:rPr>
          <w:rFonts w:ascii="仿宋_GB2312" w:hAnsi="仿宋" w:cs="宋体"/>
          <w:b/>
          <w:kern w:val="0"/>
          <w:szCs w:val="28"/>
        </w:rPr>
      </w:pPr>
      <w:bookmarkStart w:id="44" w:name="_Hlk67670213"/>
      <w:r>
        <w:rPr>
          <w:rFonts w:hint="eastAsia" w:ascii="仿宋_GB2312" w:hAnsi="仿宋" w:cs="宋体"/>
          <w:b/>
          <w:kern w:val="0"/>
          <w:szCs w:val="28"/>
        </w:rPr>
        <w:t>综上，该指标满分</w:t>
      </w:r>
      <w:r>
        <w:rPr>
          <w:rFonts w:ascii="仿宋_GB2312" w:hAnsi="仿宋" w:cs="宋体"/>
          <w:b/>
          <w:kern w:val="0"/>
          <w:szCs w:val="28"/>
        </w:rPr>
        <w:t>7</w:t>
      </w:r>
      <w:r>
        <w:rPr>
          <w:rFonts w:hint="eastAsia" w:ascii="仿宋_GB2312" w:hAnsi="仿宋" w:cs="宋体"/>
          <w:b/>
          <w:kern w:val="0"/>
          <w:szCs w:val="28"/>
        </w:rPr>
        <w:t>分，得分</w:t>
      </w:r>
      <w:r>
        <w:rPr>
          <w:rFonts w:ascii="仿宋_GB2312" w:hAnsi="仿宋" w:cs="宋体"/>
          <w:b/>
          <w:kern w:val="0"/>
          <w:szCs w:val="28"/>
        </w:rPr>
        <w:t>7</w:t>
      </w:r>
      <w:r>
        <w:rPr>
          <w:rFonts w:hint="eastAsia" w:ascii="仿宋_GB2312" w:hAnsi="仿宋" w:cs="宋体"/>
          <w:b/>
          <w:kern w:val="0"/>
          <w:szCs w:val="28"/>
        </w:rPr>
        <w:t>分。</w:t>
      </w:r>
    </w:p>
    <w:bookmarkEnd w:id="44"/>
    <w:p w14:paraId="4F972F7B">
      <w:pPr>
        <w:pStyle w:val="3"/>
        <w:ind w:firstLine="643"/>
        <w:rPr>
          <w:rFonts w:ascii="仿宋" w:hAnsi="仿宋" w:eastAsia="仿宋"/>
          <w:lang w:bidi="en-US"/>
        </w:rPr>
      </w:pPr>
      <w:bookmarkStart w:id="45" w:name="_Toc67911614"/>
      <w:bookmarkStart w:id="46" w:name="_Toc165277248"/>
      <w:r>
        <w:rPr>
          <w:rFonts w:hint="eastAsia" w:ascii="仿宋" w:hAnsi="仿宋" w:eastAsia="仿宋"/>
          <w:lang w:bidi="en-US"/>
        </w:rPr>
        <w:t>（三）项目产出情况</w:t>
      </w:r>
      <w:bookmarkEnd w:id="45"/>
      <w:bookmarkEnd w:id="46"/>
    </w:p>
    <w:p w14:paraId="44E8A89F">
      <w:pPr>
        <w:spacing w:line="360" w:lineRule="auto"/>
        <w:ind w:firstLine="560"/>
        <w:rPr>
          <w:rFonts w:ascii="仿宋_GB2312"/>
          <w:szCs w:val="28"/>
        </w:rPr>
      </w:pPr>
      <w:r>
        <w:rPr>
          <w:rFonts w:hint="eastAsia" w:ascii="仿宋_GB2312"/>
          <w:szCs w:val="28"/>
        </w:rPr>
        <w:t>项目产出指标由</w:t>
      </w:r>
      <w:r>
        <w:rPr>
          <w:rFonts w:ascii="仿宋_GB2312"/>
          <w:szCs w:val="28"/>
        </w:rPr>
        <w:t>4</w:t>
      </w:r>
      <w:r>
        <w:rPr>
          <w:rFonts w:hint="eastAsia" w:ascii="仿宋_GB2312"/>
          <w:szCs w:val="28"/>
        </w:rPr>
        <w:t>个二级指标和5个三级指标构成，权重为</w:t>
      </w:r>
      <w:r>
        <w:rPr>
          <w:rFonts w:ascii="仿宋_GB2312"/>
          <w:szCs w:val="28"/>
        </w:rPr>
        <w:t>40</w:t>
      </w:r>
      <w:r>
        <w:rPr>
          <w:rFonts w:hint="eastAsia" w:ascii="仿宋_GB2312"/>
          <w:szCs w:val="28"/>
        </w:rPr>
        <w:t>分，实际得分</w:t>
      </w:r>
      <w:r>
        <w:rPr>
          <w:rFonts w:ascii="仿宋_GB2312"/>
          <w:szCs w:val="28"/>
        </w:rPr>
        <w:t>40</w:t>
      </w:r>
      <w:r>
        <w:rPr>
          <w:rFonts w:hint="eastAsia" w:ascii="仿宋_GB2312"/>
          <w:szCs w:val="28"/>
        </w:rPr>
        <w:t>分。</w:t>
      </w:r>
    </w:p>
    <w:p w14:paraId="2C99B574">
      <w:pPr>
        <w:pStyle w:val="4"/>
        <w:ind w:firstLine="643"/>
      </w:pPr>
      <w:bookmarkStart w:id="47" w:name="_Toc165277249"/>
      <w:r>
        <w:rPr>
          <w:rFonts w:hint="eastAsia"/>
        </w:rPr>
        <w:t>1</w:t>
      </w:r>
      <w:r>
        <w:t>.</w:t>
      </w:r>
      <w:r>
        <w:rPr>
          <w:rFonts w:hint="eastAsia"/>
        </w:rPr>
        <w:t>产出数量</w:t>
      </w:r>
      <w:bookmarkEnd w:id="47"/>
    </w:p>
    <w:p w14:paraId="1FD2E6E1">
      <w:pPr>
        <w:spacing w:line="360" w:lineRule="auto"/>
        <w:ind w:firstLine="560"/>
        <w:rPr>
          <w:rFonts w:ascii="仿宋_GB2312"/>
          <w:bCs/>
          <w:szCs w:val="28"/>
        </w:rPr>
      </w:pPr>
      <w:r>
        <w:rPr>
          <w:rFonts w:hint="eastAsia" w:ascii="仿宋_GB2312"/>
          <w:bCs/>
          <w:szCs w:val="28"/>
        </w:rPr>
        <w:t>数量指标“住院医师规范化招收完成率”的目标值是90%，2023</w:t>
      </w:r>
      <w:r>
        <w:rPr>
          <w:rFonts w:ascii="仿宋_GB2312"/>
          <w:bCs/>
          <w:szCs w:val="28"/>
        </w:rPr>
        <w:t>年度我单位实际完成</w:t>
      </w:r>
      <w:r>
        <w:rPr>
          <w:rFonts w:hint="eastAsia" w:ascii="仿宋_GB2312"/>
          <w:bCs/>
          <w:szCs w:val="28"/>
        </w:rPr>
        <w:t>100%，原因是我基地作为国家住培基地，连续5年住培招收率和结业考核率在新疆名列前茅，拥有良好的学员口碑，吸引力大量的住培学员。故招收完成率达100%。</w:t>
      </w:r>
    </w:p>
    <w:p w14:paraId="78F00101">
      <w:pPr>
        <w:spacing w:line="360" w:lineRule="auto"/>
        <w:ind w:firstLine="560"/>
        <w:rPr>
          <w:rFonts w:ascii="仿宋_GB2312"/>
          <w:bCs/>
          <w:szCs w:val="28"/>
        </w:rPr>
      </w:pPr>
      <w:r>
        <w:rPr>
          <w:rFonts w:hint="eastAsia" w:ascii="仿宋_GB2312"/>
          <w:bCs/>
          <w:szCs w:val="28"/>
        </w:rPr>
        <w:t>数量指标“住院医师规范化培训项目中紧缺专业招收完成率”的目标值是80%，</w:t>
      </w:r>
      <w:r>
        <w:rPr>
          <w:rFonts w:ascii="仿宋_GB2312"/>
          <w:bCs/>
          <w:szCs w:val="28"/>
        </w:rPr>
        <w:t>2023年度我单位</w:t>
      </w:r>
      <w:r>
        <w:rPr>
          <w:rFonts w:hint="eastAsia" w:ascii="仿宋_GB2312"/>
          <w:bCs/>
          <w:szCs w:val="28"/>
        </w:rPr>
        <w:t>实际完成100%，原因是我基地作为国家住培基地，连续5年中医全科结业考核率在新疆名列前茅，且培训结业的学员返回基层工作岗位后其岗位胜任力大幅提升，得到了单位领导的一致好评，培训效果良好。故招收完成率达100%。</w:t>
      </w:r>
    </w:p>
    <w:p w14:paraId="2A637734">
      <w:pPr>
        <w:spacing w:line="360" w:lineRule="auto"/>
        <w:ind w:firstLine="562"/>
        <w:rPr>
          <w:rFonts w:ascii="仿宋_GB2312"/>
          <w:szCs w:val="28"/>
        </w:rPr>
      </w:pPr>
      <w:r>
        <w:rPr>
          <w:rFonts w:hint="eastAsia" w:ascii="仿宋_GB2312"/>
          <w:b/>
          <w:bCs/>
          <w:szCs w:val="28"/>
        </w:rPr>
        <w:t>实际完成率：</w:t>
      </w:r>
      <w:r>
        <w:rPr>
          <w:rFonts w:hint="eastAsia" w:ascii="仿宋_GB2312"/>
          <w:szCs w:val="28"/>
        </w:rPr>
        <w:t>100%，故实际完成率得分为16分。</w:t>
      </w:r>
    </w:p>
    <w:p w14:paraId="00EB6682">
      <w:pPr>
        <w:pStyle w:val="4"/>
        <w:ind w:firstLine="643"/>
      </w:pPr>
      <w:bookmarkStart w:id="48" w:name="_Toc165277250"/>
      <w:r>
        <w:rPr>
          <w:rFonts w:hint="eastAsia"/>
        </w:rPr>
        <w:t>2</w:t>
      </w:r>
      <w:r>
        <w:t>.</w:t>
      </w:r>
      <w:r>
        <w:rPr>
          <w:rFonts w:hint="eastAsia"/>
        </w:rPr>
        <w:t>产出质量</w:t>
      </w:r>
      <w:bookmarkEnd w:id="48"/>
    </w:p>
    <w:p w14:paraId="61C837C1">
      <w:pPr>
        <w:spacing w:line="360" w:lineRule="auto"/>
        <w:ind w:firstLine="560"/>
        <w:rPr>
          <w:rFonts w:ascii="仿宋_GB2312"/>
          <w:bCs/>
          <w:szCs w:val="28"/>
        </w:rPr>
      </w:pPr>
      <w:bookmarkStart w:id="49" w:name="_Toc165277251"/>
      <w:r>
        <w:rPr>
          <w:rFonts w:hint="eastAsia" w:ascii="仿宋_GB2312"/>
          <w:bCs/>
          <w:szCs w:val="28"/>
        </w:rPr>
        <w:t>质量指标“住院医师规范化培训结业考核通过率”的目标值是80%，2023年度我单位实际完成95.5%，原因是院党委高度重视住培工作，对所有结业考核学员进行专项培训以提高其考核通过率。故结业考核率达95.5%。</w:t>
      </w:r>
    </w:p>
    <w:p w14:paraId="590FDF99">
      <w:pPr>
        <w:spacing w:line="360" w:lineRule="auto"/>
        <w:ind w:firstLine="560"/>
        <w:rPr>
          <w:rFonts w:ascii="仿宋_GB2312"/>
          <w:bCs/>
          <w:szCs w:val="28"/>
        </w:rPr>
      </w:pPr>
      <w:r>
        <w:rPr>
          <w:rFonts w:hint="eastAsia" w:ascii="仿宋_GB2312"/>
          <w:bCs/>
          <w:szCs w:val="28"/>
        </w:rPr>
        <w:t>质量指标“培养计划完成率”的目标值是85%，三年级学员已完成全部培养计划，二年级学员培养内容已基本完成，进入实践环节，一年级学员正在按计划培训学习，2023年度我单位总体实际完成85%，</w:t>
      </w:r>
    </w:p>
    <w:p w14:paraId="5101D8E2">
      <w:pPr>
        <w:spacing w:line="360" w:lineRule="auto"/>
        <w:ind w:firstLine="560"/>
        <w:rPr>
          <w:rFonts w:ascii="仿宋_GB2312"/>
          <w:bCs/>
          <w:szCs w:val="28"/>
        </w:rPr>
      </w:pPr>
      <w:r>
        <w:rPr>
          <w:rFonts w:hint="eastAsia" w:ascii="仿宋_GB2312"/>
          <w:bCs/>
          <w:szCs w:val="28"/>
        </w:rPr>
        <w:t>故质量达标率得分为16分。</w:t>
      </w:r>
    </w:p>
    <w:bookmarkEnd w:id="49"/>
    <w:p w14:paraId="4EEA29F2">
      <w:pPr>
        <w:pStyle w:val="4"/>
        <w:ind w:firstLine="643"/>
      </w:pPr>
      <w:bookmarkStart w:id="50" w:name="_Toc165277252"/>
      <w:r>
        <w:rPr>
          <w:rFonts w:hint="eastAsia"/>
        </w:rPr>
        <w:t>3</w:t>
      </w:r>
      <w:r>
        <w:t>.</w:t>
      </w:r>
      <w:r>
        <w:rPr>
          <w:rFonts w:hint="eastAsia"/>
        </w:rPr>
        <w:t>产出成本</w:t>
      </w:r>
      <w:bookmarkEnd w:id="50"/>
    </w:p>
    <w:p w14:paraId="08580C93">
      <w:pPr>
        <w:spacing w:line="360" w:lineRule="auto"/>
        <w:ind w:firstLine="560"/>
        <w:jc w:val="left"/>
        <w:rPr>
          <w:rFonts w:ascii="仿宋_GB2312"/>
          <w:b/>
          <w:bCs/>
          <w:szCs w:val="28"/>
        </w:rPr>
      </w:pPr>
      <w:r>
        <w:rPr>
          <w:rFonts w:hint="eastAsia" w:ascii="仿宋_GB2312"/>
          <w:szCs w:val="28"/>
        </w:rPr>
        <w:t>成本指标“中央财政对住院医师规范化培训项目的投入标准”的目标值是3万元/人/年，2023年度我单位实际完成值2.23万元/人/年。该项目主要用于住院医师规范化培训学员的生活补助，学员当年8月份入学，三年后毕业。8月前后，在培人数有所变化，所有规范化培训学员均按标准支付，未超支，得满分。</w:t>
      </w:r>
    </w:p>
    <w:p w14:paraId="34E706D8">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综上，该部分指标满分</w:t>
      </w:r>
      <w:r>
        <w:rPr>
          <w:rFonts w:ascii="仿宋_GB2312" w:hAnsi="仿宋" w:cs="宋体"/>
          <w:b/>
          <w:kern w:val="0"/>
          <w:szCs w:val="28"/>
        </w:rPr>
        <w:t>40</w:t>
      </w:r>
      <w:r>
        <w:rPr>
          <w:rFonts w:hint="eastAsia" w:ascii="仿宋_GB2312" w:hAnsi="仿宋" w:cs="宋体"/>
          <w:b/>
          <w:kern w:val="0"/>
          <w:szCs w:val="28"/>
        </w:rPr>
        <w:t>分，得分</w:t>
      </w:r>
      <w:r>
        <w:rPr>
          <w:rFonts w:ascii="仿宋_GB2312"/>
          <w:szCs w:val="28"/>
        </w:rPr>
        <w:t>40</w:t>
      </w:r>
      <w:r>
        <w:rPr>
          <w:rFonts w:hint="eastAsia" w:ascii="仿宋_GB2312" w:hAnsi="仿宋" w:cs="宋体"/>
          <w:b/>
          <w:kern w:val="0"/>
          <w:szCs w:val="28"/>
        </w:rPr>
        <w:t>分。</w:t>
      </w:r>
    </w:p>
    <w:p w14:paraId="1DFE6317">
      <w:pPr>
        <w:pStyle w:val="3"/>
        <w:ind w:firstLine="643"/>
        <w:rPr>
          <w:rFonts w:ascii="仿宋" w:hAnsi="仿宋" w:eastAsia="仿宋"/>
          <w:lang w:bidi="en-US"/>
        </w:rPr>
      </w:pPr>
      <w:bookmarkStart w:id="51" w:name="_Toc165277253"/>
      <w:bookmarkStart w:id="52" w:name="_Toc67911615"/>
      <w:r>
        <w:rPr>
          <w:rFonts w:hint="eastAsia" w:ascii="仿宋" w:hAnsi="仿宋" w:eastAsia="仿宋"/>
          <w:lang w:bidi="en-US"/>
        </w:rPr>
        <w:t>（四）项目效益情况</w:t>
      </w:r>
      <w:bookmarkEnd w:id="51"/>
      <w:bookmarkEnd w:id="52"/>
    </w:p>
    <w:p w14:paraId="432C1BEF">
      <w:pPr>
        <w:spacing w:line="360" w:lineRule="auto"/>
        <w:ind w:firstLine="560"/>
        <w:rPr>
          <w:rFonts w:ascii="仿宋_GB2312"/>
          <w:szCs w:val="28"/>
        </w:rPr>
      </w:pPr>
      <w:r>
        <w:rPr>
          <w:rFonts w:hint="eastAsia" w:ascii="仿宋_GB2312"/>
          <w:szCs w:val="28"/>
        </w:rPr>
        <w:t>项目效益指标由</w:t>
      </w:r>
      <w:r>
        <w:rPr>
          <w:rFonts w:ascii="仿宋_GB2312"/>
          <w:szCs w:val="28"/>
        </w:rPr>
        <w:t>1</w:t>
      </w:r>
      <w:r>
        <w:rPr>
          <w:rFonts w:hint="eastAsia" w:ascii="仿宋_GB2312"/>
          <w:szCs w:val="28"/>
        </w:rPr>
        <w:t>个二级指标和</w:t>
      </w:r>
      <w:r>
        <w:rPr>
          <w:rFonts w:ascii="仿宋_GB2312"/>
          <w:szCs w:val="28"/>
        </w:rPr>
        <w:t>1</w:t>
      </w:r>
      <w:r>
        <w:rPr>
          <w:rFonts w:hint="eastAsia" w:ascii="仿宋_GB2312"/>
          <w:szCs w:val="28"/>
        </w:rPr>
        <w:t>个三级指标构成，权重为</w:t>
      </w:r>
      <w:r>
        <w:rPr>
          <w:rFonts w:ascii="仿宋_GB2312"/>
          <w:szCs w:val="28"/>
        </w:rPr>
        <w:t>10</w:t>
      </w:r>
      <w:r>
        <w:rPr>
          <w:rFonts w:hint="eastAsia" w:ascii="仿宋_GB2312"/>
          <w:szCs w:val="28"/>
        </w:rPr>
        <w:t>分，实际得分</w:t>
      </w:r>
      <w:r>
        <w:rPr>
          <w:rFonts w:ascii="仿宋_GB2312"/>
          <w:szCs w:val="28"/>
        </w:rPr>
        <w:t>1</w:t>
      </w:r>
      <w:r>
        <w:rPr>
          <w:rFonts w:hint="eastAsia" w:ascii="仿宋_GB2312"/>
          <w:szCs w:val="28"/>
        </w:rPr>
        <w:t>0分。</w:t>
      </w:r>
      <w:r>
        <w:rPr>
          <w:rFonts w:ascii="仿宋_GB2312"/>
          <w:szCs w:val="28"/>
        </w:rPr>
        <w:t xml:space="preserve"> </w:t>
      </w:r>
    </w:p>
    <w:p w14:paraId="255E7A6D">
      <w:pPr>
        <w:pStyle w:val="4"/>
        <w:ind w:firstLine="643"/>
      </w:pPr>
      <w:bookmarkStart w:id="53" w:name="_Toc165277254"/>
      <w:r>
        <w:rPr>
          <w:rFonts w:hint="eastAsia"/>
        </w:rPr>
        <w:t>1</w:t>
      </w:r>
      <w:r>
        <w:t>.</w:t>
      </w:r>
      <w:r>
        <w:rPr>
          <w:rFonts w:hint="eastAsia"/>
        </w:rPr>
        <w:t>项目效益</w:t>
      </w:r>
      <w:bookmarkEnd w:id="53"/>
    </w:p>
    <w:p w14:paraId="348B7154">
      <w:pPr>
        <w:spacing w:line="360" w:lineRule="auto"/>
        <w:ind w:firstLine="562"/>
        <w:rPr>
          <w:rFonts w:ascii="仿宋_GB2312"/>
          <w:b/>
          <w:bCs/>
          <w:szCs w:val="28"/>
        </w:rPr>
      </w:pPr>
      <w:r>
        <w:rPr>
          <w:rFonts w:hint="eastAsia" w:ascii="仿宋_GB2312"/>
          <w:b/>
          <w:bCs/>
          <w:szCs w:val="28"/>
        </w:rPr>
        <w:t>（1）实施效益</w:t>
      </w:r>
    </w:p>
    <w:p w14:paraId="3B59EF52">
      <w:pPr>
        <w:spacing w:line="360" w:lineRule="auto"/>
        <w:ind w:firstLine="562"/>
        <w:rPr>
          <w:rFonts w:ascii="仿宋_GB2312"/>
          <w:szCs w:val="28"/>
        </w:rPr>
      </w:pPr>
      <w:r>
        <w:rPr>
          <w:rFonts w:hint="eastAsia" w:ascii="仿宋_GB2312"/>
          <w:b/>
          <w:bCs/>
          <w:szCs w:val="28"/>
        </w:rPr>
        <w:t>经济效益指标：</w:t>
      </w:r>
      <w:r>
        <w:rPr>
          <w:rFonts w:hint="eastAsia" w:ascii="仿宋_GB2312"/>
          <w:szCs w:val="28"/>
        </w:rPr>
        <w:t>不适用。</w:t>
      </w:r>
      <w:r>
        <w:rPr>
          <w:rFonts w:ascii="仿宋_GB2312"/>
          <w:szCs w:val="28"/>
        </w:rPr>
        <w:t xml:space="preserve"> </w:t>
      </w:r>
    </w:p>
    <w:p w14:paraId="043EE732">
      <w:pPr>
        <w:spacing w:line="360" w:lineRule="auto"/>
        <w:ind w:firstLine="562"/>
        <w:rPr>
          <w:rFonts w:ascii="仿宋_GB2312"/>
          <w:szCs w:val="28"/>
        </w:rPr>
      </w:pPr>
      <w:r>
        <w:rPr>
          <w:rFonts w:hint="eastAsia" w:ascii="仿宋_GB2312"/>
          <w:b/>
          <w:bCs/>
          <w:szCs w:val="28"/>
        </w:rPr>
        <w:t>社会效益指标</w:t>
      </w:r>
      <w:r>
        <w:rPr>
          <w:rFonts w:hint="eastAsia" w:ascii="仿宋_GB2312"/>
          <w:szCs w:val="28"/>
        </w:rPr>
        <w:t>：评价指标“参培住院医师业务水平”，指标值：大幅提高，实际完成值：达成年度指标。本项目的实施根据自治区卫健委关于做好中医住院医师规范化培训工作指示按照国家中医药管理局中医住院医师规范化培训大纲要求，我院对2023年在院规培的172名住培学员展开了以提高规培医师临床能力为主的系统化、规范性培训，让学员接受规范化的教学和指导，从而掌握扎实的临床技能和知识。我基地培训的住培医师业务水平明显提升表现在两个方面:一是，2023年度首次执医通过率&gt;90%，满足全国三家甲等中医医院首次执医通过率要求;二是，2023年结业的社会化学员结业率达100%，充分体现了我基地培养住培医师的岗位胜任力。</w:t>
      </w:r>
    </w:p>
    <w:p w14:paraId="11CED8CF">
      <w:pPr>
        <w:spacing w:line="360" w:lineRule="auto"/>
        <w:ind w:firstLine="562"/>
        <w:rPr>
          <w:rFonts w:ascii="仿宋_GB2312"/>
          <w:szCs w:val="28"/>
        </w:rPr>
      </w:pPr>
      <w:r>
        <w:rPr>
          <w:rFonts w:hint="eastAsia" w:ascii="仿宋_GB2312"/>
          <w:b/>
          <w:bCs/>
          <w:szCs w:val="28"/>
        </w:rPr>
        <w:t>生态效益指标</w:t>
      </w:r>
      <w:r>
        <w:rPr>
          <w:rFonts w:hint="eastAsia" w:ascii="仿宋_GB2312"/>
          <w:szCs w:val="28"/>
        </w:rPr>
        <w:t>：不适用。</w:t>
      </w:r>
    </w:p>
    <w:p w14:paraId="47604B0D">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分，得分10分。</w:t>
      </w:r>
    </w:p>
    <w:p w14:paraId="542C00FF">
      <w:pPr>
        <w:pStyle w:val="4"/>
        <w:ind w:firstLine="643"/>
      </w:pPr>
      <w:bookmarkStart w:id="54" w:name="_Toc165277255"/>
      <w:r>
        <w:t>2. 满意度指标完成情况分析</w:t>
      </w:r>
      <w:bookmarkEnd w:id="54"/>
    </w:p>
    <w:p w14:paraId="372F1738">
      <w:pPr>
        <w:spacing w:line="360" w:lineRule="auto"/>
        <w:ind w:firstLine="562"/>
        <w:rPr>
          <w:rFonts w:ascii="仿宋_GB2312"/>
          <w:b/>
          <w:bCs/>
          <w:szCs w:val="28"/>
        </w:rPr>
      </w:pPr>
      <w:r>
        <w:rPr>
          <w:rFonts w:hint="eastAsia" w:ascii="仿宋_GB2312"/>
          <w:b/>
          <w:bCs/>
          <w:szCs w:val="28"/>
        </w:rPr>
        <w:t>（</w:t>
      </w:r>
      <w:r>
        <w:rPr>
          <w:rFonts w:ascii="仿宋_GB2312"/>
          <w:b/>
          <w:bCs/>
          <w:szCs w:val="28"/>
        </w:rPr>
        <w:t>1</w:t>
      </w:r>
      <w:r>
        <w:rPr>
          <w:rFonts w:hint="eastAsia" w:ascii="仿宋_GB2312"/>
          <w:b/>
          <w:bCs/>
          <w:szCs w:val="28"/>
        </w:rPr>
        <w:t>）满意度指标</w:t>
      </w:r>
    </w:p>
    <w:p w14:paraId="5AB9C8D2">
      <w:pPr>
        <w:spacing w:line="360" w:lineRule="auto"/>
        <w:ind w:firstLine="562"/>
        <w:rPr>
          <w:rFonts w:ascii="仿宋_GB2312"/>
          <w:szCs w:val="28"/>
        </w:rPr>
      </w:pPr>
      <w:r>
        <w:rPr>
          <w:rFonts w:hint="eastAsia" w:ascii="仿宋_GB2312"/>
          <w:b/>
          <w:bCs/>
          <w:szCs w:val="28"/>
        </w:rPr>
        <w:t>群众满意度：</w:t>
      </w:r>
      <w:r>
        <w:rPr>
          <w:rFonts w:hint="eastAsia" w:ascii="仿宋_GB2312"/>
          <w:szCs w:val="28"/>
        </w:rPr>
        <w:t>评价指标“参培对象满意度”，指标值：</w:t>
      </w:r>
      <w:r>
        <w:rPr>
          <w:rFonts w:hint="eastAsia" w:ascii="华文宋体" w:hAnsi="华文宋体" w:eastAsia="华文宋体"/>
          <w:szCs w:val="28"/>
        </w:rPr>
        <w:t>≥</w:t>
      </w:r>
      <w:r>
        <w:rPr>
          <w:rFonts w:hint="eastAsia" w:ascii="仿宋_GB2312" w:eastAsia="华文宋体"/>
          <w:szCs w:val="28"/>
        </w:rPr>
        <w:t>80</w:t>
      </w:r>
      <w:r>
        <w:rPr>
          <w:rFonts w:hint="eastAsia" w:ascii="仿宋_GB2312"/>
          <w:szCs w:val="28"/>
        </w:rPr>
        <w:t>%，实际完成值：=</w:t>
      </w:r>
      <w:r>
        <w:rPr>
          <w:rFonts w:hint="eastAsia" w:ascii="仿宋_GB2312" w:eastAsia="华文宋体"/>
          <w:szCs w:val="28"/>
        </w:rPr>
        <w:t>100</w:t>
      </w:r>
      <w:r>
        <w:rPr>
          <w:rFonts w:hint="eastAsia" w:ascii="仿宋_GB2312"/>
          <w:szCs w:val="28"/>
        </w:rPr>
        <w:t>%。通过设置问卷调查的方式进行考评评价，共计调查样本总量为97个样本，有效调查问卷97份。其中，统计“学员对我基地培训开展的理论、技能和管理工作满意度”的平均值为100%。故满意度指标得分为10分。</w:t>
      </w:r>
    </w:p>
    <w:p w14:paraId="245A103C">
      <w:pPr>
        <w:autoSpaceDE w:val="0"/>
        <w:spacing w:line="600" w:lineRule="exact"/>
        <w:ind w:firstLine="562"/>
        <w:rPr>
          <w:rFonts w:ascii="仿宋_GB2312" w:hAnsi="仿宋" w:cs="宋体"/>
          <w:b/>
          <w:kern w:val="0"/>
          <w:szCs w:val="28"/>
        </w:rPr>
      </w:pPr>
      <w:r>
        <w:rPr>
          <w:rFonts w:hint="eastAsia" w:ascii="仿宋_GB2312" w:hAnsi="仿宋" w:cs="宋体"/>
          <w:b/>
          <w:kern w:val="0"/>
          <w:szCs w:val="28"/>
        </w:rPr>
        <w:t>综上，该指标满分</w:t>
      </w:r>
      <w:r>
        <w:rPr>
          <w:rFonts w:ascii="仿宋_GB2312" w:hAnsi="仿宋" w:cs="宋体"/>
          <w:b/>
          <w:kern w:val="0"/>
          <w:szCs w:val="28"/>
        </w:rPr>
        <w:t>10</w:t>
      </w:r>
      <w:r>
        <w:rPr>
          <w:rFonts w:hint="eastAsia" w:ascii="仿宋_GB2312" w:hAnsi="仿宋" w:cs="宋体"/>
          <w:b/>
          <w:kern w:val="0"/>
          <w:szCs w:val="28"/>
        </w:rPr>
        <w:t>分，得分10分。</w:t>
      </w:r>
    </w:p>
    <w:p w14:paraId="2E2D8F83">
      <w:pPr>
        <w:pStyle w:val="2"/>
        <w:ind w:firstLine="0" w:firstLineChars="0"/>
        <w:jc w:val="left"/>
        <w:rPr>
          <w:rFonts w:ascii="仿宋" w:hAnsi="仿宋" w:eastAsia="仿宋"/>
          <w:sz w:val="36"/>
          <w:szCs w:val="36"/>
          <w:lang w:bidi="en-US"/>
        </w:rPr>
      </w:pPr>
      <w:bookmarkStart w:id="55" w:name="_Toc165277256"/>
      <w:bookmarkStart w:id="56" w:name="_Toc67911617"/>
      <w:r>
        <w:rPr>
          <w:rFonts w:hint="eastAsia" w:ascii="仿宋" w:hAnsi="仿宋" w:eastAsia="仿宋"/>
          <w:sz w:val="36"/>
          <w:szCs w:val="36"/>
          <w:lang w:bidi="en-US"/>
        </w:rPr>
        <w:t>五、主要经验及做法、存在的问题及原因分析</w:t>
      </w:r>
      <w:bookmarkEnd w:id="55"/>
      <w:bookmarkEnd w:id="56"/>
    </w:p>
    <w:p w14:paraId="24E75388">
      <w:pPr>
        <w:pStyle w:val="3"/>
        <w:ind w:firstLine="643"/>
        <w:rPr>
          <w:rFonts w:ascii="仿宋" w:hAnsi="仿宋" w:eastAsia="仿宋"/>
          <w:lang w:bidi="en-US"/>
        </w:rPr>
      </w:pPr>
      <w:bookmarkStart w:id="57" w:name="_Toc67911618"/>
      <w:bookmarkStart w:id="58" w:name="_Toc165277257"/>
      <w:r>
        <w:rPr>
          <w:rFonts w:hint="eastAsia" w:ascii="仿宋" w:hAnsi="仿宋" w:eastAsia="仿宋"/>
          <w:lang w:bidi="en-US"/>
        </w:rPr>
        <w:t>（一）主要经验及做法</w:t>
      </w:r>
      <w:bookmarkEnd w:id="57"/>
      <w:bookmarkEnd w:id="58"/>
    </w:p>
    <w:p w14:paraId="597C520F">
      <w:pPr>
        <w:spacing w:line="360" w:lineRule="auto"/>
        <w:ind w:firstLine="562"/>
        <w:jc w:val="left"/>
        <w:rPr>
          <w:rFonts w:ascii="仿宋_GB2312"/>
          <w:szCs w:val="28"/>
        </w:rPr>
      </w:pPr>
      <w:r>
        <w:rPr>
          <w:rFonts w:hint="eastAsia" w:ascii="仿宋_GB2312" w:hAnsi="仿宋" w:cs="宋体"/>
          <w:b/>
          <w:kern w:val="0"/>
          <w:szCs w:val="28"/>
        </w:rPr>
        <w:t>1.</w:t>
      </w:r>
      <w:r>
        <w:rPr>
          <w:rFonts w:hint="eastAsia" w:ascii="仿宋_GB2312"/>
          <w:szCs w:val="28"/>
        </w:rPr>
        <w:t>强化师资队伍培养，为保证住院医师规范化培训学员的学习质量和医疗安全，加强院、科两级的理论教学和技能培训课程，各临床教学科室制定了详细的教学计划并严格组织落实；医院明确带教老师职责，提高带教老师待遇，促进师资队伍规范化建设。</w:t>
      </w:r>
    </w:p>
    <w:p w14:paraId="699DDAF4">
      <w:pPr>
        <w:spacing w:line="360" w:lineRule="auto"/>
        <w:ind w:firstLine="560"/>
        <w:jc w:val="left"/>
        <w:rPr>
          <w:rFonts w:ascii="仿宋_GB2312"/>
          <w:szCs w:val="28"/>
        </w:rPr>
      </w:pPr>
      <w:r>
        <w:rPr>
          <w:rFonts w:hint="eastAsia" w:ascii="仿宋_GB2312"/>
          <w:szCs w:val="28"/>
        </w:rPr>
        <w:t>2.为促进我院住培工作能力建设，使住培学员快速转变由学生→医生的角色，在规范学员医疗文书书写规范的同时，对学员加强技能操作训练，实施六站式出科考核，有效提高学员的技能水平，为之今后能胜任为一名合格的住院医师做铺垫；加强培养住培学员的科研能力，鼓励住培学员发表论文、申报科研；同时对学员进行素质教育，开展心理、礼仪、音乐等培训；组织住院医师到社区开展系列义诊活动，方便学员将临床医学的理论知识和临床技能相结合，提高对各类常见疾病的认知，深受社区居民的欢迎。</w:t>
      </w:r>
    </w:p>
    <w:p w14:paraId="67E5B308">
      <w:pPr>
        <w:spacing w:line="360" w:lineRule="auto"/>
        <w:ind w:firstLine="560"/>
        <w:jc w:val="left"/>
        <w:rPr>
          <w:rFonts w:ascii="仿宋_GB2312"/>
          <w:szCs w:val="28"/>
        </w:rPr>
      </w:pPr>
      <w:r>
        <w:rPr>
          <w:rFonts w:hint="eastAsia" w:ascii="仿宋_GB2312"/>
          <w:szCs w:val="28"/>
        </w:rPr>
        <w:t>3.针对全科医师规范化培训学员6个月社区实践，我院采取“2+2+2模式”培养，即将6个月的社区实践拆分，穿插在通科轮转中，第一次社区实践为2个月，了解社区工作流程概况，全科诊疗思维模式，常见慢性病的健康管理等；第二次2个月的社区实践，了解并学习社区开展的一些基层急缺，能适应基层需要的技能；第三次2个月的社区实践，着重培养基层所需专业技能，提高医疗技术水平。通过这种培训方式，使全科医师回到当地卫生院，可以独当一面，独立胜任社区工作，成为基层中医事业的中坚力量。不少学员学员通过调剂的方式从其他基地慕名而来，我院作为中医规培基地，声誉得到显著提高。</w:t>
      </w:r>
    </w:p>
    <w:p w14:paraId="7212256D">
      <w:pPr>
        <w:autoSpaceDE w:val="0"/>
        <w:spacing w:line="600" w:lineRule="exact"/>
        <w:ind w:firstLine="562"/>
        <w:rPr>
          <w:rFonts w:ascii="仿宋_GB2312" w:hAnsi="仿宋" w:cs="宋体"/>
          <w:b/>
          <w:kern w:val="0"/>
          <w:szCs w:val="28"/>
        </w:rPr>
      </w:pPr>
    </w:p>
    <w:p w14:paraId="3D32B98A">
      <w:pPr>
        <w:pStyle w:val="3"/>
        <w:ind w:firstLine="643"/>
        <w:rPr>
          <w:rFonts w:ascii="仿宋" w:hAnsi="仿宋" w:eastAsia="仿宋"/>
          <w:lang w:bidi="en-US"/>
        </w:rPr>
      </w:pPr>
      <w:bookmarkStart w:id="59" w:name="_Toc165277258"/>
      <w:r>
        <w:rPr>
          <w:rFonts w:hint="eastAsia" w:ascii="仿宋" w:hAnsi="仿宋" w:eastAsia="仿宋"/>
          <w:lang w:bidi="en-US"/>
        </w:rPr>
        <w:t>（二）存在的问题及原因分析</w:t>
      </w:r>
      <w:bookmarkEnd w:id="59"/>
    </w:p>
    <w:p w14:paraId="5E04AF2F">
      <w:pPr>
        <w:spacing w:line="360" w:lineRule="auto"/>
        <w:ind w:firstLine="562"/>
        <w:jc w:val="left"/>
        <w:rPr>
          <w:rFonts w:ascii="仿宋_GB2312"/>
          <w:szCs w:val="28"/>
        </w:rPr>
      </w:pPr>
      <w:r>
        <w:rPr>
          <w:rFonts w:hint="eastAsia" w:ascii="仿宋_GB2312"/>
          <w:b/>
          <w:bCs/>
          <w:szCs w:val="28"/>
        </w:rPr>
        <w:t>1</w:t>
      </w:r>
      <w:r>
        <w:rPr>
          <w:rFonts w:ascii="仿宋_GB2312"/>
          <w:b/>
          <w:bCs/>
          <w:szCs w:val="28"/>
        </w:rPr>
        <w:t>.</w:t>
      </w:r>
      <w:r>
        <w:rPr>
          <w:rFonts w:hint="eastAsia" w:ascii="仿宋_GB2312"/>
          <w:szCs w:val="28"/>
        </w:rPr>
        <w:t>进一步完善院级住培督导及管理体系建设</w:t>
      </w:r>
    </w:p>
    <w:p w14:paraId="74C185EC">
      <w:pPr>
        <w:spacing w:line="360" w:lineRule="auto"/>
        <w:ind w:firstLine="560"/>
        <w:jc w:val="left"/>
        <w:rPr>
          <w:rFonts w:ascii="仿宋_GB2312"/>
          <w:szCs w:val="28"/>
        </w:rPr>
      </w:pPr>
      <w:r>
        <w:rPr>
          <w:rFonts w:hint="eastAsia" w:ascii="仿宋_GB2312"/>
          <w:szCs w:val="28"/>
        </w:rPr>
        <w:t>细化督导内容，增强时效性和可持续性，将住培督导结果与绩效能紧密结合，充分调动带教科室的积极性。进一步完善住培管理制度建设，将绩效考核与带教师资个人绩效以及晋升、评优等紧密挂钩。</w:t>
      </w:r>
    </w:p>
    <w:p w14:paraId="3F3BA57F">
      <w:pPr>
        <w:spacing w:line="360" w:lineRule="auto"/>
        <w:ind w:firstLine="560"/>
        <w:jc w:val="left"/>
        <w:rPr>
          <w:rFonts w:ascii="仿宋_GB2312"/>
          <w:szCs w:val="28"/>
        </w:rPr>
      </w:pPr>
      <w:r>
        <w:rPr>
          <w:rFonts w:hint="eastAsia" w:ascii="仿宋_GB2312"/>
          <w:szCs w:val="28"/>
        </w:rPr>
        <w:t>2.持续技能中心改造建设</w:t>
      </w:r>
    </w:p>
    <w:p w14:paraId="6E48CF3A">
      <w:pPr>
        <w:spacing w:line="360" w:lineRule="auto"/>
        <w:ind w:firstLine="560"/>
        <w:rPr>
          <w:rFonts w:ascii="仿宋_GB2312"/>
          <w:b/>
          <w:bCs/>
          <w:szCs w:val="28"/>
        </w:rPr>
      </w:pPr>
      <w:r>
        <w:rPr>
          <w:rFonts w:hint="eastAsia" w:ascii="仿宋_GB2312"/>
          <w:szCs w:val="28"/>
        </w:rPr>
        <w:t>目前技能中心已完成基本改造建设，视频录播系统正在招标中，争取尽早建成能够满足住院医师规范化培训技能训练需求的实训中心。学员宿舍目前租住在红十月小区，虽然住宿条件较完善，但不便于集中管理，医院正在积极筹措资金建设学员宿舍楼。</w:t>
      </w:r>
    </w:p>
    <w:p w14:paraId="7A42D8F5">
      <w:pPr>
        <w:spacing w:line="360" w:lineRule="auto"/>
        <w:ind w:firstLine="560"/>
        <w:rPr>
          <w:rFonts w:ascii="仿宋_GB2312" w:hAnsi="仿宋" w:cs="宋体"/>
          <w:kern w:val="0"/>
          <w:szCs w:val="28"/>
        </w:rPr>
      </w:pPr>
    </w:p>
    <w:p w14:paraId="718A16A1">
      <w:pPr>
        <w:pStyle w:val="2"/>
        <w:numPr>
          <w:ilvl w:val="0"/>
          <w:numId w:val="1"/>
        </w:numPr>
        <w:ind w:firstLine="0" w:firstLineChars="0"/>
        <w:jc w:val="left"/>
        <w:rPr>
          <w:rFonts w:ascii="仿宋" w:hAnsi="仿宋" w:eastAsia="仿宋"/>
          <w:sz w:val="36"/>
          <w:szCs w:val="36"/>
          <w:lang w:bidi="en-US"/>
        </w:rPr>
      </w:pPr>
      <w:bookmarkStart w:id="60" w:name="_Toc67911620"/>
      <w:bookmarkStart w:id="61" w:name="_Toc165277259"/>
      <w:bookmarkStart w:id="62" w:name="_Toc67911619"/>
      <w:r>
        <w:rPr>
          <w:rFonts w:hint="eastAsia" w:ascii="仿宋" w:hAnsi="仿宋" w:eastAsia="仿宋"/>
          <w:sz w:val="36"/>
          <w:szCs w:val="36"/>
          <w:lang w:bidi="en-US"/>
        </w:rPr>
        <w:t>有关建议</w:t>
      </w:r>
      <w:bookmarkEnd w:id="60"/>
      <w:bookmarkEnd w:id="61"/>
    </w:p>
    <w:p w14:paraId="7783F24B">
      <w:pPr>
        <w:spacing w:line="360" w:lineRule="auto"/>
        <w:ind w:firstLine="560"/>
        <w:rPr>
          <w:rFonts w:ascii="仿宋_GB2312"/>
          <w:szCs w:val="28"/>
        </w:rPr>
      </w:pPr>
      <w:r>
        <w:rPr>
          <w:rFonts w:hint="eastAsia" w:ascii="仿宋_GB2312"/>
          <w:szCs w:val="28"/>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1BF316E4">
      <w:pPr>
        <w:pStyle w:val="2"/>
        <w:ind w:firstLine="0" w:firstLineChars="0"/>
        <w:jc w:val="left"/>
        <w:rPr>
          <w:rFonts w:ascii="仿宋" w:hAnsi="仿宋" w:eastAsia="仿宋"/>
          <w:sz w:val="36"/>
          <w:szCs w:val="36"/>
          <w:lang w:bidi="en-US"/>
        </w:rPr>
      </w:pPr>
      <w:bookmarkStart w:id="63" w:name="_Toc165277260"/>
      <w:r>
        <w:rPr>
          <w:rFonts w:hint="eastAsia" w:ascii="仿宋" w:hAnsi="仿宋" w:eastAsia="仿宋"/>
          <w:sz w:val="36"/>
          <w:szCs w:val="36"/>
          <w:lang w:bidi="en-US"/>
        </w:rPr>
        <w:t>七、其他需要说明的问题</w:t>
      </w:r>
      <w:bookmarkEnd w:id="62"/>
      <w:bookmarkEnd w:id="63"/>
    </w:p>
    <w:p w14:paraId="57C1F52E">
      <w:pPr>
        <w:spacing w:line="360" w:lineRule="auto"/>
        <w:ind w:firstLine="560"/>
        <w:rPr>
          <w:rFonts w:ascii="仿宋_GB2312"/>
          <w:szCs w:val="28"/>
        </w:rPr>
      </w:pPr>
      <w:r>
        <w:rPr>
          <w:rFonts w:hint="eastAsia" w:ascii="仿宋_GB2312"/>
          <w:szCs w:val="28"/>
        </w:rPr>
        <w:t>1</w:t>
      </w:r>
      <w:r>
        <w:rPr>
          <w:rFonts w:ascii="仿宋_GB2312"/>
          <w:szCs w:val="28"/>
        </w:rPr>
        <w:t>.</w:t>
      </w:r>
      <w:r>
        <w:rPr>
          <w:rFonts w:hint="eastAsia" w:ascii="仿宋_GB2312"/>
          <w:szCs w:val="28"/>
        </w:rPr>
        <w:t>项目支出政策和路径设计科学，符合实际需要；</w:t>
      </w:r>
    </w:p>
    <w:p w14:paraId="46E7C312">
      <w:pPr>
        <w:spacing w:line="360" w:lineRule="auto"/>
        <w:ind w:firstLine="560"/>
        <w:rPr>
          <w:rFonts w:ascii="仿宋_GB2312"/>
          <w:szCs w:val="28"/>
        </w:rPr>
      </w:pPr>
      <w:r>
        <w:rPr>
          <w:rFonts w:ascii="仿宋_GB2312"/>
          <w:szCs w:val="28"/>
        </w:rPr>
        <w:t>2.</w:t>
      </w:r>
      <w:r>
        <w:rPr>
          <w:rFonts w:hint="eastAsia" w:ascii="仿宋_GB2312"/>
          <w:szCs w:val="28"/>
        </w:rPr>
        <w:t>项目安排准确，未发现背离项目立项初衷的情况；</w:t>
      </w:r>
    </w:p>
    <w:p w14:paraId="44336FD1">
      <w:pPr>
        <w:spacing w:line="360" w:lineRule="auto"/>
        <w:ind w:firstLine="560"/>
        <w:rPr>
          <w:rFonts w:ascii="仿宋_GB2312"/>
          <w:szCs w:val="28"/>
        </w:rPr>
      </w:pPr>
      <w:r>
        <w:rPr>
          <w:rFonts w:ascii="仿宋_GB2312"/>
          <w:szCs w:val="28"/>
        </w:rPr>
        <w:t>3.</w:t>
      </w:r>
      <w:r>
        <w:rPr>
          <w:rFonts w:hint="eastAsia" w:ascii="仿宋_GB2312"/>
          <w:szCs w:val="28"/>
        </w:rPr>
        <w:t>项目的申报、审核机制完善；</w:t>
      </w:r>
    </w:p>
    <w:p w14:paraId="04557C72">
      <w:pPr>
        <w:spacing w:line="360" w:lineRule="auto"/>
        <w:ind w:firstLine="560"/>
        <w:rPr>
          <w:rFonts w:ascii="仿宋_GB2312"/>
          <w:szCs w:val="28"/>
        </w:rPr>
      </w:pPr>
      <w:r>
        <w:rPr>
          <w:rFonts w:ascii="仿宋_GB2312"/>
          <w:szCs w:val="28"/>
        </w:rPr>
        <w:t>4.</w:t>
      </w:r>
      <w:r>
        <w:rPr>
          <w:rFonts w:hint="eastAsia" w:ascii="仿宋_GB2312"/>
          <w:szCs w:val="28"/>
        </w:rPr>
        <w:t>未发现虚假行为和骗取财政资金的问题。</w:t>
      </w:r>
    </w:p>
    <w:p w14:paraId="5E93DAE2">
      <w:pPr>
        <w:spacing w:line="360" w:lineRule="auto"/>
        <w:ind w:firstLine="560"/>
        <w:rPr>
          <w:rFonts w:ascii="仿宋_GB2312"/>
          <w:szCs w:val="28"/>
        </w:rPr>
      </w:pP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华文宋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18F34">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EB16C">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E93B9">
    <w:pPr>
      <w:pStyle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sdtPr>
    <w:sdtEndPr>
      <w:rPr>
        <w:rFonts w:hint="eastAsia" w:ascii="仿宋_GB2312" w:eastAsia="仿宋_GB2312"/>
        <w:sz w:val="21"/>
        <w:szCs w:val="21"/>
      </w:rPr>
    </w:sdtEndPr>
    <w:sdtContent>
      <w:p w14:paraId="69FB01FE">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6</w:t>
        </w:r>
        <w:r>
          <w:rPr>
            <w:rFonts w:hint="eastAsia" w:ascii="仿宋_GB2312" w:eastAsia="仿宋_GB2312"/>
            <w:sz w:val="21"/>
            <w:szCs w:val="21"/>
          </w:rPr>
          <w:fldChar w:fldCharType="end"/>
        </w:r>
      </w:p>
    </w:sdtContent>
  </w:sdt>
  <w:p w14:paraId="5D88581F">
    <w:pPr>
      <w:pStyle w:val="9"/>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sdtPr>
    <w:sdtEndPr>
      <w:rPr>
        <w:rFonts w:hint="eastAsia" w:ascii="仿宋_GB2312" w:eastAsia="仿宋_GB2312"/>
        <w:sz w:val="21"/>
        <w:szCs w:val="21"/>
      </w:rPr>
    </w:sdtEndPr>
    <w:sdtContent>
      <w:p w14:paraId="5270265B">
        <w:pPr>
          <w:pStyle w:val="9"/>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17</w:t>
        </w:r>
        <w:r>
          <w:rPr>
            <w:rFonts w:hint="eastAsia" w:ascii="仿宋_GB2312" w:eastAsia="仿宋_GB2312"/>
            <w:sz w:val="21"/>
            <w:szCs w:val="21"/>
          </w:rPr>
          <w:fldChar w:fldCharType="end"/>
        </w:r>
      </w:p>
    </w:sdtContent>
  </w:sdt>
  <w:p w14:paraId="337C6499">
    <w:pPr>
      <w:pStyle w:val="9"/>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
    <w:p>
      <w:pPr>
        <w:ind w:firstLine="560"/>
      </w:pPr>
      <w:r>
        <w:separator/>
      </w:r>
    </w:p>
  </w:footnote>
  <w:footnote w:type="continuationSeparator" w:id="7">
    <w:p>
      <w:pPr>
        <w:ind w:firstLine="560"/>
      </w:pPr>
      <w:r>
        <w:continuationSeparator/>
      </w:r>
    </w:p>
  </w:footnote>
  <w:footnote w:id="0">
    <w:p w14:paraId="25985DBC">
      <w:pPr>
        <w:pStyle w:val="12"/>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 w:id="1">
    <w:p w14:paraId="60EFD7A4">
      <w:pPr>
        <w:pStyle w:val="12"/>
        <w:ind w:firstLine="0" w:firstLineChars="0"/>
        <w:jc w:val="both"/>
        <w:rPr>
          <w:rFonts w:ascii="仿宋_GB2312"/>
        </w:rPr>
      </w:pPr>
      <w:r>
        <w:rPr>
          <w:rStyle w:val="20"/>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2">
    <w:p w14:paraId="6C308E09">
      <w:pPr>
        <w:pStyle w:val="12"/>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A8F1F">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8BD08F">
    <w:pPr>
      <w:pStyle w:val="1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6CD63">
    <w:pPr>
      <w:pStyle w:val="1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E199D">
    <w:pPr>
      <w:pStyle w:val="1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01F24">
    <w:pPr>
      <w:pStyle w:val="10"/>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900433"/>
    <w:multiLevelType w:val="singleLevel"/>
    <w:tmpl w:val="7B90043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doNotDisplayPageBoundaries w:val="1"/>
  <w:documentProtection w:enforcement="0"/>
  <w:defaultTabStop w:val="420"/>
  <w:drawingGridHorizontalSpacing w:val="140"/>
  <w:drawingGridVerticalSpacing w:val="381"/>
  <w:noPunctuationKerning w:val="1"/>
  <w:characterSpacingControl w:val="compressPunctuation"/>
  <w:footnotePr>
    <w:footnote w:id="6"/>
    <w:footnote w:id="7"/>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ODQxNDA0MTcwYWY4NTljNDA0MDliYTkyZTlkYTIifQ=="/>
  </w:docVars>
  <w:rsids>
    <w:rsidRoot w:val="00A43A0A"/>
    <w:rsid w:val="000142A5"/>
    <w:rsid w:val="00031A7F"/>
    <w:rsid w:val="00042151"/>
    <w:rsid w:val="000438A0"/>
    <w:rsid w:val="0007002C"/>
    <w:rsid w:val="00071C0F"/>
    <w:rsid w:val="00086724"/>
    <w:rsid w:val="00094112"/>
    <w:rsid w:val="000A2B58"/>
    <w:rsid w:val="000A43E8"/>
    <w:rsid w:val="000B520E"/>
    <w:rsid w:val="000B6FA0"/>
    <w:rsid w:val="000C22A1"/>
    <w:rsid w:val="000C23DB"/>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26BC5"/>
    <w:rsid w:val="00247354"/>
    <w:rsid w:val="00250131"/>
    <w:rsid w:val="00261F2F"/>
    <w:rsid w:val="00262533"/>
    <w:rsid w:val="00262B75"/>
    <w:rsid w:val="00265068"/>
    <w:rsid w:val="002767C9"/>
    <w:rsid w:val="002810AA"/>
    <w:rsid w:val="002A6E59"/>
    <w:rsid w:val="002B7C09"/>
    <w:rsid w:val="002E1E67"/>
    <w:rsid w:val="002E608B"/>
    <w:rsid w:val="00302E15"/>
    <w:rsid w:val="00311CFD"/>
    <w:rsid w:val="0032183D"/>
    <w:rsid w:val="0032329D"/>
    <w:rsid w:val="00332C71"/>
    <w:rsid w:val="00333EA5"/>
    <w:rsid w:val="00340CED"/>
    <w:rsid w:val="00343485"/>
    <w:rsid w:val="00350839"/>
    <w:rsid w:val="003766AB"/>
    <w:rsid w:val="00377BA7"/>
    <w:rsid w:val="003A151E"/>
    <w:rsid w:val="003C24DB"/>
    <w:rsid w:val="003C4A99"/>
    <w:rsid w:val="003C4BD9"/>
    <w:rsid w:val="003D611E"/>
    <w:rsid w:val="003D74DE"/>
    <w:rsid w:val="00404C10"/>
    <w:rsid w:val="0042251B"/>
    <w:rsid w:val="004249EE"/>
    <w:rsid w:val="00425C1F"/>
    <w:rsid w:val="00437C39"/>
    <w:rsid w:val="004467E2"/>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5020"/>
    <w:rsid w:val="005B7A28"/>
    <w:rsid w:val="005D02D3"/>
    <w:rsid w:val="005D2F48"/>
    <w:rsid w:val="005D4D5B"/>
    <w:rsid w:val="005D7B68"/>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A781A"/>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B99"/>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9F6022"/>
    <w:rsid w:val="00A00443"/>
    <w:rsid w:val="00A106CE"/>
    <w:rsid w:val="00A2064E"/>
    <w:rsid w:val="00A22963"/>
    <w:rsid w:val="00A425B1"/>
    <w:rsid w:val="00A43A0A"/>
    <w:rsid w:val="00A52E6C"/>
    <w:rsid w:val="00A52E72"/>
    <w:rsid w:val="00A675F9"/>
    <w:rsid w:val="00A80019"/>
    <w:rsid w:val="00A92F9F"/>
    <w:rsid w:val="00AA662A"/>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0454B"/>
    <w:rsid w:val="00C10C79"/>
    <w:rsid w:val="00C20C51"/>
    <w:rsid w:val="00C409B9"/>
    <w:rsid w:val="00C634EC"/>
    <w:rsid w:val="00C66545"/>
    <w:rsid w:val="00C8191C"/>
    <w:rsid w:val="00C927D9"/>
    <w:rsid w:val="00CA74C5"/>
    <w:rsid w:val="00CB3DFC"/>
    <w:rsid w:val="00CB6D38"/>
    <w:rsid w:val="00CC1349"/>
    <w:rsid w:val="00CE6337"/>
    <w:rsid w:val="00CF640C"/>
    <w:rsid w:val="00D04E2D"/>
    <w:rsid w:val="00D152B1"/>
    <w:rsid w:val="00D23DCB"/>
    <w:rsid w:val="00D3320C"/>
    <w:rsid w:val="00D435A3"/>
    <w:rsid w:val="00D44DDC"/>
    <w:rsid w:val="00D4562E"/>
    <w:rsid w:val="00D84293"/>
    <w:rsid w:val="00D91B83"/>
    <w:rsid w:val="00D9228E"/>
    <w:rsid w:val="00DA4BA7"/>
    <w:rsid w:val="00DB316E"/>
    <w:rsid w:val="00DB3BDE"/>
    <w:rsid w:val="00DC1EA8"/>
    <w:rsid w:val="00DC6D83"/>
    <w:rsid w:val="00DD54BF"/>
    <w:rsid w:val="00DF643F"/>
    <w:rsid w:val="00E00B28"/>
    <w:rsid w:val="00E014DB"/>
    <w:rsid w:val="00E04EC2"/>
    <w:rsid w:val="00E14FE5"/>
    <w:rsid w:val="00E24ACA"/>
    <w:rsid w:val="00E26770"/>
    <w:rsid w:val="00E30B1D"/>
    <w:rsid w:val="00E526C7"/>
    <w:rsid w:val="00E73F9C"/>
    <w:rsid w:val="00E75E83"/>
    <w:rsid w:val="00EA3169"/>
    <w:rsid w:val="00EA63EF"/>
    <w:rsid w:val="00EA7E72"/>
    <w:rsid w:val="00EB0442"/>
    <w:rsid w:val="00EC5F03"/>
    <w:rsid w:val="00EE20A2"/>
    <w:rsid w:val="00EF3B51"/>
    <w:rsid w:val="00F06D23"/>
    <w:rsid w:val="00F36E98"/>
    <w:rsid w:val="00F51823"/>
    <w:rsid w:val="00F52C6D"/>
    <w:rsid w:val="00F55451"/>
    <w:rsid w:val="00F73710"/>
    <w:rsid w:val="00F872E7"/>
    <w:rsid w:val="00F973E6"/>
    <w:rsid w:val="00FA4373"/>
    <w:rsid w:val="00FB09C6"/>
    <w:rsid w:val="00FB2BBD"/>
    <w:rsid w:val="00FD7A36"/>
    <w:rsid w:val="00FD7C5F"/>
    <w:rsid w:val="00FE193C"/>
    <w:rsid w:val="00FE7DCA"/>
    <w:rsid w:val="00FF0452"/>
    <w:rsid w:val="011473B7"/>
    <w:rsid w:val="02CB3931"/>
    <w:rsid w:val="0616596E"/>
    <w:rsid w:val="065546FA"/>
    <w:rsid w:val="067508F8"/>
    <w:rsid w:val="0CB101B0"/>
    <w:rsid w:val="0FC24482"/>
    <w:rsid w:val="10190546"/>
    <w:rsid w:val="10741C20"/>
    <w:rsid w:val="1638549E"/>
    <w:rsid w:val="17B44FF8"/>
    <w:rsid w:val="1840688C"/>
    <w:rsid w:val="19FE255B"/>
    <w:rsid w:val="1B6B1E72"/>
    <w:rsid w:val="1F7532BF"/>
    <w:rsid w:val="20B63B8F"/>
    <w:rsid w:val="245605CB"/>
    <w:rsid w:val="25FE7862"/>
    <w:rsid w:val="26355556"/>
    <w:rsid w:val="2CB371D5"/>
    <w:rsid w:val="2CEF46B1"/>
    <w:rsid w:val="2D157E8F"/>
    <w:rsid w:val="2E5811A8"/>
    <w:rsid w:val="2F061431"/>
    <w:rsid w:val="2FE73D65"/>
    <w:rsid w:val="304E7940"/>
    <w:rsid w:val="31EB11BF"/>
    <w:rsid w:val="3284589B"/>
    <w:rsid w:val="34F5482E"/>
    <w:rsid w:val="35595FD5"/>
    <w:rsid w:val="36CE3589"/>
    <w:rsid w:val="383B4C4E"/>
    <w:rsid w:val="39406294"/>
    <w:rsid w:val="39657AA9"/>
    <w:rsid w:val="3D6D433F"/>
    <w:rsid w:val="40DA0D7C"/>
    <w:rsid w:val="42097B6B"/>
    <w:rsid w:val="49715E7D"/>
    <w:rsid w:val="4B693428"/>
    <w:rsid w:val="4C2C4B82"/>
    <w:rsid w:val="4F235132"/>
    <w:rsid w:val="4F724B23"/>
    <w:rsid w:val="52A116FA"/>
    <w:rsid w:val="55802A8A"/>
    <w:rsid w:val="558E2409"/>
    <w:rsid w:val="559D264C"/>
    <w:rsid w:val="568D26C1"/>
    <w:rsid w:val="56A45C5C"/>
    <w:rsid w:val="572A6162"/>
    <w:rsid w:val="5AD22D98"/>
    <w:rsid w:val="5BF61DC6"/>
    <w:rsid w:val="5E9D2FCC"/>
    <w:rsid w:val="5ECA3D86"/>
    <w:rsid w:val="5F2771EF"/>
    <w:rsid w:val="5F98219B"/>
    <w:rsid w:val="5FB22441"/>
    <w:rsid w:val="6008100A"/>
    <w:rsid w:val="617A7CE6"/>
    <w:rsid w:val="61BE5E24"/>
    <w:rsid w:val="62B965EC"/>
    <w:rsid w:val="64CF20F6"/>
    <w:rsid w:val="69BB0E9B"/>
    <w:rsid w:val="70D171F6"/>
    <w:rsid w:val="71381023"/>
    <w:rsid w:val="71FB277D"/>
    <w:rsid w:val="723440D9"/>
    <w:rsid w:val="72E70F53"/>
    <w:rsid w:val="76564426"/>
    <w:rsid w:val="7A187C44"/>
    <w:rsid w:val="7F743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2">
    <w:name w:val="heading 1"/>
    <w:basedOn w:val="1"/>
    <w:next w:val="1"/>
    <w:link w:val="28"/>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3"/>
    <w:autoRedefine/>
    <w:unhideWhenUsed/>
    <w:qFormat/>
    <w:uiPriority w:val="9"/>
    <w:pPr>
      <w:keepNext/>
      <w:keepLines/>
      <w:spacing w:before="260" w:after="260" w:line="416" w:lineRule="auto"/>
      <w:outlineLvl w:val="2"/>
    </w:pPr>
    <w:rPr>
      <w:b/>
      <w:bCs/>
      <w:sz w:val="32"/>
      <w:szCs w:val="32"/>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30"/>
    <w:autoRedefine/>
    <w:unhideWhenUsed/>
    <w:qFormat/>
    <w:uiPriority w:val="99"/>
    <w:pPr>
      <w:jc w:val="left"/>
    </w:pPr>
  </w:style>
  <w:style w:type="paragraph" w:styleId="6">
    <w:name w:val="toc 3"/>
    <w:basedOn w:val="1"/>
    <w:next w:val="1"/>
    <w:autoRedefine/>
    <w:unhideWhenUsed/>
    <w:qFormat/>
    <w:uiPriority w:val="39"/>
    <w:pPr>
      <w:ind w:left="840" w:leftChars="400"/>
    </w:pPr>
  </w:style>
  <w:style w:type="paragraph" w:styleId="7">
    <w:name w:val="Date"/>
    <w:basedOn w:val="1"/>
    <w:next w:val="1"/>
    <w:link w:val="23"/>
    <w:autoRedefine/>
    <w:semiHidden/>
    <w:unhideWhenUsed/>
    <w:qFormat/>
    <w:uiPriority w:val="99"/>
    <w:pPr>
      <w:ind w:left="100" w:leftChars="2500"/>
    </w:pPr>
  </w:style>
  <w:style w:type="paragraph" w:styleId="8">
    <w:name w:val="Balloon Text"/>
    <w:basedOn w:val="1"/>
    <w:link w:val="32"/>
    <w:autoRedefine/>
    <w:semiHidden/>
    <w:unhideWhenUsed/>
    <w:qFormat/>
    <w:uiPriority w:val="99"/>
    <w:rPr>
      <w:sz w:val="18"/>
      <w:szCs w:val="18"/>
    </w:rPr>
  </w:style>
  <w:style w:type="paragraph" w:styleId="9">
    <w:name w:val="footer"/>
    <w:basedOn w:val="1"/>
    <w:link w:val="22"/>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0">
    <w:name w:val="header"/>
    <w:basedOn w:val="1"/>
    <w:link w:val="21"/>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1">
    <w:name w:val="toc 1"/>
    <w:basedOn w:val="1"/>
    <w:next w:val="1"/>
    <w:autoRedefine/>
    <w:unhideWhenUsed/>
    <w:qFormat/>
    <w:uiPriority w:val="39"/>
  </w:style>
  <w:style w:type="paragraph" w:styleId="12">
    <w:name w:val="footnote text"/>
    <w:basedOn w:val="1"/>
    <w:link w:val="25"/>
    <w:autoRedefine/>
    <w:semiHidden/>
    <w:unhideWhenUsed/>
    <w:qFormat/>
    <w:uiPriority w:val="99"/>
    <w:pPr>
      <w:snapToGrid w:val="0"/>
      <w:jc w:val="left"/>
    </w:pPr>
    <w:rPr>
      <w:sz w:val="18"/>
      <w:szCs w:val="18"/>
    </w:rPr>
  </w:style>
  <w:style w:type="paragraph" w:styleId="13">
    <w:name w:val="toc 2"/>
    <w:basedOn w:val="1"/>
    <w:next w:val="1"/>
    <w:autoRedefine/>
    <w:unhideWhenUsed/>
    <w:qFormat/>
    <w:uiPriority w:val="39"/>
    <w:pPr>
      <w:ind w:left="420" w:leftChars="200"/>
    </w:pPr>
  </w:style>
  <w:style w:type="paragraph" w:styleId="14">
    <w:name w:val="annotation subject"/>
    <w:basedOn w:val="5"/>
    <w:next w:val="5"/>
    <w:link w:val="31"/>
    <w:autoRedefine/>
    <w:semiHidden/>
    <w:unhideWhenUsed/>
    <w:qFormat/>
    <w:uiPriority w:val="99"/>
    <w:rPr>
      <w:b/>
      <w:bCs/>
    </w:rPr>
  </w:style>
  <w:style w:type="table" w:styleId="16">
    <w:name w:val="Table Grid"/>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Hyperlink"/>
    <w:basedOn w:val="17"/>
    <w:autoRedefine/>
    <w:unhideWhenUsed/>
    <w:qFormat/>
    <w:uiPriority w:val="99"/>
    <w:rPr>
      <w:color w:val="0563C1" w:themeColor="hyperlink"/>
      <w:u w:val="single"/>
      <w14:textFill>
        <w14:solidFill>
          <w14:schemeClr w14:val="hlink"/>
        </w14:solidFill>
      </w14:textFill>
    </w:rPr>
  </w:style>
  <w:style w:type="character" w:styleId="19">
    <w:name w:val="annotation reference"/>
    <w:basedOn w:val="17"/>
    <w:autoRedefine/>
    <w:semiHidden/>
    <w:unhideWhenUsed/>
    <w:qFormat/>
    <w:uiPriority w:val="99"/>
    <w:rPr>
      <w:sz w:val="21"/>
      <w:szCs w:val="21"/>
    </w:rPr>
  </w:style>
  <w:style w:type="character" w:styleId="20">
    <w:name w:val="footnote reference"/>
    <w:basedOn w:val="17"/>
    <w:autoRedefine/>
    <w:semiHidden/>
    <w:unhideWhenUsed/>
    <w:qFormat/>
    <w:uiPriority w:val="99"/>
    <w:rPr>
      <w:vertAlign w:val="superscript"/>
    </w:rPr>
  </w:style>
  <w:style w:type="character" w:customStyle="1" w:styleId="21">
    <w:name w:val="页眉 Char"/>
    <w:basedOn w:val="17"/>
    <w:link w:val="10"/>
    <w:autoRedefine/>
    <w:qFormat/>
    <w:uiPriority w:val="99"/>
    <w:rPr>
      <w:sz w:val="18"/>
      <w:szCs w:val="18"/>
    </w:rPr>
  </w:style>
  <w:style w:type="character" w:customStyle="1" w:styleId="22">
    <w:name w:val="页脚 Char"/>
    <w:basedOn w:val="17"/>
    <w:link w:val="9"/>
    <w:autoRedefine/>
    <w:qFormat/>
    <w:uiPriority w:val="99"/>
    <w:rPr>
      <w:sz w:val="18"/>
      <w:szCs w:val="18"/>
    </w:rPr>
  </w:style>
  <w:style w:type="character" w:customStyle="1" w:styleId="23">
    <w:name w:val="日期 Char"/>
    <w:basedOn w:val="17"/>
    <w:link w:val="7"/>
    <w:autoRedefine/>
    <w:semiHidden/>
    <w:qFormat/>
    <w:uiPriority w:val="99"/>
    <w:rPr>
      <w:rFonts w:ascii="Calibri" w:hAnsi="Calibri" w:eastAsia="仿宋_GB2312" w:cs="黑体"/>
      <w:sz w:val="28"/>
    </w:rPr>
  </w:style>
  <w:style w:type="character" w:customStyle="1" w:styleId="24">
    <w:name w:val="标题 2 Char"/>
    <w:basedOn w:val="17"/>
    <w:link w:val="3"/>
    <w:autoRedefine/>
    <w:qFormat/>
    <w:uiPriority w:val="9"/>
    <w:rPr>
      <w:rFonts w:asciiTheme="majorHAnsi" w:hAnsiTheme="majorHAnsi" w:eastAsiaTheme="majorEastAsia" w:cstheme="majorBidi"/>
      <w:b/>
      <w:bCs/>
      <w:sz w:val="32"/>
      <w:szCs w:val="32"/>
    </w:rPr>
  </w:style>
  <w:style w:type="character" w:customStyle="1" w:styleId="25">
    <w:name w:val="脚注文本 Char"/>
    <w:basedOn w:val="17"/>
    <w:link w:val="12"/>
    <w:autoRedefine/>
    <w:semiHidden/>
    <w:qFormat/>
    <w:uiPriority w:val="99"/>
    <w:rPr>
      <w:rFonts w:ascii="Calibri" w:hAnsi="Calibri" w:eastAsia="仿宋_GB2312" w:cs="黑体"/>
      <w:sz w:val="18"/>
      <w:szCs w:val="18"/>
    </w:rPr>
  </w:style>
  <w:style w:type="paragraph" w:styleId="26">
    <w:name w:val="List Paragraph"/>
    <w:basedOn w:val="1"/>
    <w:autoRedefine/>
    <w:qFormat/>
    <w:uiPriority w:val="34"/>
    <w:pPr>
      <w:ind w:firstLine="420"/>
    </w:pPr>
  </w:style>
  <w:style w:type="table" w:customStyle="1" w:styleId="27">
    <w:name w:val="网格型1"/>
    <w:basedOn w:val="1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8">
    <w:name w:val="标题 1 Char"/>
    <w:basedOn w:val="17"/>
    <w:link w:val="2"/>
    <w:autoRedefine/>
    <w:qFormat/>
    <w:uiPriority w:val="9"/>
    <w:rPr>
      <w:rFonts w:ascii="Calibri" w:hAnsi="Calibri" w:eastAsia="仿宋_GB2312" w:cs="黑体"/>
      <w:b/>
      <w:bCs/>
      <w:kern w:val="44"/>
      <w:sz w:val="44"/>
      <w:szCs w:val="44"/>
    </w:rPr>
  </w:style>
  <w:style w:type="paragraph" w:customStyle="1" w:styleId="29">
    <w:name w:val="TOC 标题1"/>
    <w:basedOn w:val="2"/>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0">
    <w:name w:val="批注文字 Char"/>
    <w:basedOn w:val="17"/>
    <w:link w:val="5"/>
    <w:autoRedefine/>
    <w:qFormat/>
    <w:uiPriority w:val="99"/>
    <w:rPr>
      <w:rFonts w:ascii="Calibri" w:hAnsi="Calibri" w:eastAsia="仿宋_GB2312" w:cs="黑体"/>
      <w:sz w:val="28"/>
    </w:rPr>
  </w:style>
  <w:style w:type="character" w:customStyle="1" w:styleId="31">
    <w:name w:val="批注主题 Char"/>
    <w:basedOn w:val="30"/>
    <w:link w:val="14"/>
    <w:autoRedefine/>
    <w:semiHidden/>
    <w:qFormat/>
    <w:uiPriority w:val="99"/>
    <w:rPr>
      <w:rFonts w:ascii="Calibri" w:hAnsi="Calibri" w:eastAsia="仿宋_GB2312" w:cs="黑体"/>
      <w:b/>
      <w:bCs/>
      <w:sz w:val="28"/>
    </w:rPr>
  </w:style>
  <w:style w:type="character" w:customStyle="1" w:styleId="32">
    <w:name w:val="批注框文本 Char"/>
    <w:basedOn w:val="17"/>
    <w:link w:val="8"/>
    <w:autoRedefine/>
    <w:semiHidden/>
    <w:qFormat/>
    <w:uiPriority w:val="99"/>
    <w:rPr>
      <w:rFonts w:ascii="Calibri" w:hAnsi="Calibri" w:eastAsia="仿宋_GB2312" w:cs="黑体"/>
      <w:sz w:val="18"/>
      <w:szCs w:val="18"/>
    </w:rPr>
  </w:style>
  <w:style w:type="character" w:customStyle="1" w:styleId="33">
    <w:name w:val="标题 3 Char"/>
    <w:basedOn w:val="17"/>
    <w:link w:val="4"/>
    <w:autoRedefine/>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7215</Words>
  <Characters>7524</Characters>
  <Lines>114</Lines>
  <Paragraphs>32</Paragraphs>
  <TotalTime>109</TotalTime>
  <ScaleCrop>false</ScaleCrop>
  <LinksUpToDate>false</LinksUpToDate>
  <CharactersWithSpaces>7660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A  刘文武贝</cp:lastModifiedBy>
  <cp:lastPrinted>2023-04-11T02:57:00Z</cp:lastPrinted>
  <dcterms:modified xsi:type="dcterms:W3CDTF">2024-12-19T03:05:12Z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3C80E944F20048C7A6AB8F9F297794F0_13</vt:lpwstr>
  </property>
  <property fmtid="{D5CDD505-2E9C-101B-9397-08002B2CF9AE}" pid="4" name="KSOTemplateDocerSaveRecord">
    <vt:lpwstr>eyJoZGlkIjoiMzYxMjlhNDBmMDQ5M2Q1ZDgyNjFmMGIwZjk4MDk2MzgiLCJ1c2VySWQiOiIzNzI2MDMzNTYifQ==</vt:lpwstr>
  </property>
</Properties>
</file>