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06933D">
      <w:pPr>
        <w:spacing w:line="480" w:lineRule="auto"/>
        <w:ind w:firstLine="0" w:firstLineChars="0"/>
        <w:rPr>
          <w:rFonts w:ascii="Times New Roman" w:hAnsi="Times New Roman" w:eastAsia="黑体" w:cs="Times New Roman"/>
          <w:b/>
          <w:kern w:val="0"/>
          <w:sz w:val="50"/>
          <w:szCs w:val="50"/>
          <w:lang w:bidi="en-US"/>
        </w:rPr>
      </w:pPr>
    </w:p>
    <w:p w14:paraId="7C456503">
      <w:pPr>
        <w:spacing w:line="480" w:lineRule="auto"/>
        <w:ind w:firstLine="0" w:firstLineChars="0"/>
        <w:rPr>
          <w:rFonts w:ascii="Times New Roman" w:hAnsi="Times New Roman" w:eastAsia="黑体" w:cs="Times New Roman"/>
          <w:b/>
          <w:kern w:val="0"/>
          <w:sz w:val="50"/>
          <w:szCs w:val="50"/>
          <w:lang w:bidi="en-US"/>
        </w:rPr>
      </w:pPr>
    </w:p>
    <w:p w14:paraId="504B429B">
      <w:pPr>
        <w:spacing w:line="480" w:lineRule="auto"/>
        <w:ind w:firstLine="0" w:firstLineChars="0"/>
        <w:jc w:val="center"/>
        <w:rPr>
          <w:rFonts w:ascii="Times New Roman" w:hAnsi="Times New Roman" w:eastAsia="黑体" w:cs="Times New Roman"/>
          <w:b/>
          <w:kern w:val="0"/>
          <w:sz w:val="50"/>
          <w:szCs w:val="50"/>
          <w:lang w:bidi="en-US"/>
        </w:rPr>
      </w:pPr>
    </w:p>
    <w:p w14:paraId="72471E08">
      <w:pPr>
        <w:spacing w:before="120" w:after="120" w:line="480" w:lineRule="auto"/>
        <w:ind w:firstLine="0" w:firstLineChars="0"/>
        <w:jc w:val="center"/>
        <w:rPr>
          <w:rFonts w:ascii="仿宋_GB2312" w:hAnsi="Arial"/>
          <w:b/>
          <w:sz w:val="44"/>
          <w:szCs w:val="44"/>
        </w:rPr>
      </w:pPr>
      <w:r>
        <w:rPr>
          <w:rFonts w:hint="eastAsia" w:ascii="仿宋_GB2312" w:hAnsi="Arial"/>
          <w:b/>
          <w:sz w:val="44"/>
          <w:szCs w:val="44"/>
        </w:rPr>
        <w:t>财政项目支出绩效评价报告</w:t>
      </w:r>
    </w:p>
    <w:p w14:paraId="2D57FE10">
      <w:pPr>
        <w:spacing w:line="480" w:lineRule="auto"/>
        <w:ind w:firstLine="0" w:firstLineChars="0"/>
        <w:jc w:val="center"/>
        <w:rPr>
          <w:rFonts w:ascii="Times New Roman" w:hAnsi="Times New Roman" w:eastAsia="黑体" w:cs="Times New Roman"/>
          <w:b/>
          <w:kern w:val="0"/>
          <w:sz w:val="50"/>
          <w:szCs w:val="50"/>
          <w:lang w:bidi="en-US"/>
        </w:rPr>
      </w:pPr>
    </w:p>
    <w:p w14:paraId="23BA67AF">
      <w:pPr>
        <w:spacing w:line="480" w:lineRule="auto"/>
        <w:ind w:firstLine="0" w:firstLineChars="0"/>
        <w:jc w:val="center"/>
        <w:rPr>
          <w:rFonts w:ascii="Times New Roman" w:hAnsi="Times New Roman" w:eastAsia="黑体" w:cs="Times New Roman"/>
          <w:b/>
          <w:kern w:val="0"/>
          <w:sz w:val="50"/>
          <w:szCs w:val="50"/>
          <w:lang w:bidi="en-US"/>
        </w:rPr>
      </w:pPr>
    </w:p>
    <w:p w14:paraId="41285D12">
      <w:pPr>
        <w:spacing w:line="480" w:lineRule="auto"/>
        <w:ind w:firstLine="0" w:firstLineChars="0"/>
        <w:jc w:val="center"/>
        <w:rPr>
          <w:rFonts w:ascii="Times New Roman" w:hAnsi="Times New Roman" w:eastAsia="黑体" w:cs="Times New Roman"/>
          <w:b/>
          <w:kern w:val="0"/>
          <w:sz w:val="50"/>
          <w:szCs w:val="50"/>
          <w:lang w:bidi="en-US"/>
        </w:rPr>
      </w:pPr>
    </w:p>
    <w:p w14:paraId="448753BB">
      <w:pPr>
        <w:spacing w:line="480" w:lineRule="auto"/>
        <w:ind w:firstLine="0" w:firstLineChars="0"/>
        <w:jc w:val="center"/>
        <w:rPr>
          <w:rFonts w:ascii="Times New Roman" w:hAnsi="Times New Roman" w:eastAsia="黑体" w:cs="Times New Roman"/>
          <w:b/>
          <w:kern w:val="0"/>
          <w:sz w:val="50"/>
          <w:szCs w:val="50"/>
          <w:lang w:bidi="en-US"/>
        </w:rPr>
      </w:pPr>
    </w:p>
    <w:p w14:paraId="16A3FEC2">
      <w:pPr>
        <w:spacing w:line="480" w:lineRule="auto"/>
        <w:ind w:firstLine="0" w:firstLineChars="0"/>
        <w:jc w:val="center"/>
        <w:rPr>
          <w:rFonts w:ascii="Times New Roman" w:hAnsi="Times New Roman" w:eastAsia="黑体" w:cs="Times New Roman"/>
          <w:b/>
          <w:kern w:val="0"/>
          <w:sz w:val="50"/>
          <w:szCs w:val="50"/>
          <w:lang w:bidi="en-US"/>
        </w:rPr>
      </w:pPr>
    </w:p>
    <w:p w14:paraId="2C711971">
      <w:pPr>
        <w:spacing w:line="480" w:lineRule="auto"/>
        <w:ind w:firstLine="0" w:firstLineChars="0"/>
        <w:jc w:val="center"/>
        <w:rPr>
          <w:rFonts w:ascii="Times New Roman" w:hAnsi="Times New Roman" w:eastAsia="黑体" w:cs="Times New Roman"/>
          <w:b/>
          <w:kern w:val="0"/>
          <w:sz w:val="50"/>
          <w:szCs w:val="50"/>
          <w:lang w:bidi="en-US"/>
        </w:rPr>
      </w:pPr>
    </w:p>
    <w:p w14:paraId="09E9CA0A">
      <w:pPr>
        <w:spacing w:line="480" w:lineRule="auto"/>
        <w:ind w:firstLine="0" w:firstLineChars="0"/>
        <w:jc w:val="center"/>
        <w:rPr>
          <w:rFonts w:ascii="仿宋_GB2312" w:hAnsi="Times New Roman" w:cs="Times New Roman"/>
          <w:kern w:val="0"/>
          <w:sz w:val="30"/>
          <w:szCs w:val="30"/>
          <w:lang w:bidi="en-US"/>
        </w:rPr>
      </w:pPr>
    </w:p>
    <w:p w14:paraId="29179F1B">
      <w:pPr>
        <w:spacing w:line="480" w:lineRule="auto"/>
        <w:ind w:firstLine="1411" w:firstLineChars="441"/>
        <w:jc w:val="center"/>
        <w:rPr>
          <w:rFonts w:hint="eastAsia" w:ascii="仿宋_GB2312" w:hAnsi="Times New Roman" w:cs="Times New Roman"/>
          <w:kern w:val="0"/>
          <w:sz w:val="32"/>
          <w:szCs w:val="32"/>
          <w:lang w:val="en-US" w:eastAsia="zh-CN" w:bidi="en-US"/>
        </w:rPr>
      </w:pPr>
      <w:r>
        <w:rPr>
          <w:rFonts w:hint="eastAsia" w:ascii="仿宋_GB2312" w:hAnsi="Times New Roman" w:cs="Times New Roman"/>
          <w:kern w:val="0"/>
          <w:sz w:val="32"/>
          <w:szCs w:val="32"/>
          <w:lang w:bidi="en-US"/>
        </w:rPr>
        <w:t>项目名称：乌鲁木齐市中医药传承创新发展示范试</w:t>
      </w:r>
      <w:r>
        <w:rPr>
          <w:rFonts w:hint="eastAsia" w:ascii="仿宋_GB2312" w:hAnsi="Times New Roman" w:cs="Times New Roman"/>
          <w:kern w:val="0"/>
          <w:sz w:val="32"/>
          <w:szCs w:val="32"/>
          <w:lang w:val="en-US" w:eastAsia="zh-CN" w:bidi="en-US"/>
        </w:rPr>
        <w:t xml:space="preserve">   </w:t>
      </w:r>
    </w:p>
    <w:p w14:paraId="68F887C5">
      <w:pPr>
        <w:spacing w:line="480" w:lineRule="auto"/>
        <w:ind w:firstLine="1411" w:firstLineChars="441"/>
        <w:jc w:val="center"/>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点项目市级财政经费</w:t>
      </w:r>
    </w:p>
    <w:p w14:paraId="217D7BDE">
      <w:pPr>
        <w:spacing w:line="480" w:lineRule="auto"/>
        <w:ind w:left="1238" w:leftChars="442" w:firstLine="128" w:firstLineChars="40"/>
        <w:jc w:val="center"/>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项目单位：</w:t>
      </w:r>
      <w:r>
        <w:rPr>
          <w:rFonts w:hint="eastAsia" w:ascii="仿宋_GB2312" w:hAnsi="Times New Roman" w:cs="Times New Roman"/>
          <w:kern w:val="0"/>
          <w:sz w:val="32"/>
          <w:szCs w:val="32"/>
          <w:lang w:val="en-US" w:eastAsia="zh-CN" w:bidi="en-US"/>
        </w:rPr>
        <w:t>乌鲁木齐市第一人民医院（乌鲁木齐儿童医院）</w:t>
      </w:r>
      <w:r>
        <w:rPr>
          <w:rFonts w:ascii="仿宋_GB2312" w:hAnsi="Times New Roman" w:cs="Times New Roman"/>
          <w:kern w:val="0"/>
          <w:sz w:val="32"/>
          <w:szCs w:val="32"/>
          <w:lang w:bidi="en-US"/>
        </w:rPr>
        <w:t xml:space="preserve"> </w:t>
      </w:r>
    </w:p>
    <w:p w14:paraId="71EA25EF">
      <w:pPr>
        <w:spacing w:line="480" w:lineRule="auto"/>
        <w:ind w:left="280" w:leftChars="100" w:firstLine="1091" w:firstLineChars="341"/>
        <w:jc w:val="left"/>
        <w:rPr>
          <w:rFonts w:hint="default" w:ascii="仿宋_GB2312" w:hAnsi="Times New Roman" w:eastAsia="仿宋_GB2312" w:cs="Times New Roman"/>
          <w:kern w:val="0"/>
          <w:sz w:val="32"/>
          <w:szCs w:val="32"/>
          <w:lang w:val="en-US" w:eastAsia="zh-CN" w:bidi="en-US"/>
        </w:rPr>
      </w:pPr>
      <w:r>
        <w:rPr>
          <w:rFonts w:hint="eastAsia" w:ascii="仿宋_GB2312" w:hAnsi="Times New Roman" w:cs="Times New Roman"/>
          <w:kern w:val="0"/>
          <w:sz w:val="32"/>
          <w:szCs w:val="32"/>
          <w:lang w:bidi="en-US"/>
        </w:rPr>
        <w:t>主管部门：</w:t>
      </w:r>
      <w:r>
        <w:rPr>
          <w:rFonts w:hint="eastAsia" w:ascii="仿宋_GB2312" w:hAnsi="Times New Roman" w:cs="Times New Roman"/>
          <w:kern w:val="0"/>
          <w:sz w:val="32"/>
          <w:szCs w:val="32"/>
          <w:lang w:val="en-US" w:eastAsia="zh-CN" w:bidi="en-US"/>
        </w:rPr>
        <w:t>乌鲁木齐市卫生健康委员会</w:t>
      </w:r>
    </w:p>
    <w:p w14:paraId="25C35376">
      <w:pPr>
        <w:spacing w:line="480" w:lineRule="auto"/>
        <w:ind w:left="280" w:leftChars="100" w:firstLine="1091" w:firstLineChars="341"/>
        <w:jc w:val="left"/>
        <w:rPr>
          <w:rFonts w:ascii="仿宋_GB2312" w:hAnsi="Times New Roman" w:cs="Times New Roman"/>
          <w:kern w:val="0"/>
          <w:sz w:val="32"/>
          <w:szCs w:val="32"/>
          <w:lang w:bidi="en-US"/>
        </w:rPr>
      </w:pPr>
    </w:p>
    <w:p w14:paraId="6605AB51">
      <w:pPr>
        <w:spacing w:line="480" w:lineRule="auto"/>
        <w:ind w:firstLine="1411" w:firstLineChars="441"/>
        <w:jc w:val="left"/>
        <w:rPr>
          <w:rFonts w:ascii="仿宋_GB2312" w:hAnsi="Times New Roman" w:cs="Times New Roman"/>
          <w:kern w:val="0"/>
          <w:sz w:val="32"/>
          <w:szCs w:val="32"/>
          <w:lang w:bidi="en-US"/>
        </w:rPr>
      </w:pPr>
    </w:p>
    <w:p w14:paraId="028A410F">
      <w:pPr>
        <w:spacing w:line="480" w:lineRule="auto"/>
        <w:ind w:firstLine="0" w:firstLineChars="0"/>
        <w:rPr>
          <w:rFonts w:ascii="黑体" w:hAnsi="Times New Roman" w:eastAsia="黑体" w:cs="Times New Roman"/>
          <w:b/>
          <w:kern w:val="0"/>
          <w:sz w:val="32"/>
          <w:szCs w:val="32"/>
          <w:lang w:bidi="en-US"/>
        </w:rPr>
      </w:pPr>
    </w:p>
    <w:p w14:paraId="0CEE8EE1">
      <w:pPr>
        <w:spacing w:line="480" w:lineRule="auto"/>
        <w:ind w:firstLine="0" w:firstLineChars="0"/>
        <w:rPr>
          <w:rFonts w:ascii="黑体" w:hAnsi="Times New Roman" w:eastAsia="黑体" w:cs="Times New Roman"/>
          <w:b/>
          <w:kern w:val="0"/>
          <w:sz w:val="32"/>
          <w:szCs w:val="32"/>
          <w:lang w:bidi="en-US"/>
        </w:rPr>
      </w:pPr>
    </w:p>
    <w:p w14:paraId="36EC0A95">
      <w:pPr>
        <w:spacing w:line="480" w:lineRule="auto"/>
        <w:ind w:firstLine="0" w:firstLineChars="0"/>
        <w:jc w:val="center"/>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202</w:t>
      </w:r>
      <w:r>
        <w:rPr>
          <w:rFonts w:hint="eastAsia" w:ascii="仿宋_GB2312" w:hAnsi="Times New Roman" w:cs="Times New Roman"/>
          <w:kern w:val="0"/>
          <w:sz w:val="32"/>
          <w:szCs w:val="32"/>
          <w:lang w:val="en-US" w:eastAsia="zh-CN" w:bidi="en-US"/>
        </w:rPr>
        <w:t>5</w:t>
      </w:r>
      <w:r>
        <w:rPr>
          <w:rFonts w:hint="eastAsia" w:ascii="仿宋_GB2312" w:hAnsi="Times New Roman" w:cs="Times New Roman"/>
          <w:kern w:val="0"/>
          <w:sz w:val="32"/>
          <w:szCs w:val="32"/>
          <w:lang w:bidi="en-US"/>
        </w:rPr>
        <w:t>年0</w:t>
      </w:r>
      <w:r>
        <w:rPr>
          <w:rFonts w:ascii="仿宋_GB2312" w:hAnsi="Times New Roman" w:cs="Times New Roman"/>
          <w:kern w:val="0"/>
          <w:sz w:val="32"/>
          <w:szCs w:val="32"/>
          <w:lang w:bidi="en-US"/>
        </w:rPr>
        <w:t>4</w:t>
      </w:r>
      <w:r>
        <w:rPr>
          <w:rFonts w:hint="eastAsia" w:ascii="仿宋_GB2312" w:hAnsi="Times New Roman" w:cs="Times New Roman"/>
          <w:kern w:val="0"/>
          <w:sz w:val="32"/>
          <w:szCs w:val="32"/>
          <w:lang w:bidi="en-US"/>
        </w:rPr>
        <w:t>月</w:t>
      </w:r>
    </w:p>
    <w:p w14:paraId="5BA953C3">
      <w:pPr>
        <w:spacing w:line="480" w:lineRule="auto"/>
        <w:ind w:firstLine="0" w:firstLineChars="0"/>
        <w:jc w:val="center"/>
        <w:rPr>
          <w:rFonts w:ascii="仿宋_GB2312" w:hAnsi="Times New Roman" w:cs="Times New Roman"/>
          <w:kern w:val="0"/>
          <w:sz w:val="32"/>
          <w:szCs w:val="32"/>
          <w:lang w:bidi="en-US"/>
        </w:rPr>
      </w:pPr>
    </w:p>
    <w:p w14:paraId="3980CAC9">
      <w:pPr>
        <w:tabs>
          <w:tab w:val="left" w:pos="3324"/>
        </w:tabs>
        <w:spacing w:line="480" w:lineRule="auto"/>
        <w:ind w:firstLine="0" w:firstLineChars="0"/>
        <w:rPr>
          <w:rFonts w:ascii="仿宋_GB2312" w:hAnsi="Times New Roman" w:cs="Times New Roman"/>
          <w:kern w:val="0"/>
          <w:sz w:val="32"/>
          <w:szCs w:val="32"/>
          <w:lang w:bidi="en-US"/>
        </w:rPr>
      </w:pPr>
      <w:r>
        <w:rPr>
          <w:rFonts w:ascii="仿宋_GB2312" w:hAnsi="Times New Roman" w:cs="Times New Roman"/>
          <w:kern w:val="0"/>
          <w:sz w:val="32"/>
          <w:szCs w:val="32"/>
          <w:lang w:bidi="en-US"/>
        </w:rPr>
        <w:tab/>
      </w:r>
    </w:p>
    <w:p w14:paraId="4D6CE97D">
      <w:pPr>
        <w:ind w:firstLine="640"/>
        <w:rPr>
          <w:rFonts w:ascii="仿宋_GB2312" w:hAnsi="Times New Roman" w:cs="Times New Roman"/>
          <w:kern w:val="0"/>
          <w:sz w:val="32"/>
          <w:szCs w:val="32"/>
          <w:lang w:bidi="en-US"/>
        </w:rPr>
      </w:pPr>
    </w:p>
    <w:sdt>
      <w:sdtPr>
        <w:rPr>
          <w:rFonts w:ascii="Calibri" w:hAnsi="Calibri" w:eastAsia="仿宋_GB2312" w:cs="黑体"/>
          <w:color w:val="auto"/>
          <w:kern w:val="2"/>
          <w:sz w:val="28"/>
          <w:szCs w:val="22"/>
          <w:lang w:val="zh-CN"/>
        </w:rPr>
        <w:id w:val="-1822651860"/>
        <w:docPartObj>
          <w:docPartGallery w:val="Table of Contents"/>
          <w:docPartUnique/>
        </w:docPartObj>
      </w:sdtPr>
      <w:sdtEndPr>
        <w:rPr>
          <w:rFonts w:ascii="Calibri" w:hAnsi="Calibri" w:eastAsia="仿宋_GB2312" w:cs="黑体"/>
          <w:b/>
          <w:bCs/>
          <w:color w:val="auto"/>
          <w:kern w:val="2"/>
          <w:sz w:val="28"/>
          <w:szCs w:val="22"/>
          <w:lang w:val="zh-CN"/>
        </w:rPr>
      </w:sdtEndPr>
      <w:sdtContent>
        <w:p w14:paraId="2115EB85">
          <w:pPr>
            <w:pStyle w:val="29"/>
            <w:ind w:firstLine="560"/>
            <w:jc w:val="center"/>
          </w:pPr>
          <w:r>
            <w:rPr>
              <w:lang w:val="zh-CN"/>
            </w:rPr>
            <w:t>目录</w:t>
          </w:r>
        </w:p>
        <w:p w14:paraId="3BA5AAA2">
          <w:pPr>
            <w:pStyle w:val="11"/>
            <w:tabs>
              <w:tab w:val="right" w:leader="dot" w:pos="8296"/>
            </w:tabs>
            <w:ind w:firstLine="560"/>
            <w:rPr>
              <w:rFonts w:asciiTheme="minorHAnsi" w:hAnsiTheme="minorHAnsi" w:eastAsiaTheme="minorEastAsia" w:cstheme="minorBidi"/>
              <w:sz w:val="21"/>
            </w:rPr>
          </w:pPr>
          <w:r>
            <w:fldChar w:fldCharType="begin"/>
          </w:r>
          <w:r>
            <w:instrText xml:space="preserve"> TOC \o "1-3" \h \z \u </w:instrText>
          </w:r>
          <w:r>
            <w:fldChar w:fldCharType="separate"/>
          </w:r>
          <w:r>
            <w:fldChar w:fldCharType="begin"/>
          </w:r>
          <w:r>
            <w:instrText xml:space="preserve"> HYPERLINK \l "_Toc165277220" </w:instrText>
          </w:r>
          <w:r>
            <w:fldChar w:fldCharType="separate"/>
          </w:r>
          <w:r>
            <w:rPr>
              <w:rStyle w:val="18"/>
              <w:rFonts w:hint="eastAsia" w:ascii="仿宋" w:hAnsi="仿宋" w:eastAsia="仿宋"/>
              <w:lang w:bidi="en-US"/>
            </w:rPr>
            <w:t>一、基本情况</w:t>
          </w:r>
          <w:r>
            <w:tab/>
          </w:r>
          <w:r>
            <w:fldChar w:fldCharType="begin"/>
          </w:r>
          <w:r>
            <w:instrText xml:space="preserve"> PAGEREF _Toc165277220 \h </w:instrText>
          </w:r>
          <w:r>
            <w:fldChar w:fldCharType="separate"/>
          </w:r>
          <w:r>
            <w:t>1</w:t>
          </w:r>
          <w:r>
            <w:fldChar w:fldCharType="end"/>
          </w:r>
          <w:r>
            <w:fldChar w:fldCharType="end"/>
          </w:r>
        </w:p>
        <w:p w14:paraId="5D8FE550">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"_Toc165277221" </w:instrText>
          </w:r>
          <w:r>
            <w:fldChar w:fldCharType="separate"/>
          </w:r>
          <w:r>
            <w:rPr>
              <w:rStyle w:val="18"/>
              <w:rFonts w:hint="eastAsia" w:ascii="仿宋" w:hAnsi="仿宋" w:eastAsia="仿宋"/>
              <w:lang w:bidi="en-US"/>
            </w:rPr>
            <w:t>（一）项目概况：</w:t>
          </w:r>
          <w:r>
            <w:tab/>
          </w:r>
          <w:r>
            <w:fldChar w:fldCharType="begin"/>
          </w:r>
          <w:r>
            <w:instrText xml:space="preserve"> PAGEREF _Toc165277221 \h </w:instrText>
          </w:r>
          <w:r>
            <w:fldChar w:fldCharType="separate"/>
          </w:r>
          <w:r>
            <w:t>1</w:t>
          </w:r>
          <w:r>
            <w:fldChar w:fldCharType="end"/>
          </w:r>
          <w:r>
            <w:fldChar w:fldCharType="end"/>
          </w:r>
        </w:p>
        <w:p w14:paraId="745D0D71">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"_Toc165277222" </w:instrText>
          </w:r>
          <w:r>
            <w:fldChar w:fldCharType="separate"/>
          </w:r>
          <w:r>
            <w:rPr>
              <w:rStyle w:val="18"/>
            </w:rPr>
            <w:t>1</w:t>
          </w:r>
          <w:r>
            <w:rPr>
              <w:rStyle w:val="18"/>
              <w:rFonts w:hint="eastAsia"/>
            </w:rPr>
            <w:t>．项目背景、主要内容及实施情况</w:t>
          </w:r>
          <w:r>
            <w:tab/>
          </w:r>
          <w:r>
            <w:fldChar w:fldCharType="begin"/>
          </w:r>
          <w:r>
            <w:instrText xml:space="preserve"> PAGEREF _Toc165277222 \h </w:instrText>
          </w:r>
          <w:r>
            <w:fldChar w:fldCharType="separate"/>
          </w:r>
          <w:r>
            <w:t>1</w:t>
          </w:r>
          <w:r>
            <w:fldChar w:fldCharType="end"/>
          </w:r>
          <w:r>
            <w:fldChar w:fldCharType="end"/>
          </w:r>
        </w:p>
        <w:p w14:paraId="30D9B105">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"_Toc165277223" </w:instrText>
          </w:r>
          <w:r>
            <w:fldChar w:fldCharType="separate"/>
          </w:r>
          <w:r>
            <w:rPr>
              <w:rStyle w:val="18"/>
            </w:rPr>
            <w:t>2.</w:t>
          </w:r>
          <w:r>
            <w:rPr>
              <w:rStyle w:val="18"/>
              <w:rFonts w:hint="eastAsia"/>
            </w:rPr>
            <w:t>资金投入和使用情况</w:t>
          </w:r>
          <w:r>
            <w:tab/>
          </w:r>
          <w:r>
            <w:fldChar w:fldCharType="begin"/>
          </w:r>
          <w:r>
            <w:instrText xml:space="preserve"> PAGEREF _Toc165277223 \h </w:instrText>
          </w:r>
          <w:r>
            <w:fldChar w:fldCharType="separate"/>
          </w:r>
          <w:r>
            <w:t>1</w:t>
          </w:r>
          <w:r>
            <w:fldChar w:fldCharType="end"/>
          </w:r>
          <w:r>
            <w:fldChar w:fldCharType="end"/>
          </w:r>
        </w:p>
        <w:p w14:paraId="2A68E828">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"_Toc165277224" </w:instrText>
          </w:r>
          <w:r>
            <w:fldChar w:fldCharType="separate"/>
          </w:r>
          <w:r>
            <w:rPr>
              <w:rStyle w:val="18"/>
              <w:rFonts w:hint="eastAsia" w:ascii="仿宋" w:hAnsi="仿宋" w:eastAsia="仿宋"/>
              <w:lang w:bidi="en-US"/>
            </w:rPr>
            <w:t>（二）项目绩效目标：</w:t>
          </w:r>
          <w:r>
            <w:tab/>
          </w:r>
          <w:r>
            <w:fldChar w:fldCharType="begin"/>
          </w:r>
          <w:r>
            <w:instrText xml:space="preserve"> PAGEREF _Toc165277224 \h </w:instrText>
          </w:r>
          <w:r>
            <w:fldChar w:fldCharType="separate"/>
          </w:r>
          <w:r>
            <w:t>1</w:t>
          </w:r>
          <w:r>
            <w:fldChar w:fldCharType="end"/>
          </w:r>
          <w:r>
            <w:fldChar w:fldCharType="end"/>
          </w:r>
        </w:p>
        <w:p w14:paraId="159F0A1F">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"_Toc165277225" </w:instrText>
          </w:r>
          <w:r>
            <w:fldChar w:fldCharType="separate"/>
          </w:r>
          <w:r>
            <w:rPr>
              <w:rStyle w:val="18"/>
              <w:rFonts w:hint="eastAsia" w:ascii="仿宋" w:hAnsi="仿宋" w:eastAsia="仿宋"/>
              <w:lang w:bidi="en-US"/>
            </w:rPr>
            <w:t>二、绩效评价工作开展情况</w:t>
          </w:r>
          <w:r>
            <w:tab/>
          </w:r>
          <w:r>
            <w:fldChar w:fldCharType="begin"/>
          </w:r>
          <w:r>
            <w:instrText xml:space="preserve"> PAGEREF _Toc165277225 \h </w:instrText>
          </w:r>
          <w:r>
            <w:fldChar w:fldCharType="separate"/>
          </w:r>
          <w:r>
            <w:t>2</w:t>
          </w:r>
          <w:r>
            <w:fldChar w:fldCharType="end"/>
          </w:r>
          <w:r>
            <w:fldChar w:fldCharType="end"/>
          </w:r>
        </w:p>
        <w:p w14:paraId="1153F499">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"_Toc165277226" </w:instrText>
          </w:r>
          <w:r>
            <w:fldChar w:fldCharType="separate"/>
          </w:r>
          <w:r>
            <w:rPr>
              <w:rStyle w:val="18"/>
              <w:rFonts w:hint="eastAsia" w:ascii="仿宋" w:hAnsi="仿宋" w:eastAsia="仿宋"/>
              <w:lang w:bidi="en-US"/>
            </w:rPr>
            <w:t>（一）绩效评价目的、对象和范围</w:t>
          </w:r>
          <w:r>
            <w:tab/>
          </w:r>
          <w:r>
            <w:fldChar w:fldCharType="begin"/>
          </w:r>
          <w:r>
            <w:instrText xml:space="preserve"> PAGEREF _Toc165277226 \h </w:instrText>
          </w:r>
          <w:r>
            <w:fldChar w:fldCharType="separate"/>
          </w:r>
          <w:r>
            <w:t>2</w:t>
          </w:r>
          <w:r>
            <w:fldChar w:fldCharType="end"/>
          </w:r>
          <w:r>
            <w:fldChar w:fldCharType="end"/>
          </w:r>
        </w:p>
        <w:p w14:paraId="5CDB40EF">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"_Toc165277227" </w:instrText>
          </w:r>
          <w:r>
            <w:fldChar w:fldCharType="separate"/>
          </w:r>
          <w:r>
            <w:rPr>
              <w:rStyle w:val="18"/>
            </w:rPr>
            <w:t>1.</w:t>
          </w:r>
          <w:r>
            <w:rPr>
              <w:rStyle w:val="18"/>
              <w:rFonts w:hint="eastAsia"/>
            </w:rPr>
            <w:t>绩效评价完整性</w:t>
          </w:r>
          <w:r>
            <w:tab/>
          </w:r>
          <w:r>
            <w:fldChar w:fldCharType="begin"/>
          </w:r>
          <w:r>
            <w:instrText xml:space="preserve"> PAGEREF _Toc165277227 \h </w:instrText>
          </w:r>
          <w:r>
            <w:fldChar w:fldCharType="separate"/>
          </w:r>
          <w:r>
            <w:t>2</w:t>
          </w:r>
          <w:r>
            <w:fldChar w:fldCharType="end"/>
          </w:r>
          <w:r>
            <w:fldChar w:fldCharType="end"/>
          </w:r>
        </w:p>
        <w:p w14:paraId="6257093B">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"_Toc165277228" </w:instrText>
          </w:r>
          <w:r>
            <w:fldChar w:fldCharType="separate"/>
          </w:r>
          <w:r>
            <w:rPr>
              <w:rStyle w:val="18"/>
            </w:rPr>
            <w:t>2.</w:t>
          </w:r>
          <w:r>
            <w:rPr>
              <w:rStyle w:val="18"/>
              <w:rFonts w:hint="eastAsia"/>
            </w:rPr>
            <w:t>评价目的</w:t>
          </w:r>
          <w:r>
            <w:tab/>
          </w:r>
          <w:r>
            <w:fldChar w:fldCharType="begin"/>
          </w:r>
          <w:r>
            <w:instrText xml:space="preserve"> PAGEREF _Toc165277228 \h </w:instrText>
          </w:r>
          <w:r>
            <w:fldChar w:fldCharType="separate"/>
          </w:r>
          <w:r>
            <w:t>3</w:t>
          </w:r>
          <w:r>
            <w:fldChar w:fldCharType="end"/>
          </w:r>
          <w:r>
            <w:fldChar w:fldCharType="end"/>
          </w:r>
        </w:p>
        <w:p w14:paraId="400A18AA">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"_Toc165277229" </w:instrText>
          </w:r>
          <w:r>
            <w:fldChar w:fldCharType="separate"/>
          </w:r>
          <w:r>
            <w:rPr>
              <w:rStyle w:val="18"/>
            </w:rPr>
            <w:t>3.</w:t>
          </w:r>
          <w:r>
            <w:rPr>
              <w:rStyle w:val="18"/>
              <w:rFonts w:hint="eastAsia"/>
            </w:rPr>
            <w:t>评价对象</w:t>
          </w:r>
          <w:r>
            <w:tab/>
          </w:r>
          <w:r>
            <w:fldChar w:fldCharType="begin"/>
          </w:r>
          <w:r>
            <w:instrText xml:space="preserve"> PAGEREF _Toc165277229 \h </w:instrText>
          </w:r>
          <w:r>
            <w:fldChar w:fldCharType="separate"/>
          </w:r>
          <w:r>
            <w:t>3</w:t>
          </w:r>
          <w:r>
            <w:fldChar w:fldCharType="end"/>
          </w:r>
          <w:r>
            <w:fldChar w:fldCharType="end"/>
          </w:r>
        </w:p>
        <w:p w14:paraId="5E6111BD">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"_Toc165277230" </w:instrText>
          </w:r>
          <w:r>
            <w:fldChar w:fldCharType="separate"/>
          </w:r>
          <w:r>
            <w:rPr>
              <w:rStyle w:val="18"/>
            </w:rPr>
            <w:t>4.</w:t>
          </w:r>
          <w:r>
            <w:rPr>
              <w:rStyle w:val="18"/>
              <w:rFonts w:hint="eastAsia"/>
            </w:rPr>
            <w:t>绩效评价范围</w:t>
          </w:r>
          <w:r>
            <w:tab/>
          </w:r>
          <w:r>
            <w:fldChar w:fldCharType="begin"/>
          </w:r>
          <w:r>
            <w:instrText xml:space="preserve"> PAGEREF _Toc165277230 \h </w:instrText>
          </w:r>
          <w:r>
            <w:fldChar w:fldCharType="separate"/>
          </w:r>
          <w:r>
            <w:t>3</w:t>
          </w:r>
          <w:r>
            <w:fldChar w:fldCharType="end"/>
          </w:r>
          <w:r>
            <w:fldChar w:fldCharType="end"/>
          </w:r>
        </w:p>
        <w:p w14:paraId="4CF273A6">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"_Toc165277231" </w:instrText>
          </w:r>
          <w:r>
            <w:fldChar w:fldCharType="separate"/>
          </w:r>
          <w:r>
            <w:rPr>
              <w:rStyle w:val="18"/>
              <w:rFonts w:hint="eastAsia" w:ascii="仿宋" w:hAnsi="仿宋" w:eastAsia="仿宋"/>
              <w:lang w:bidi="en-US"/>
            </w:rPr>
            <w:t>（二）绩效评价原则、指标体系、方法及标准</w:t>
          </w:r>
          <w:r>
            <w:tab/>
          </w:r>
          <w:r>
            <w:fldChar w:fldCharType="begin"/>
          </w:r>
          <w:r>
            <w:instrText xml:space="preserve"> PAGEREF _Toc165277231 \h </w:instrText>
          </w:r>
          <w:r>
            <w:fldChar w:fldCharType="separate"/>
          </w:r>
          <w:r>
            <w:t>4</w:t>
          </w:r>
          <w:r>
            <w:fldChar w:fldCharType="end"/>
          </w:r>
          <w:r>
            <w:fldChar w:fldCharType="end"/>
          </w:r>
        </w:p>
        <w:p w14:paraId="0C4B880A">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"_Toc165277232" </w:instrText>
          </w:r>
          <w:r>
            <w:fldChar w:fldCharType="separate"/>
          </w:r>
          <w:r>
            <w:rPr>
              <w:rStyle w:val="18"/>
            </w:rPr>
            <w:t>1.</w:t>
          </w:r>
          <w:r>
            <w:rPr>
              <w:rStyle w:val="18"/>
              <w:rFonts w:hint="eastAsia"/>
            </w:rPr>
            <w:t>评价原则</w:t>
          </w:r>
          <w:r>
            <w:tab/>
          </w:r>
          <w:r>
            <w:fldChar w:fldCharType="begin"/>
          </w:r>
          <w:r>
            <w:instrText xml:space="preserve"> PAGEREF _Toc165277232 \h </w:instrText>
          </w:r>
          <w:r>
            <w:fldChar w:fldCharType="separate"/>
          </w:r>
          <w:r>
            <w:t>4</w:t>
          </w:r>
          <w:r>
            <w:fldChar w:fldCharType="end"/>
          </w:r>
          <w:r>
            <w:fldChar w:fldCharType="end"/>
          </w:r>
        </w:p>
        <w:p w14:paraId="48AEAE37">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"_Toc165277233" </w:instrText>
          </w:r>
          <w:r>
            <w:fldChar w:fldCharType="separate"/>
          </w:r>
          <w:r>
            <w:rPr>
              <w:rStyle w:val="18"/>
            </w:rPr>
            <w:t>2.</w:t>
          </w:r>
          <w:r>
            <w:rPr>
              <w:rStyle w:val="18"/>
              <w:rFonts w:hint="eastAsia"/>
            </w:rPr>
            <w:t>评价指标体系</w:t>
          </w:r>
          <w:r>
            <w:tab/>
          </w:r>
          <w:r>
            <w:fldChar w:fldCharType="begin"/>
          </w:r>
          <w:r>
            <w:instrText xml:space="preserve"> PAGEREF _Toc165277233 \h </w:instrText>
          </w:r>
          <w:r>
            <w:fldChar w:fldCharType="separate"/>
          </w:r>
          <w:r>
            <w:t>4</w:t>
          </w:r>
          <w:r>
            <w:fldChar w:fldCharType="end"/>
          </w:r>
          <w:r>
            <w:fldChar w:fldCharType="end"/>
          </w:r>
        </w:p>
        <w:p w14:paraId="705E51DD">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"_Toc165277234" </w:instrText>
          </w:r>
          <w:r>
            <w:fldChar w:fldCharType="separate"/>
          </w:r>
          <w:r>
            <w:rPr>
              <w:rStyle w:val="18"/>
            </w:rPr>
            <w:t>3.</w:t>
          </w:r>
          <w:r>
            <w:rPr>
              <w:rStyle w:val="18"/>
              <w:rFonts w:hint="eastAsia"/>
            </w:rPr>
            <w:t>评价方法</w:t>
          </w:r>
          <w:r>
            <w:tab/>
          </w:r>
          <w:r>
            <w:fldChar w:fldCharType="begin"/>
          </w:r>
          <w:r>
            <w:instrText xml:space="preserve"> PAGEREF _Toc165277234 \h </w:instrText>
          </w:r>
          <w:r>
            <w:fldChar w:fldCharType="separate"/>
          </w:r>
          <w:r>
            <w:t>12</w:t>
          </w:r>
          <w:r>
            <w:fldChar w:fldCharType="end"/>
          </w:r>
          <w:r>
            <w:fldChar w:fldCharType="end"/>
          </w:r>
        </w:p>
        <w:p w14:paraId="6D777BFA">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"_Toc165277235" </w:instrText>
          </w:r>
          <w:r>
            <w:fldChar w:fldCharType="separate"/>
          </w:r>
          <w:r>
            <w:rPr>
              <w:rStyle w:val="18"/>
            </w:rPr>
            <w:t>4.</w:t>
          </w:r>
          <w:r>
            <w:rPr>
              <w:rStyle w:val="18"/>
              <w:rFonts w:hint="eastAsia"/>
            </w:rPr>
            <w:t>评价标准</w:t>
          </w:r>
          <w:r>
            <w:tab/>
          </w:r>
          <w:r>
            <w:fldChar w:fldCharType="begin"/>
          </w:r>
          <w:r>
            <w:instrText xml:space="preserve"> PAGEREF _Toc165277235 \h </w:instrText>
          </w:r>
          <w:r>
            <w:fldChar w:fldCharType="separate"/>
          </w:r>
          <w:r>
            <w:t>13</w:t>
          </w:r>
          <w:r>
            <w:fldChar w:fldCharType="end"/>
          </w:r>
          <w:r>
            <w:fldChar w:fldCharType="end"/>
          </w:r>
        </w:p>
        <w:p w14:paraId="1BDC06DB">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"_Toc165277236" </w:instrText>
          </w:r>
          <w:r>
            <w:fldChar w:fldCharType="separate"/>
          </w:r>
          <w:r>
            <w:rPr>
              <w:rStyle w:val="18"/>
              <w:rFonts w:hint="eastAsia" w:ascii="仿宋" w:hAnsi="仿宋" w:eastAsia="仿宋"/>
              <w:lang w:bidi="en-US"/>
            </w:rPr>
            <w:t>（三）绩效评价工作过程</w:t>
          </w:r>
          <w:r>
            <w:tab/>
          </w:r>
          <w:r>
            <w:fldChar w:fldCharType="begin"/>
          </w:r>
          <w:r>
            <w:instrText xml:space="preserve"> PAGEREF _Toc165277236 \h </w:instrText>
          </w:r>
          <w:r>
            <w:fldChar w:fldCharType="separate"/>
          </w:r>
          <w:r>
            <w:t>13</w:t>
          </w:r>
          <w:r>
            <w:fldChar w:fldCharType="end"/>
          </w:r>
          <w:r>
            <w:fldChar w:fldCharType="end"/>
          </w:r>
        </w:p>
        <w:p w14:paraId="62FFBBB9">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"_Toc165277237" </w:instrText>
          </w:r>
          <w:r>
            <w:fldChar w:fldCharType="separate"/>
          </w:r>
          <w:r>
            <w:rPr>
              <w:rStyle w:val="18"/>
              <w:rFonts w:hint="eastAsia" w:ascii="仿宋" w:hAnsi="仿宋" w:eastAsia="仿宋"/>
              <w:lang w:bidi="en-US"/>
            </w:rPr>
            <w:t>三、综合评价情况及评价结论</w:t>
          </w:r>
          <w:r>
            <w:tab/>
          </w:r>
          <w:r>
            <w:fldChar w:fldCharType="begin"/>
          </w:r>
          <w:r>
            <w:instrText xml:space="preserve"> PAGEREF _Toc165277237 \h </w:instrText>
          </w:r>
          <w:r>
            <w:fldChar w:fldCharType="separate"/>
          </w:r>
          <w:r>
            <w:t>14</w:t>
          </w:r>
          <w:r>
            <w:fldChar w:fldCharType="end"/>
          </w:r>
          <w:r>
            <w:fldChar w:fldCharType="end"/>
          </w:r>
        </w:p>
        <w:p w14:paraId="07D1A2F1">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"_Toc165277238" </w:instrText>
          </w:r>
          <w:r>
            <w:fldChar w:fldCharType="separate"/>
          </w:r>
          <w:r>
            <w:rPr>
              <w:rStyle w:val="18"/>
              <w:rFonts w:hint="eastAsia" w:ascii="仿宋" w:hAnsi="仿宋" w:eastAsia="仿宋"/>
              <w:lang w:bidi="en-US"/>
            </w:rPr>
            <w:t>（一）评价结论</w:t>
          </w:r>
          <w:r>
            <w:tab/>
          </w:r>
          <w:r>
            <w:fldChar w:fldCharType="begin"/>
          </w:r>
          <w:r>
            <w:instrText xml:space="preserve"> PAGEREF _Toc165277238 \h </w:instrText>
          </w:r>
          <w:r>
            <w:fldChar w:fldCharType="separate"/>
          </w:r>
          <w:r>
            <w:t>14</w:t>
          </w:r>
          <w:r>
            <w:fldChar w:fldCharType="end"/>
          </w:r>
          <w:r>
            <w:fldChar w:fldCharType="end"/>
          </w:r>
        </w:p>
        <w:p w14:paraId="1064BF43">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"_Toc165277239" </w:instrText>
          </w:r>
          <w:r>
            <w:fldChar w:fldCharType="separate"/>
          </w:r>
          <w:r>
            <w:rPr>
              <w:rStyle w:val="18"/>
              <w:rFonts w:hint="eastAsia" w:ascii="仿宋" w:hAnsi="仿宋" w:eastAsia="仿宋"/>
              <w:lang w:bidi="en-US"/>
            </w:rPr>
            <w:t>（二）主要绩效</w:t>
          </w:r>
          <w:r>
            <w:tab/>
          </w:r>
          <w:r>
            <w:fldChar w:fldCharType="begin"/>
          </w:r>
          <w:r>
            <w:instrText xml:space="preserve"> PAGEREF _Toc165277239 \h </w:instrText>
          </w:r>
          <w:r>
            <w:fldChar w:fldCharType="separate"/>
          </w:r>
          <w:r>
            <w:t>15</w:t>
          </w:r>
          <w:r>
            <w:fldChar w:fldCharType="end"/>
          </w:r>
          <w:r>
            <w:fldChar w:fldCharType="end"/>
          </w:r>
        </w:p>
        <w:p w14:paraId="040A1A4D">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"_Toc165277240" </w:instrText>
          </w:r>
          <w:r>
            <w:fldChar w:fldCharType="separate"/>
          </w:r>
          <w:r>
            <w:rPr>
              <w:rStyle w:val="18"/>
              <w:rFonts w:hint="eastAsia" w:ascii="仿宋" w:hAnsi="仿宋" w:eastAsia="仿宋"/>
              <w:lang w:bidi="en-US"/>
            </w:rPr>
            <w:t>四、绩效评价指标分析</w:t>
          </w:r>
          <w:r>
            <w:tab/>
          </w:r>
          <w:r>
            <w:fldChar w:fldCharType="begin"/>
          </w:r>
          <w:r>
            <w:instrText xml:space="preserve"> PAGEREF _Toc165277240 \h </w:instrText>
          </w:r>
          <w:r>
            <w:fldChar w:fldCharType="separate"/>
          </w:r>
          <w:r>
            <w:t>15</w:t>
          </w:r>
          <w:r>
            <w:fldChar w:fldCharType="end"/>
          </w:r>
          <w:r>
            <w:fldChar w:fldCharType="end"/>
          </w:r>
        </w:p>
        <w:p w14:paraId="129FAEDA">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"_Toc165277241" </w:instrText>
          </w:r>
          <w:r>
            <w:fldChar w:fldCharType="separate"/>
          </w:r>
          <w:r>
            <w:rPr>
              <w:rStyle w:val="18"/>
              <w:rFonts w:hint="eastAsia" w:ascii="仿宋" w:hAnsi="仿宋" w:eastAsia="仿宋"/>
              <w:lang w:bidi="en-US"/>
            </w:rPr>
            <w:t>（一）项目决策情况</w:t>
          </w:r>
          <w:r>
            <w:tab/>
          </w:r>
          <w:r>
            <w:fldChar w:fldCharType="begin"/>
          </w:r>
          <w:r>
            <w:instrText xml:space="preserve"> PAGEREF _Toc165277241 \h </w:instrText>
          </w:r>
          <w:r>
            <w:fldChar w:fldCharType="separate"/>
          </w:r>
          <w:r>
            <w:t>15</w:t>
          </w:r>
          <w:r>
            <w:fldChar w:fldCharType="end"/>
          </w:r>
          <w:r>
            <w:fldChar w:fldCharType="end"/>
          </w:r>
        </w:p>
        <w:p w14:paraId="1303A17D">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"_Toc165277242" </w:instrText>
          </w:r>
          <w:r>
            <w:fldChar w:fldCharType="separate"/>
          </w:r>
          <w:r>
            <w:rPr>
              <w:rStyle w:val="18"/>
            </w:rPr>
            <w:t>1.</w:t>
          </w:r>
          <w:r>
            <w:rPr>
              <w:rStyle w:val="18"/>
              <w:rFonts w:hint="eastAsia"/>
            </w:rPr>
            <w:t>项目立项</w:t>
          </w:r>
          <w:r>
            <w:tab/>
          </w:r>
          <w:r>
            <w:fldChar w:fldCharType="begin"/>
          </w:r>
          <w:r>
            <w:instrText xml:space="preserve"> PAGEREF _Toc165277242 \h </w:instrText>
          </w:r>
          <w:r>
            <w:fldChar w:fldCharType="separate"/>
          </w:r>
          <w:r>
            <w:t>16</w:t>
          </w:r>
          <w:r>
            <w:fldChar w:fldCharType="end"/>
          </w:r>
          <w:r>
            <w:fldChar w:fldCharType="end"/>
          </w:r>
        </w:p>
        <w:p w14:paraId="0D56E60B">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"_Toc165277243" </w:instrText>
          </w:r>
          <w:r>
            <w:fldChar w:fldCharType="separate"/>
          </w:r>
          <w:r>
            <w:rPr>
              <w:rStyle w:val="18"/>
            </w:rPr>
            <w:t>2.</w:t>
          </w:r>
          <w:r>
            <w:rPr>
              <w:rStyle w:val="18"/>
              <w:rFonts w:hint="eastAsia"/>
            </w:rPr>
            <w:t>绩效目标</w:t>
          </w:r>
          <w:r>
            <w:tab/>
          </w:r>
          <w:r>
            <w:fldChar w:fldCharType="begin"/>
          </w:r>
          <w:r>
            <w:instrText xml:space="preserve"> PAGEREF _Toc165277243 \h </w:instrText>
          </w:r>
          <w:r>
            <w:fldChar w:fldCharType="separate"/>
          </w:r>
          <w:r>
            <w:t>16</w:t>
          </w:r>
          <w:r>
            <w:fldChar w:fldCharType="end"/>
          </w:r>
          <w:r>
            <w:fldChar w:fldCharType="end"/>
          </w:r>
        </w:p>
        <w:p w14:paraId="59C3FF39">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"_Toc165277244" </w:instrText>
          </w:r>
          <w:r>
            <w:fldChar w:fldCharType="separate"/>
          </w:r>
          <w:r>
            <w:rPr>
              <w:rStyle w:val="18"/>
            </w:rPr>
            <w:t>3.</w:t>
          </w:r>
          <w:r>
            <w:rPr>
              <w:rStyle w:val="18"/>
              <w:rFonts w:hint="eastAsia"/>
            </w:rPr>
            <w:t>资金投入</w:t>
          </w:r>
          <w:r>
            <w:tab/>
          </w:r>
          <w:r>
            <w:fldChar w:fldCharType="begin"/>
          </w:r>
          <w:r>
            <w:instrText xml:space="preserve"> PAGEREF _Toc165277244 \h </w:instrText>
          </w:r>
          <w:r>
            <w:fldChar w:fldCharType="separate"/>
          </w:r>
          <w:r>
            <w:t>17</w:t>
          </w:r>
          <w:r>
            <w:fldChar w:fldCharType="end"/>
          </w:r>
          <w:r>
            <w:fldChar w:fldCharType="end"/>
          </w:r>
        </w:p>
        <w:p w14:paraId="4F2315A2">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"_Toc165277245" </w:instrText>
          </w:r>
          <w:r>
            <w:fldChar w:fldCharType="separate"/>
          </w:r>
          <w:r>
            <w:rPr>
              <w:rStyle w:val="18"/>
              <w:rFonts w:hint="eastAsia" w:ascii="仿宋" w:hAnsi="仿宋" w:eastAsia="仿宋"/>
              <w:lang w:bidi="en-US"/>
            </w:rPr>
            <w:t>（二）项目过程情况</w:t>
          </w:r>
          <w:r>
            <w:tab/>
          </w:r>
          <w:r>
            <w:fldChar w:fldCharType="begin"/>
          </w:r>
          <w:r>
            <w:instrText xml:space="preserve"> PAGEREF _Toc165277245 \h </w:instrText>
          </w:r>
          <w:r>
            <w:fldChar w:fldCharType="separate"/>
          </w:r>
          <w:r>
            <w:t>17</w:t>
          </w:r>
          <w:r>
            <w:fldChar w:fldCharType="end"/>
          </w:r>
          <w:r>
            <w:fldChar w:fldCharType="end"/>
          </w:r>
        </w:p>
        <w:p w14:paraId="1001BF39">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"_Toc165277246" </w:instrText>
          </w:r>
          <w:r>
            <w:fldChar w:fldCharType="separate"/>
          </w:r>
          <w:r>
            <w:rPr>
              <w:rStyle w:val="18"/>
            </w:rPr>
            <w:t>1.</w:t>
          </w:r>
          <w:r>
            <w:rPr>
              <w:rStyle w:val="18"/>
              <w:rFonts w:hint="eastAsia"/>
            </w:rPr>
            <w:t>资金管理</w:t>
          </w:r>
          <w:r>
            <w:tab/>
          </w:r>
          <w:r>
            <w:fldChar w:fldCharType="begin"/>
          </w:r>
          <w:r>
            <w:instrText xml:space="preserve"> PAGEREF _Toc165277246 \h </w:instrText>
          </w:r>
          <w:r>
            <w:fldChar w:fldCharType="separate"/>
          </w:r>
          <w:r>
            <w:t>17</w:t>
          </w:r>
          <w:r>
            <w:fldChar w:fldCharType="end"/>
          </w:r>
          <w:r>
            <w:fldChar w:fldCharType="end"/>
          </w:r>
        </w:p>
        <w:p w14:paraId="2E11993E">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"_Toc165277247" </w:instrText>
          </w:r>
          <w:r>
            <w:fldChar w:fldCharType="separate"/>
          </w:r>
          <w:r>
            <w:rPr>
              <w:rStyle w:val="18"/>
            </w:rPr>
            <w:t>2.</w:t>
          </w:r>
          <w:r>
            <w:rPr>
              <w:rStyle w:val="18"/>
              <w:rFonts w:hint="eastAsia"/>
            </w:rPr>
            <w:t>组织实施</w:t>
          </w:r>
          <w:r>
            <w:tab/>
          </w:r>
          <w:r>
            <w:fldChar w:fldCharType="begin"/>
          </w:r>
          <w:r>
            <w:instrText xml:space="preserve"> PAGEREF _Toc165277247 \h </w:instrText>
          </w:r>
          <w:r>
            <w:fldChar w:fldCharType="separate"/>
          </w:r>
          <w:r>
            <w:t>18</w:t>
          </w:r>
          <w:r>
            <w:fldChar w:fldCharType="end"/>
          </w:r>
          <w:r>
            <w:fldChar w:fldCharType="end"/>
          </w:r>
        </w:p>
        <w:p w14:paraId="7430A774">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"_Toc165277248" </w:instrText>
          </w:r>
          <w:r>
            <w:fldChar w:fldCharType="separate"/>
          </w:r>
          <w:r>
            <w:rPr>
              <w:rStyle w:val="18"/>
              <w:rFonts w:hint="eastAsia" w:ascii="仿宋" w:hAnsi="仿宋" w:eastAsia="仿宋"/>
              <w:lang w:bidi="en-US"/>
            </w:rPr>
            <w:t>（三）项目产出情况</w:t>
          </w:r>
          <w:r>
            <w:tab/>
          </w:r>
          <w:r>
            <w:fldChar w:fldCharType="begin"/>
          </w:r>
          <w:r>
            <w:instrText xml:space="preserve"> PAGEREF _Toc165277248 \h </w:instrText>
          </w:r>
          <w:r>
            <w:fldChar w:fldCharType="separate"/>
          </w:r>
          <w:r>
            <w:t>18</w:t>
          </w:r>
          <w:r>
            <w:fldChar w:fldCharType="end"/>
          </w:r>
          <w:r>
            <w:fldChar w:fldCharType="end"/>
          </w:r>
        </w:p>
        <w:p w14:paraId="0994F55F">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"_Toc165277249" </w:instrText>
          </w:r>
          <w:r>
            <w:fldChar w:fldCharType="separate"/>
          </w:r>
          <w:r>
            <w:rPr>
              <w:rStyle w:val="18"/>
            </w:rPr>
            <w:t>1.</w:t>
          </w:r>
          <w:r>
            <w:rPr>
              <w:rStyle w:val="18"/>
              <w:rFonts w:hint="eastAsia"/>
            </w:rPr>
            <w:t>产出数量</w:t>
          </w:r>
          <w:r>
            <w:tab/>
          </w:r>
          <w:r>
            <w:fldChar w:fldCharType="begin"/>
          </w:r>
          <w:r>
            <w:instrText xml:space="preserve"> PAGEREF _Toc165277249 \h </w:instrText>
          </w:r>
          <w:r>
            <w:fldChar w:fldCharType="separate"/>
          </w:r>
          <w:r>
            <w:t>18</w:t>
          </w:r>
          <w:r>
            <w:fldChar w:fldCharType="end"/>
          </w:r>
          <w:r>
            <w:fldChar w:fldCharType="end"/>
          </w:r>
        </w:p>
        <w:p w14:paraId="3295E41A">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"_Toc165277250" </w:instrText>
          </w:r>
          <w:r>
            <w:fldChar w:fldCharType="separate"/>
          </w:r>
          <w:r>
            <w:rPr>
              <w:rStyle w:val="18"/>
            </w:rPr>
            <w:t>2.</w:t>
          </w:r>
          <w:r>
            <w:rPr>
              <w:rStyle w:val="18"/>
              <w:rFonts w:hint="eastAsia"/>
            </w:rPr>
            <w:t>产出质量</w:t>
          </w:r>
          <w:r>
            <w:tab/>
          </w:r>
          <w:r>
            <w:fldChar w:fldCharType="begin"/>
          </w:r>
          <w:r>
            <w:instrText xml:space="preserve"> PAGEREF _Toc165277250 \h </w:instrText>
          </w:r>
          <w:r>
            <w:fldChar w:fldCharType="separate"/>
          </w:r>
          <w:r>
            <w:t>19</w:t>
          </w:r>
          <w:r>
            <w:fldChar w:fldCharType="end"/>
          </w:r>
          <w:r>
            <w:fldChar w:fldCharType="end"/>
          </w:r>
        </w:p>
        <w:p w14:paraId="3B5C81D4">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"_Toc165277251" </w:instrText>
          </w:r>
          <w:r>
            <w:fldChar w:fldCharType="separate"/>
          </w:r>
          <w:r>
            <w:rPr>
              <w:rStyle w:val="18"/>
            </w:rPr>
            <w:t>3.</w:t>
          </w:r>
          <w:r>
            <w:rPr>
              <w:rStyle w:val="18"/>
              <w:rFonts w:hint="eastAsia"/>
            </w:rPr>
            <w:t>产出时效</w:t>
          </w:r>
          <w:r>
            <w:tab/>
          </w:r>
          <w:r>
            <w:fldChar w:fldCharType="begin"/>
          </w:r>
          <w:r>
            <w:instrText xml:space="preserve"> PAGEREF _Toc165277251 \h </w:instrText>
          </w:r>
          <w:r>
            <w:fldChar w:fldCharType="separate"/>
          </w:r>
          <w:r>
            <w:t>19</w:t>
          </w:r>
          <w:r>
            <w:fldChar w:fldCharType="end"/>
          </w:r>
          <w:r>
            <w:fldChar w:fldCharType="end"/>
          </w:r>
        </w:p>
        <w:p w14:paraId="66ED6752">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"_Toc165277252" </w:instrText>
          </w:r>
          <w:r>
            <w:fldChar w:fldCharType="separate"/>
          </w:r>
          <w:r>
            <w:rPr>
              <w:rStyle w:val="18"/>
            </w:rPr>
            <w:t>4.</w:t>
          </w:r>
          <w:r>
            <w:rPr>
              <w:rStyle w:val="18"/>
              <w:rFonts w:hint="eastAsia"/>
            </w:rPr>
            <w:t>产出成本</w:t>
          </w:r>
          <w:r>
            <w:tab/>
          </w:r>
          <w:r>
            <w:fldChar w:fldCharType="begin"/>
          </w:r>
          <w:r>
            <w:instrText xml:space="preserve"> PAGEREF _Toc165277252 \h </w:instrText>
          </w:r>
          <w:r>
            <w:fldChar w:fldCharType="separate"/>
          </w:r>
          <w:r>
            <w:t>19</w:t>
          </w:r>
          <w:r>
            <w:fldChar w:fldCharType="end"/>
          </w:r>
          <w:r>
            <w:fldChar w:fldCharType="end"/>
          </w:r>
        </w:p>
        <w:p w14:paraId="3CA1B5AB">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"_Toc165277253" </w:instrText>
          </w:r>
          <w:r>
            <w:fldChar w:fldCharType="separate"/>
          </w:r>
          <w:r>
            <w:rPr>
              <w:rStyle w:val="18"/>
              <w:rFonts w:hint="eastAsia" w:ascii="仿宋" w:hAnsi="仿宋" w:eastAsia="仿宋"/>
              <w:lang w:bidi="en-US"/>
            </w:rPr>
            <w:t>（四）项目效益情况</w:t>
          </w:r>
          <w:r>
            <w:tab/>
          </w:r>
          <w:r>
            <w:fldChar w:fldCharType="begin"/>
          </w:r>
          <w:r>
            <w:instrText xml:space="preserve"> PAGEREF _Toc165277253 \h </w:instrText>
          </w:r>
          <w:r>
            <w:fldChar w:fldCharType="separate"/>
          </w:r>
          <w:r>
            <w:t>19</w:t>
          </w:r>
          <w:r>
            <w:fldChar w:fldCharType="end"/>
          </w:r>
          <w:r>
            <w:fldChar w:fldCharType="end"/>
          </w:r>
        </w:p>
        <w:p w14:paraId="22C324C9">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"_Toc165277254" </w:instrText>
          </w:r>
          <w:r>
            <w:fldChar w:fldCharType="separate"/>
          </w:r>
          <w:r>
            <w:rPr>
              <w:rStyle w:val="18"/>
            </w:rPr>
            <w:t>1.</w:t>
          </w:r>
          <w:r>
            <w:rPr>
              <w:rStyle w:val="18"/>
              <w:rFonts w:hint="eastAsia"/>
            </w:rPr>
            <w:t>项目效益</w:t>
          </w:r>
          <w:r>
            <w:tab/>
          </w:r>
          <w:r>
            <w:fldChar w:fldCharType="begin"/>
          </w:r>
          <w:r>
            <w:instrText xml:space="preserve"> PAGEREF _Toc165277254 \h </w:instrText>
          </w:r>
          <w:r>
            <w:fldChar w:fldCharType="separate"/>
          </w:r>
          <w:r>
            <w:t>19</w:t>
          </w:r>
          <w:r>
            <w:fldChar w:fldCharType="end"/>
          </w:r>
          <w:r>
            <w:fldChar w:fldCharType="end"/>
          </w:r>
        </w:p>
        <w:p w14:paraId="3366E752">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"_Toc165277255" </w:instrText>
          </w:r>
          <w:r>
            <w:fldChar w:fldCharType="separate"/>
          </w:r>
          <w:r>
            <w:rPr>
              <w:rStyle w:val="18"/>
            </w:rPr>
            <w:t xml:space="preserve">2. </w:t>
          </w:r>
          <w:r>
            <w:rPr>
              <w:rStyle w:val="18"/>
              <w:rFonts w:hint="eastAsia"/>
            </w:rPr>
            <w:t>满意度指标完成情况分析</w:t>
          </w:r>
          <w:r>
            <w:tab/>
          </w:r>
          <w:r>
            <w:fldChar w:fldCharType="begin"/>
          </w:r>
          <w:r>
            <w:instrText xml:space="preserve"> PAGEREF _Toc165277255 \h </w:instrText>
          </w:r>
          <w:r>
            <w:fldChar w:fldCharType="separate"/>
          </w:r>
          <w:r>
            <w:t>20</w:t>
          </w:r>
          <w:r>
            <w:fldChar w:fldCharType="end"/>
          </w:r>
          <w:r>
            <w:fldChar w:fldCharType="end"/>
          </w:r>
        </w:p>
        <w:p w14:paraId="0DC50664">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"_Toc165277256" </w:instrText>
          </w:r>
          <w:r>
            <w:fldChar w:fldCharType="separate"/>
          </w:r>
          <w:r>
            <w:rPr>
              <w:rStyle w:val="18"/>
              <w:rFonts w:hint="eastAsia" w:ascii="仿宋" w:hAnsi="仿宋" w:eastAsia="仿宋"/>
              <w:lang w:bidi="en-US"/>
            </w:rPr>
            <w:t>五、主要经验及做法、存在的问题及原因分析</w:t>
          </w:r>
          <w:r>
            <w:tab/>
          </w:r>
          <w:r>
            <w:fldChar w:fldCharType="begin"/>
          </w:r>
          <w:r>
            <w:instrText xml:space="preserve"> PAGEREF _Toc165277256 \h </w:instrText>
          </w:r>
          <w:r>
            <w:fldChar w:fldCharType="separate"/>
          </w:r>
          <w:r>
            <w:t>20</w:t>
          </w:r>
          <w:r>
            <w:fldChar w:fldCharType="end"/>
          </w:r>
          <w:r>
            <w:fldChar w:fldCharType="end"/>
          </w:r>
        </w:p>
        <w:p w14:paraId="5A92D662">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"_Toc165277257" </w:instrText>
          </w:r>
          <w:r>
            <w:fldChar w:fldCharType="separate"/>
          </w:r>
          <w:r>
            <w:rPr>
              <w:rStyle w:val="18"/>
              <w:rFonts w:hint="eastAsia" w:ascii="仿宋" w:hAnsi="仿宋" w:eastAsia="仿宋"/>
              <w:lang w:bidi="en-US"/>
            </w:rPr>
            <w:t>（一）主要经验及做法</w:t>
          </w:r>
          <w:r>
            <w:tab/>
          </w:r>
          <w:r>
            <w:fldChar w:fldCharType="begin"/>
          </w:r>
          <w:r>
            <w:instrText xml:space="preserve"> PAGEREF _Toc165277257 \h </w:instrText>
          </w:r>
          <w:r>
            <w:fldChar w:fldCharType="separate"/>
          </w:r>
          <w:r>
            <w:t>20</w:t>
          </w:r>
          <w:r>
            <w:fldChar w:fldCharType="end"/>
          </w:r>
          <w:r>
            <w:fldChar w:fldCharType="end"/>
          </w:r>
        </w:p>
        <w:p w14:paraId="4E37664F">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"_Toc165277258" </w:instrText>
          </w:r>
          <w:r>
            <w:fldChar w:fldCharType="separate"/>
          </w:r>
          <w:r>
            <w:rPr>
              <w:rStyle w:val="18"/>
              <w:rFonts w:hint="eastAsia" w:ascii="仿宋" w:hAnsi="仿宋" w:eastAsia="仿宋"/>
              <w:lang w:bidi="en-US"/>
            </w:rPr>
            <w:t>（二）存在的问题及原因分析</w:t>
          </w:r>
          <w:r>
            <w:tab/>
          </w:r>
          <w:r>
            <w:fldChar w:fldCharType="begin"/>
          </w:r>
          <w:r>
            <w:instrText xml:space="preserve"> PAGEREF _Toc165277258 \h </w:instrText>
          </w:r>
          <w:r>
            <w:fldChar w:fldCharType="separate"/>
          </w:r>
          <w:r>
            <w:t>20</w:t>
          </w:r>
          <w:r>
            <w:fldChar w:fldCharType="end"/>
          </w:r>
          <w:r>
            <w:fldChar w:fldCharType="end"/>
          </w:r>
        </w:p>
        <w:p w14:paraId="3E5CD671">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"_Toc165277259" </w:instrText>
          </w:r>
          <w:r>
            <w:fldChar w:fldCharType="separate"/>
          </w:r>
          <w:r>
            <w:rPr>
              <w:rStyle w:val="18"/>
              <w:rFonts w:hint="eastAsia" w:ascii="仿宋" w:hAnsi="仿宋" w:eastAsia="仿宋"/>
              <w:lang w:bidi="en-US"/>
            </w:rPr>
            <w:t>六、有关建议</w:t>
          </w:r>
          <w:r>
            <w:tab/>
          </w:r>
          <w:r>
            <w:fldChar w:fldCharType="begin"/>
          </w:r>
          <w:r>
            <w:instrText xml:space="preserve"> PAGEREF _Toc165277259 \h </w:instrText>
          </w:r>
          <w:r>
            <w:fldChar w:fldCharType="separate"/>
          </w:r>
          <w:r>
            <w:t>21</w:t>
          </w:r>
          <w:r>
            <w:fldChar w:fldCharType="end"/>
          </w:r>
          <w:r>
            <w:fldChar w:fldCharType="end"/>
          </w:r>
        </w:p>
        <w:p w14:paraId="0A9B7C8E">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"_Toc165277260" </w:instrText>
          </w:r>
          <w:r>
            <w:fldChar w:fldCharType="separate"/>
          </w:r>
          <w:r>
            <w:rPr>
              <w:rStyle w:val="18"/>
              <w:rFonts w:hint="eastAsia" w:ascii="仿宋" w:hAnsi="仿宋" w:eastAsia="仿宋"/>
              <w:lang w:bidi="en-US"/>
            </w:rPr>
            <w:t>七、其他需要说明的问题</w:t>
          </w:r>
          <w:r>
            <w:tab/>
          </w:r>
          <w:r>
            <w:fldChar w:fldCharType="begin"/>
          </w:r>
          <w:r>
            <w:instrText xml:space="preserve"> PAGEREF _Toc165277260 \h </w:instrText>
          </w:r>
          <w:r>
            <w:fldChar w:fldCharType="separate"/>
          </w:r>
          <w:r>
            <w:t>21</w:t>
          </w:r>
          <w:r>
            <w:fldChar w:fldCharType="end"/>
          </w:r>
          <w:r>
            <w:fldChar w:fldCharType="end"/>
          </w:r>
        </w:p>
        <w:p w14:paraId="60F8FEFE">
          <w:pPr>
            <w:ind w:firstLine="562"/>
          </w:pPr>
          <w:r>
            <w:rPr>
              <w:b/>
              <w:bCs/>
              <w:lang w:val="zh-CN"/>
            </w:rPr>
            <w:fldChar w:fldCharType="end"/>
          </w:r>
        </w:p>
      </w:sdtContent>
    </w:sdt>
    <w:p w14:paraId="29843E9E">
      <w:pPr>
        <w:ind w:firstLine="598" w:firstLineChars="187"/>
        <w:rPr>
          <w:rFonts w:ascii="仿宋_GB2312" w:hAnsi="Times New Roman" w:cs="Times New Roman"/>
          <w:sz w:val="32"/>
          <w:szCs w:val="32"/>
          <w:lang w:bidi="en-US"/>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14:paraId="29C75A7E">
      <w:pPr>
        <w:pStyle w:val="2"/>
        <w:ind w:firstLine="0" w:firstLineChars="0"/>
        <w:jc w:val="left"/>
        <w:rPr>
          <w:rFonts w:ascii="仿宋" w:hAnsi="仿宋" w:eastAsia="仿宋"/>
          <w:sz w:val="36"/>
          <w:szCs w:val="36"/>
          <w:lang w:bidi="en-US"/>
        </w:rPr>
      </w:pPr>
      <w:bookmarkStart w:id="0" w:name="_Toc165277220"/>
      <w:bookmarkStart w:id="1" w:name="_Toc67911601"/>
      <w:r>
        <w:rPr>
          <w:rFonts w:hint="eastAsia" w:ascii="仿宋" w:hAnsi="仿宋" w:eastAsia="仿宋"/>
          <w:sz w:val="36"/>
          <w:szCs w:val="36"/>
          <w:lang w:bidi="en-US"/>
        </w:rPr>
        <w:t>一、基本情况</w:t>
      </w:r>
      <w:bookmarkEnd w:id="0"/>
      <w:bookmarkEnd w:id="1"/>
    </w:p>
    <w:p w14:paraId="6B66B8E8">
      <w:pPr>
        <w:pStyle w:val="3"/>
        <w:ind w:firstLine="643"/>
        <w:rPr>
          <w:rFonts w:ascii="仿宋" w:hAnsi="仿宋" w:eastAsia="仿宋"/>
          <w:lang w:bidi="en-US"/>
        </w:rPr>
      </w:pPr>
      <w:bookmarkStart w:id="2" w:name="_Toc165277221"/>
      <w:bookmarkStart w:id="3" w:name="_Toc67911602"/>
      <w:r>
        <w:rPr>
          <w:rFonts w:hint="eastAsia" w:ascii="仿宋" w:hAnsi="仿宋" w:eastAsia="仿宋"/>
          <w:lang w:bidi="en-US"/>
        </w:rPr>
        <w:t>（一）项目概况</w:t>
      </w:r>
      <w:bookmarkStart w:id="62" w:name="_GoBack"/>
      <w:bookmarkEnd w:id="62"/>
      <w:r>
        <w:rPr>
          <w:rFonts w:hint="eastAsia" w:ascii="仿宋" w:hAnsi="仿宋" w:eastAsia="仿宋"/>
          <w:lang w:bidi="en-US"/>
        </w:rPr>
        <w:t>：</w:t>
      </w:r>
      <w:bookmarkEnd w:id="2"/>
      <w:bookmarkEnd w:id="3"/>
    </w:p>
    <w:p w14:paraId="61E89559">
      <w:pPr>
        <w:pStyle w:val="4"/>
        <w:ind w:firstLine="643"/>
      </w:pPr>
      <w:bookmarkStart w:id="4" w:name="_Toc165277222"/>
      <w:r>
        <w:rPr>
          <w:rFonts w:hint="eastAsia"/>
        </w:rPr>
        <w:t>1．项目背景、主要内容及实施情况</w:t>
      </w:r>
      <w:bookmarkEnd w:id="4"/>
    </w:p>
    <w:p w14:paraId="3BF6B8CE">
      <w:pPr>
        <w:spacing w:line="360" w:lineRule="auto"/>
        <w:ind w:firstLine="560"/>
        <w:rPr>
          <w:rFonts w:hint="eastAsia" w:ascii="仿宋_GB2312"/>
          <w:lang w:val="en-US" w:eastAsia="zh-CN"/>
        </w:rPr>
      </w:pPr>
      <w:r>
        <w:rPr>
          <w:rFonts w:hint="eastAsia" w:ascii="仿宋_GB2312"/>
          <w:lang w:val="en-US" w:eastAsia="zh-CN"/>
        </w:rPr>
        <w:t>该项目实施背景：根据《中共中央国务院关于促进中医药传承创新发展的意见》及《自治区促进中医药传承创新发展的实施意见》文件精神，传承创新发展中医药是新时代中国特色社会主义事业的重要内容，是中华民族伟大复兴的大事，对于坚持中西医并重、打造中医药和西医药相互补充协调发展的中国特色卫生健康发展模式，发挥中医药原创优势、推动我国生命科学实现创新突破，弘扬中华优秀传统文化、增强民族自信和文化自信，促进文明互鉴和民心相通、推动构建人类命运共同体具有重要意义。为深入贯彻习近平新时代中国特色社会主义思想和党的十九大精神，认真落实习近平总书记关于中医药工作的重要论述，促进中医药传承创新发展。</w:t>
      </w:r>
    </w:p>
    <w:p w14:paraId="39A0B0C0">
      <w:pPr>
        <w:spacing w:line="360" w:lineRule="auto"/>
        <w:ind w:firstLine="560"/>
        <w:rPr>
          <w:rFonts w:hint="eastAsia" w:ascii="仿宋_GB2312"/>
          <w:lang w:val="en-US" w:eastAsia="zh-CN"/>
        </w:rPr>
      </w:pPr>
      <w:r>
        <w:rPr>
          <w:rFonts w:hint="eastAsia" w:ascii="仿宋_GB2312"/>
          <w:lang w:val="en-US" w:eastAsia="zh-CN"/>
        </w:rPr>
        <w:t>项目2024年的主要实施内容：①为进一步贯彻落实国家卫生健康委等3部委《关于进一步加强综合医院中医药工作推动中西医协同发展的意见》，借助全市大力推进综合医院中医药工作、促进综合医院中西医协同发展的机遇，在市卫生健康委的指导和支持下，根据《三级中西医结合医院基本标准》，乌鲁木齐市第一人民医院分院计划在现有诊疗体系的基础上，建立完善的中西医结合诊疗体系，在三年内将医院转型为集医疗、教学、科研、预防、康复为一体的综合性中西医结合医院。 目前我院现有中医药服务能力尚薄弱，为不断提升中医药传承创新发展能力，更好满足人民群众对中医药服务的需求，借助上级部门的帮助，进一步加快中西医结合医院转型进程;②中医药传承创新发展示范试点项目以"传承与创新”为核心理念，聚焦中医药文化的传播及中医药应用的普及，通过汇聚中医药文化、产业、教育、康养等多方资源，形成强大的发展合力，共同推动国家中医药事业向更高层次、更广领域迈进。以为人民健康服务和促进人民身心健康为目标，根据《三级中西医结合医院基本标准》，在医院现有诊疗体系的基础上，建立完善的中西医结合诊疗体系，不断提高中医药服务能力，强化中医药医疗质量管理，加快中西医结合人才培养速度，在三年内将医院转型为集医疗、教学、科研、预防、康复为一体的三级综合性中西医结合医院。</w:t>
      </w:r>
    </w:p>
    <w:p w14:paraId="5468D8C8">
      <w:pPr>
        <w:spacing w:line="360" w:lineRule="auto"/>
        <w:ind w:firstLine="560"/>
        <w:rPr>
          <w:rFonts w:hint="eastAsia" w:ascii="仿宋_GB2312"/>
          <w:lang w:val="en-US" w:eastAsia="zh-CN"/>
        </w:rPr>
      </w:pPr>
      <w:r>
        <w:rPr>
          <w:rFonts w:hint="eastAsia" w:ascii="仿宋_GB2312"/>
          <w:lang w:val="en-US" w:eastAsia="zh-CN"/>
        </w:rPr>
        <w:t>实际完成情况。为：①2024年该项目使用251.37万元，其中购置了医疗专用设备63台，共234.99万元；培训外出次数18次，差旅费2.06万元、培训费5.08万元；专用材料费9万元、劳务费0.24万元，剩余金额转至2025年继续使用;②推进中医药质量提升和产业高质量发展。建立完善的中西医结合诊疗体系，不断提高中医药服务能力，强化中医药医疗质量管理，加快中西医结合人才培养速度，在三年内将医院转型为集医疗、教学、科研、预防、康复为一体的三级综合性中西医结合医院。</w:t>
      </w:r>
    </w:p>
    <w:p w14:paraId="51F4E130">
      <w:pPr>
        <w:pStyle w:val="4"/>
        <w:ind w:firstLine="643"/>
      </w:pPr>
      <w:bookmarkStart w:id="5" w:name="_Toc165277223"/>
      <w:r>
        <w:rPr>
          <w:rFonts w:hint="eastAsia"/>
        </w:rPr>
        <w:t>2</w:t>
      </w:r>
      <w:r>
        <w:t>.资金投入和使用情况</w:t>
      </w:r>
      <w:bookmarkEnd w:id="5"/>
    </w:p>
    <w:p w14:paraId="7E06BEAC">
      <w:pPr>
        <w:spacing w:line="360" w:lineRule="auto"/>
        <w:ind w:firstLine="560"/>
        <w:rPr>
          <w:rFonts w:ascii="仿宋_GB2312"/>
        </w:rPr>
      </w:pPr>
      <w:r>
        <w:rPr>
          <w:rFonts w:hint="eastAsia" w:ascii="仿宋_GB2312"/>
        </w:rPr>
        <w:t>该项目资金投入情况：经</w:t>
      </w:r>
      <w:r>
        <w:rPr>
          <w:rFonts w:hint="eastAsia" w:ascii="仿宋_GB2312"/>
          <w:lang w:eastAsia="zh-CN"/>
        </w:rPr>
        <w:t>《</w:t>
      </w:r>
      <w:r>
        <w:rPr>
          <w:rFonts w:hint="eastAsia" w:ascii="仿宋_GB2312"/>
        </w:rPr>
        <w:t>关于拨付乌鲁木齐市中医药传承创新发展示范试点项目市级财政经费的通知</w:t>
      </w:r>
      <w:r>
        <w:rPr>
          <w:rFonts w:hint="eastAsia" w:ascii="仿宋_GB2312"/>
          <w:lang w:eastAsia="zh-CN"/>
        </w:rPr>
        <w:t>》（</w:t>
      </w:r>
      <w:r>
        <w:rPr>
          <w:rFonts w:hint="eastAsia" w:ascii="仿宋_GB2312"/>
        </w:rPr>
        <w:t>乌财社〔2024〕74号</w:t>
      </w:r>
      <w:r>
        <w:rPr>
          <w:rFonts w:hint="eastAsia" w:ascii="仿宋_GB2312"/>
          <w:lang w:eastAsia="zh-CN"/>
        </w:rPr>
        <w:t>）</w:t>
      </w:r>
      <w:r>
        <w:rPr>
          <w:rFonts w:hint="eastAsia" w:ascii="仿宋_GB2312"/>
        </w:rPr>
        <w:t>文件批准，项目系</w:t>
      </w:r>
      <w:r>
        <w:rPr>
          <w:rFonts w:ascii="仿宋_GB2312"/>
        </w:rPr>
        <w:t>2024</w:t>
      </w:r>
      <w:r>
        <w:rPr>
          <w:rFonts w:hint="eastAsia" w:ascii="仿宋_GB2312"/>
        </w:rPr>
        <w:t>年本级资金，共安排预算</w:t>
      </w:r>
      <w:r>
        <w:rPr>
          <w:rFonts w:hint="eastAsia" w:ascii="仿宋_GB2312"/>
          <w:lang w:val="en-US" w:eastAsia="zh-CN"/>
        </w:rPr>
        <w:t>507</w:t>
      </w:r>
      <w:r>
        <w:rPr>
          <w:rFonts w:hint="eastAsia" w:ascii="仿宋_GB2312"/>
        </w:rPr>
        <w:t>万元，于2024年年初部分预算批复项目，推进中医药质量提升和产业高质量发展。建立完善的中西医结合诊疗体系，不断提高中医药服务能力，强化中医药医疗质量管理，加快中西医结合人才培养速度，在三年内将医院转型为集医疗、教学、科研、预防、康复为一体的三级综合性中西医结合医院</w:t>
      </w:r>
      <w:r>
        <w:rPr>
          <w:rFonts w:hint="eastAsia" w:ascii="仿宋_GB2312"/>
          <w:lang w:eastAsia="zh-CN"/>
        </w:rPr>
        <w:t>，</w:t>
      </w:r>
      <w:r>
        <w:rPr>
          <w:rFonts w:hint="eastAsia" w:ascii="仿宋_GB2312"/>
        </w:rPr>
        <w:t>完成中西医结合医院转型，逐步提高医院整体服务能力和运行效率，提高中医药服务可及性和依从性，更好地满足广大人民群众日益增长的医疗健康需求。</w:t>
      </w:r>
    </w:p>
    <w:p w14:paraId="013AC705">
      <w:pPr>
        <w:spacing w:line="360" w:lineRule="auto"/>
        <w:ind w:firstLine="560"/>
        <w:rPr>
          <w:rFonts w:hint="eastAsia" w:ascii="仿宋_GB2312"/>
          <w:lang w:val="en-US" w:eastAsia="zh-CN"/>
        </w:rPr>
      </w:pPr>
      <w:r>
        <w:rPr>
          <w:rFonts w:hint="eastAsia" w:ascii="仿宋_GB2312"/>
        </w:rPr>
        <w:t>该项目资金使用情况：</w:t>
      </w:r>
      <w:r>
        <w:rPr>
          <w:rFonts w:hint="eastAsia" w:ascii="仿宋_GB2312"/>
          <w:lang w:val="en-US" w:eastAsia="zh-CN"/>
        </w:rPr>
        <w:t>该项目总共507万元，2024年使用251.37万元，其中购置了医疗专用设备63台，共234.99万元；培训外出次数18次，差旅费2.06万元、培训费5.08万元；专用材料费9万元、劳务费0.24万元，借助全市大力推进综合医院中医药工作、促进综合医院中西医协同发展的机遇，在市卫生健康委的指导和支持下，根据《三级中西医结合医院基本标准》，乌鲁木齐市第一人民医院分院计划在现有诊疗体系的基础上，建立完善的中西医结合诊疗体系，在三年内将医院转型为集医疗、教学、科研、预防、康复为一体的综合性中西医结合医院。</w:t>
      </w:r>
    </w:p>
    <w:p w14:paraId="1D82FEB7">
      <w:pPr>
        <w:pStyle w:val="3"/>
        <w:ind w:firstLine="643"/>
        <w:rPr>
          <w:rFonts w:ascii="仿宋" w:hAnsi="仿宋" w:eastAsia="仿宋"/>
          <w:lang w:bidi="en-US"/>
        </w:rPr>
      </w:pPr>
      <w:bookmarkStart w:id="6" w:name="_Toc165277224"/>
      <w:bookmarkStart w:id="7" w:name="_Toc67911603"/>
      <w:r>
        <w:rPr>
          <w:rFonts w:hint="eastAsia" w:ascii="仿宋" w:hAnsi="仿宋" w:eastAsia="仿宋"/>
          <w:lang w:bidi="en-US"/>
        </w:rPr>
        <w:t>（二）项目绩效目标：</w:t>
      </w:r>
      <w:bookmarkEnd w:id="6"/>
      <w:bookmarkEnd w:id="7"/>
    </w:p>
    <w:p w14:paraId="3997F4FE">
      <w:pPr>
        <w:spacing w:line="360" w:lineRule="auto"/>
        <w:ind w:firstLine="560"/>
        <w:rPr>
          <w:rFonts w:ascii="仿宋_GB2312" w:hAnsi="仿宋"/>
          <w:szCs w:val="28"/>
        </w:rPr>
      </w:pPr>
      <w:r>
        <w:rPr>
          <w:rFonts w:hint="eastAsia" w:ascii="仿宋_GB2312" w:hAnsi="仿宋"/>
          <w:szCs w:val="28"/>
        </w:rPr>
        <w:t>本项目依据《中共中央 国务院关于全面实施预算绩效管理的意见》（中发〔2018〕</w:t>
      </w:r>
      <w:r>
        <w:rPr>
          <w:rFonts w:ascii="仿宋_GB2312" w:hAnsi="仿宋"/>
          <w:szCs w:val="28"/>
        </w:rPr>
        <w:t>34</w:t>
      </w:r>
      <w:r>
        <w:rPr>
          <w:rFonts w:hint="eastAsia" w:ascii="仿宋_GB2312" w:hAnsi="仿宋"/>
          <w:szCs w:val="28"/>
        </w:rPr>
        <w:t>号）、《关于印发&lt;乌鲁木齐市本级部门预算绩效目标管理暂行办法</w:t>
      </w:r>
      <w:r>
        <w:rPr>
          <w:rFonts w:ascii="仿宋_GB2312" w:hAnsi="仿宋"/>
          <w:szCs w:val="28"/>
        </w:rPr>
        <w:t>&gt;</w:t>
      </w:r>
      <w:r>
        <w:rPr>
          <w:rFonts w:hint="eastAsia" w:ascii="仿宋_GB2312" w:hAnsi="仿宋"/>
          <w:szCs w:val="28"/>
        </w:rPr>
        <w:t>的通知》（乌财预</w:t>
      </w:r>
      <w:bookmarkStart w:id="8" w:name="_Hlk67566397"/>
      <w:r>
        <w:rPr>
          <w:rFonts w:hint="eastAsia" w:ascii="仿宋_GB2312" w:hAnsi="仿宋"/>
          <w:szCs w:val="28"/>
        </w:rPr>
        <w:t>〔2018〕</w:t>
      </w:r>
      <w:r>
        <w:rPr>
          <w:rFonts w:ascii="仿宋_GB2312" w:hAnsi="仿宋"/>
          <w:szCs w:val="28"/>
        </w:rPr>
        <w:t>5</w:t>
      </w:r>
      <w:r>
        <w:rPr>
          <w:rFonts w:hint="eastAsia" w:ascii="仿宋_GB2312" w:hAnsi="仿宋"/>
          <w:szCs w:val="28"/>
        </w:rPr>
        <w:t>6号</w:t>
      </w:r>
      <w:bookmarkEnd w:id="8"/>
      <w:r>
        <w:rPr>
          <w:rFonts w:hint="eastAsia" w:ascii="仿宋_GB2312" w:hAnsi="仿宋"/>
          <w:szCs w:val="28"/>
        </w:rPr>
        <w:t>）、《关于做好2</w:t>
      </w:r>
      <w:r>
        <w:rPr>
          <w:rFonts w:ascii="仿宋_GB2312" w:hAnsi="仿宋"/>
          <w:szCs w:val="28"/>
        </w:rPr>
        <w:t>019</w:t>
      </w:r>
      <w:r>
        <w:rPr>
          <w:rFonts w:hint="eastAsia" w:ascii="仿宋_GB2312" w:hAnsi="仿宋"/>
          <w:szCs w:val="28"/>
        </w:rPr>
        <w:t>年部门预算项目支出绩效目标管理有关事宜的通知》（乌财预〔20</w:t>
      </w:r>
      <w:r>
        <w:rPr>
          <w:rFonts w:ascii="仿宋_GB2312" w:hAnsi="仿宋"/>
          <w:szCs w:val="28"/>
        </w:rPr>
        <w:t>18</w:t>
      </w:r>
      <w:r>
        <w:rPr>
          <w:rFonts w:hint="eastAsia" w:ascii="仿宋_GB2312" w:hAnsi="仿宋"/>
          <w:szCs w:val="28"/>
        </w:rPr>
        <w:t>〕</w:t>
      </w:r>
      <w:r>
        <w:rPr>
          <w:rFonts w:ascii="仿宋_GB2312" w:hAnsi="仿宋"/>
          <w:szCs w:val="28"/>
        </w:rPr>
        <w:t>76</w:t>
      </w:r>
      <w:r>
        <w:rPr>
          <w:rFonts w:hint="eastAsia" w:ascii="仿宋_GB2312" w:hAnsi="仿宋"/>
          <w:szCs w:val="28"/>
        </w:rPr>
        <w:t>号）和《项目支出绩效评价管理办法》（财预〔20</w:t>
      </w:r>
      <w:r>
        <w:rPr>
          <w:rFonts w:ascii="仿宋_GB2312" w:hAnsi="仿宋"/>
          <w:szCs w:val="28"/>
        </w:rPr>
        <w:t>20</w:t>
      </w:r>
      <w:r>
        <w:rPr>
          <w:rFonts w:hint="eastAsia" w:ascii="仿宋_GB2312" w:hAnsi="仿宋"/>
          <w:szCs w:val="28"/>
        </w:rPr>
        <w:t>〕</w:t>
      </w:r>
      <w:r>
        <w:rPr>
          <w:rFonts w:ascii="仿宋_GB2312" w:hAnsi="仿宋"/>
          <w:szCs w:val="28"/>
        </w:rPr>
        <w:t>10</w:t>
      </w:r>
      <w:r>
        <w:rPr>
          <w:rFonts w:hint="eastAsia" w:ascii="仿宋_GB2312" w:hAnsi="仿宋"/>
          <w:szCs w:val="28"/>
        </w:rPr>
        <w:t>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14:paraId="4AE012AA">
      <w:pPr>
        <w:spacing w:line="360" w:lineRule="auto"/>
        <w:ind w:firstLine="560"/>
        <w:rPr>
          <w:rFonts w:ascii="仿宋_GB2312" w:hAnsi="仿宋"/>
          <w:szCs w:val="28"/>
        </w:rPr>
      </w:pPr>
      <w:r>
        <w:rPr>
          <w:rFonts w:hint="eastAsia" w:ascii="仿宋_GB2312" w:hAnsi="仿宋"/>
          <w:szCs w:val="28"/>
        </w:rPr>
        <w:t>该项目为</w:t>
      </w:r>
      <w:r>
        <w:rPr>
          <w:rFonts w:ascii="仿宋_GB2312" w:hAnsi="仿宋"/>
          <w:szCs w:val="28"/>
        </w:rPr>
        <w:t>当年一次性项目。</w:t>
      </w:r>
    </w:p>
    <w:p w14:paraId="560EEDEC">
      <w:pPr>
        <w:spacing w:line="360" w:lineRule="auto"/>
        <w:ind w:firstLine="560"/>
        <w:rPr>
          <w:rFonts w:ascii="仿宋_GB2312" w:hAnsi="仿宋"/>
          <w:szCs w:val="28"/>
        </w:rPr>
      </w:pPr>
      <w:r>
        <w:rPr>
          <w:rFonts w:hint="eastAsia" w:ascii="仿宋_GB2312" w:hAnsi="仿宋"/>
          <w:szCs w:val="28"/>
        </w:rPr>
        <w:t>该项目总体绩效目标：完成中西医结合医院转型，逐步提高医院整体服务能力和运行效率，提高中医药服务可及性和依从性，强化中医药医疗质量管理，加快中西医结合人才培养速度，在三年内将医院转型为集医疗、教学、科研、预防、康复为一体的三级综合性中西医结合医院</w:t>
      </w:r>
      <w:r>
        <w:rPr>
          <w:rFonts w:hint="eastAsia" w:ascii="仿宋_GB2312" w:hAnsi="仿宋"/>
          <w:szCs w:val="28"/>
          <w:lang w:eastAsia="zh-CN"/>
        </w:rPr>
        <w:t>，</w:t>
      </w:r>
      <w:r>
        <w:rPr>
          <w:rFonts w:hint="eastAsia" w:ascii="仿宋_GB2312" w:hAnsi="仿宋"/>
          <w:szCs w:val="28"/>
        </w:rPr>
        <w:t>更好地满足广大人民群众日益增长的医疗健康需求。</w:t>
      </w:r>
    </w:p>
    <w:p w14:paraId="21E8637E">
      <w:pPr>
        <w:spacing w:line="360" w:lineRule="auto"/>
        <w:ind w:firstLine="560"/>
        <w:rPr>
          <w:rFonts w:ascii="仿宋_GB2312" w:hAnsi="仿宋"/>
          <w:szCs w:val="28"/>
        </w:rPr>
      </w:pPr>
      <w:r>
        <w:rPr>
          <w:rFonts w:ascii="仿宋_GB2312" w:hAnsi="仿宋"/>
          <w:szCs w:val="28"/>
        </w:rPr>
        <w:t>该项目阶段性目标为：</w:t>
      </w:r>
      <w:r>
        <w:rPr>
          <w:rFonts w:hint="eastAsia" w:ascii="仿宋_GB2312"/>
          <w:lang w:val="en-US" w:eastAsia="zh-CN"/>
        </w:rPr>
        <w:t>2024年该项目使用251.37万元，其中购置了医疗专用设备63台，共234.99万元；培训外出次数18次，差旅费2.06万元、培训费5.08万元；专用材料费9万元、劳务费0.24万元，剩余金额转至2025年继续使用</w:t>
      </w:r>
      <w:r>
        <w:rPr>
          <w:rFonts w:hint="eastAsia" w:ascii="仿宋_GB2312" w:hAnsi="仿宋"/>
          <w:szCs w:val="28"/>
        </w:rPr>
        <w:t>。</w:t>
      </w:r>
    </w:p>
    <w:p w14:paraId="7A7F8ABD">
      <w:pPr>
        <w:pStyle w:val="2"/>
        <w:ind w:firstLine="0" w:firstLineChars="0"/>
        <w:jc w:val="left"/>
        <w:rPr>
          <w:rFonts w:ascii="仿宋" w:hAnsi="仿宋" w:eastAsia="仿宋"/>
          <w:sz w:val="36"/>
          <w:szCs w:val="36"/>
          <w:lang w:bidi="en-US"/>
        </w:rPr>
      </w:pPr>
      <w:bookmarkStart w:id="9" w:name="_Toc165277225"/>
      <w:bookmarkStart w:id="10" w:name="_Toc67911604"/>
      <w:r>
        <w:rPr>
          <w:rFonts w:hint="eastAsia" w:ascii="仿宋" w:hAnsi="仿宋" w:eastAsia="仿宋"/>
          <w:sz w:val="36"/>
          <w:szCs w:val="36"/>
          <w:lang w:bidi="en-US"/>
        </w:rPr>
        <w:t>二、绩效评价工作开展情况</w:t>
      </w:r>
      <w:bookmarkEnd w:id="9"/>
      <w:bookmarkEnd w:id="10"/>
    </w:p>
    <w:p w14:paraId="09C48D6A">
      <w:pPr>
        <w:pStyle w:val="3"/>
        <w:ind w:firstLine="643"/>
        <w:rPr>
          <w:rFonts w:ascii="仿宋" w:hAnsi="仿宋" w:eastAsia="仿宋"/>
          <w:lang w:bidi="en-US"/>
        </w:rPr>
      </w:pPr>
      <w:bookmarkStart w:id="11" w:name="_Toc67911605"/>
      <w:bookmarkStart w:id="12" w:name="_Toc165277226"/>
      <w:r>
        <w:rPr>
          <w:rFonts w:hint="eastAsia" w:ascii="仿宋" w:hAnsi="仿宋" w:eastAsia="仿宋"/>
          <w:lang w:bidi="en-US"/>
        </w:rPr>
        <w:t>（一）绩效评价目的、对象和范围</w:t>
      </w:r>
      <w:bookmarkEnd w:id="11"/>
      <w:bookmarkEnd w:id="12"/>
    </w:p>
    <w:p w14:paraId="09650C5A">
      <w:pPr>
        <w:pStyle w:val="4"/>
        <w:ind w:firstLine="643"/>
      </w:pPr>
      <w:bookmarkStart w:id="13" w:name="_Toc165277227"/>
      <w:r>
        <w:rPr>
          <w:rFonts w:hint="eastAsia"/>
        </w:rPr>
        <w:t>1</w:t>
      </w:r>
      <w:r>
        <w:t>.绩效评价完整性</w:t>
      </w:r>
      <w:bookmarkEnd w:id="13"/>
    </w:p>
    <w:p w14:paraId="62ACA4F6">
      <w:pPr>
        <w:spacing w:line="360" w:lineRule="auto"/>
        <w:ind w:firstLine="560"/>
        <w:rPr>
          <w:rFonts w:ascii="仿宋_GB2312" w:hAnsi="仿宋"/>
          <w:szCs w:val="28"/>
        </w:rPr>
      </w:pPr>
      <w:r>
        <w:rPr>
          <w:rFonts w:hint="eastAsia" w:ascii="仿宋_GB2312" w:hAnsi="仿宋"/>
          <w:szCs w:val="28"/>
        </w:rPr>
        <w:t>首先，需要描述项目的目标、范围和要求是否能够通过绩效评价指标体系完整地体现。</w:t>
      </w:r>
    </w:p>
    <w:p w14:paraId="3405A06D">
      <w:pPr>
        <w:spacing w:line="360" w:lineRule="auto"/>
        <w:ind w:firstLine="560"/>
        <w:rPr>
          <w:rFonts w:ascii="仿宋_GB2312" w:hAnsi="仿宋"/>
          <w:szCs w:val="28"/>
        </w:rPr>
      </w:pPr>
      <w:r>
        <w:rPr>
          <w:rFonts w:ascii="仿宋_GB2312" w:hAnsi="仿宋"/>
          <w:szCs w:val="28"/>
        </w:rPr>
        <w:t>其次</w:t>
      </w:r>
      <w:r>
        <w:rPr>
          <w:rFonts w:hint="eastAsia" w:ascii="仿宋_GB2312" w:hAnsi="仿宋"/>
          <w:szCs w:val="28"/>
        </w:rPr>
        <w:t>，应分析项目的计划和执行过程，以便于体现项目的进展情况和完成度。</w:t>
      </w:r>
    </w:p>
    <w:p w14:paraId="594DA27C">
      <w:pPr>
        <w:spacing w:line="360" w:lineRule="auto"/>
        <w:ind w:firstLine="560"/>
        <w:rPr>
          <w:rFonts w:ascii="仿宋_GB2312" w:hAnsi="仿宋"/>
          <w:szCs w:val="28"/>
        </w:rPr>
      </w:pPr>
      <w:r>
        <w:rPr>
          <w:rFonts w:hint="eastAsia" w:ascii="仿宋_GB2312" w:hAnsi="仿宋"/>
          <w:szCs w:val="28"/>
        </w:rPr>
        <w:t>最后，需要对评价数据的来源、采集能进行描述，以确保数据的准确性和完整性。</w:t>
      </w:r>
    </w:p>
    <w:p w14:paraId="10D12641">
      <w:pPr>
        <w:pStyle w:val="4"/>
        <w:ind w:firstLine="643"/>
      </w:pPr>
      <w:bookmarkStart w:id="14" w:name="_Toc165277228"/>
      <w:r>
        <w:t>2</w:t>
      </w:r>
      <w:r>
        <w:rPr>
          <w:rFonts w:hint="eastAsia"/>
        </w:rPr>
        <w:t>.评价目的</w:t>
      </w:r>
      <w:bookmarkEnd w:id="14"/>
    </w:p>
    <w:p w14:paraId="22BFA72E">
      <w:pPr>
        <w:spacing w:line="360" w:lineRule="auto"/>
        <w:ind w:firstLine="560"/>
        <w:rPr>
          <w:rFonts w:ascii="仿宋_GB2312"/>
        </w:rPr>
      </w:pPr>
      <w:r>
        <w:rPr>
          <w:rFonts w:hint="eastAsia" w:ascii="仿宋_GB231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w:t>
      </w:r>
      <w:r>
        <w:rPr>
          <w:rFonts w:hint="eastAsia" w:ascii="仿宋_GB2312"/>
          <w:highlight w:val="none"/>
        </w:rPr>
        <w:t>《关于拨付乌鲁木齐市中医药传承创新发展示范试点项目市级财政经费的通知》（乌财社〔2024〕74号）实施情况，并考察项目实施过程</w:t>
      </w:r>
      <w:r>
        <w:rPr>
          <w:rFonts w:hint="eastAsia" w:ascii="仿宋_GB2312"/>
        </w:rPr>
        <w:t>和效果。</w:t>
      </w:r>
    </w:p>
    <w:p w14:paraId="10C2641D">
      <w:pPr>
        <w:spacing w:line="360" w:lineRule="auto"/>
        <w:ind w:firstLine="560"/>
        <w:rPr>
          <w:rFonts w:ascii="仿宋_GB2312"/>
          <w:b/>
          <w:bCs/>
        </w:rPr>
      </w:pPr>
      <w:r>
        <w:rPr>
          <w:rFonts w:hint="eastAsia" w:ascii="仿宋_GB2312"/>
        </w:rPr>
        <w:t>（2）通过评价，客观公正反映项目立项科学性、项目管理规范性、项目实施有效性和项目效果，总结项目实施的经验，发现项目实施过程中存在的问题，提高财政资金使用效益。</w:t>
      </w:r>
    </w:p>
    <w:p w14:paraId="725AAE95">
      <w:pPr>
        <w:pStyle w:val="4"/>
        <w:ind w:firstLine="643"/>
      </w:pPr>
      <w:bookmarkStart w:id="15" w:name="_Toc165277229"/>
      <w:r>
        <w:t>3</w:t>
      </w:r>
      <w:r>
        <w:rPr>
          <w:rFonts w:hint="eastAsia"/>
        </w:rPr>
        <w:t>.评价对象</w:t>
      </w:r>
      <w:bookmarkEnd w:id="15"/>
    </w:p>
    <w:p w14:paraId="7712A907">
      <w:pPr>
        <w:spacing w:line="360" w:lineRule="auto"/>
        <w:ind w:firstLine="560"/>
        <w:rPr>
          <w:rFonts w:ascii="仿宋_GB2312"/>
        </w:rPr>
      </w:pPr>
      <w:r>
        <w:rPr>
          <w:rFonts w:hint="eastAsia" w:ascii="仿宋_GB2312"/>
        </w:rPr>
        <w:t>（1）绩效评价的对象：《关于拨付乌鲁木齐市中医药传承创新发展示范试点项目市级财政经费的通知》（乌财社〔2024〕74号）项目</w:t>
      </w:r>
      <w:r>
        <w:rPr>
          <w:rFonts w:ascii="仿宋_GB2312"/>
        </w:rPr>
        <w:t xml:space="preserve"> </w:t>
      </w:r>
    </w:p>
    <w:p w14:paraId="6B4E9E70">
      <w:pPr>
        <w:pStyle w:val="4"/>
        <w:ind w:firstLine="643"/>
      </w:pPr>
      <w:bookmarkStart w:id="16" w:name="_Toc165277230"/>
      <w:r>
        <w:rPr>
          <w:rFonts w:hint="eastAsia"/>
        </w:rPr>
        <w:t>4</w:t>
      </w:r>
      <w:r>
        <w:t>.</w:t>
      </w:r>
      <w:r>
        <w:rPr>
          <w:rFonts w:hint="eastAsia"/>
        </w:rPr>
        <w:t>绩效评价范围</w:t>
      </w:r>
      <w:bookmarkEnd w:id="16"/>
    </w:p>
    <w:p w14:paraId="0B4654A7">
      <w:pPr>
        <w:spacing w:line="360" w:lineRule="auto"/>
        <w:ind w:firstLine="560"/>
        <w:rPr>
          <w:rFonts w:ascii="仿宋_GB2312"/>
        </w:rPr>
      </w:pPr>
      <w:r>
        <w:rPr>
          <w:rFonts w:ascii="仿宋_GB2312"/>
        </w:rPr>
        <w:t>1.</w:t>
      </w:r>
      <w:r>
        <w:rPr>
          <w:rFonts w:hint="eastAsia" w:ascii="仿宋_GB2312"/>
        </w:rPr>
        <w:t>时间范围：2024年1月1日至2024年1</w:t>
      </w:r>
      <w:r>
        <w:rPr>
          <w:rFonts w:ascii="仿宋_GB2312"/>
        </w:rPr>
        <w:t>2</w:t>
      </w:r>
      <w:r>
        <w:rPr>
          <w:rFonts w:hint="eastAsia" w:ascii="仿宋_GB2312"/>
        </w:rPr>
        <w:t>月3</w:t>
      </w:r>
      <w:r>
        <w:rPr>
          <w:rFonts w:ascii="仿宋_GB2312"/>
        </w:rPr>
        <w:t>1</w:t>
      </w:r>
      <w:r>
        <w:rPr>
          <w:rFonts w:hint="eastAsia" w:ascii="仿宋_GB2312"/>
        </w:rPr>
        <w:t>日。</w:t>
      </w:r>
    </w:p>
    <w:p w14:paraId="4F9C1188">
      <w:pPr>
        <w:spacing w:line="360" w:lineRule="auto"/>
        <w:ind w:firstLine="560"/>
        <w:rPr>
          <w:rFonts w:hint="eastAsia" w:ascii="仿宋_GB2312"/>
        </w:rPr>
      </w:pPr>
      <w:r>
        <w:rPr>
          <w:rFonts w:ascii="仿宋_GB2312"/>
        </w:rPr>
        <w:t>2.</w:t>
      </w:r>
      <w:r>
        <w:rPr>
          <w:rFonts w:hint="eastAsia" w:ascii="仿宋_GB2312"/>
        </w:rPr>
        <w:t>项目范围：根据《中共中央国务院关于促进中医药传承创新发展的意见》及《自治区促进中医药传承创新发展的实施意见》文件精神，传承创新发展中医药是新时代中国特色社会主义事业的重要内容，是中华民族伟大复兴的大事，对于坚持中西医并重、打造中医药和西医药相互补充协调发展的中国特色卫生健康发展模式，发挥中医药原创优势、推动我国生命科学实现创新突破，弘扬中华优秀传统文化、增强民族自信和文化自信，促进文明互鉴和民心相通、推动构建人类命运共同体具有重要意义。为深入贯彻习近平新时代中国特色社会主义思想和党的十九大精神，认真落实习近平总书记关于中医药工作的重要论述，促进中医药传承创新发展</w:t>
      </w:r>
      <w:r>
        <w:rPr>
          <w:rFonts w:hint="eastAsia" w:ascii="仿宋_GB2312"/>
          <w:lang w:eastAsia="zh-CN"/>
        </w:rPr>
        <w:t>，</w:t>
      </w:r>
      <w:r>
        <w:rPr>
          <w:rFonts w:hint="eastAsia" w:ascii="仿宋_GB2312"/>
        </w:rPr>
        <w:t>进一步贯彻落实国家卫生健康委等3部委《关于进一步加强综合医院中医药工作推动中西医协同发展的意见》，借助全市大力推进综合医院中医药工作、促进综合医院中西医协同发展的机遇，在市卫生健康委的指导和支持下，根据《三级中西医结合医院基本标准》，乌鲁木齐市第一人民医院分院计划在现有诊疗体系的基础上，建立完善的中西医结合诊疗体系，在三年内将医院转型为集医疗、教学、科研、预防、康复为一体的综合性中西医结合医院。目前我院现有中医药服务能力尚薄弱，为不断提升中医药传承创新发展能力，更好满足人民群众对中医药服务的需求，借助上级部门的帮助，进一步加快中西医结合医院转型进程。</w:t>
      </w:r>
    </w:p>
    <w:p w14:paraId="52C3BCF2">
      <w:pPr>
        <w:pStyle w:val="3"/>
        <w:ind w:firstLine="643"/>
        <w:rPr>
          <w:rFonts w:ascii="仿宋" w:hAnsi="仿宋" w:eastAsia="仿宋"/>
          <w:lang w:bidi="en-US"/>
        </w:rPr>
      </w:pPr>
      <w:bookmarkStart w:id="17" w:name="_Toc165277231"/>
      <w:bookmarkStart w:id="18" w:name="_Toc67911606"/>
      <w:bookmarkStart w:id="19" w:name="_Hlk67586765"/>
      <w:r>
        <w:rPr>
          <w:rFonts w:hint="eastAsia" w:ascii="仿宋" w:hAnsi="仿宋" w:eastAsia="仿宋"/>
          <w:lang w:bidi="en-US"/>
        </w:rPr>
        <w:t>（二）绩效评价原则、指标体系、方法及标准</w:t>
      </w:r>
      <w:bookmarkEnd w:id="17"/>
      <w:bookmarkEnd w:id="18"/>
    </w:p>
    <w:bookmarkEnd w:id="19"/>
    <w:p w14:paraId="2299CD80">
      <w:pPr>
        <w:pStyle w:val="4"/>
        <w:ind w:firstLine="643"/>
      </w:pPr>
      <w:bookmarkStart w:id="20" w:name="_Toc165277232"/>
      <w:r>
        <w:rPr>
          <w:rFonts w:hint="eastAsia"/>
        </w:rPr>
        <w:t>1</w:t>
      </w:r>
      <w:r>
        <w:t>.</w:t>
      </w:r>
      <w:r>
        <w:rPr>
          <w:rFonts w:hint="eastAsia"/>
        </w:rPr>
        <w:t>评价原则</w:t>
      </w:r>
      <w:bookmarkEnd w:id="20"/>
    </w:p>
    <w:p w14:paraId="611F1F13">
      <w:pPr>
        <w:spacing w:line="600" w:lineRule="exact"/>
        <w:ind w:firstLine="640"/>
        <w:rPr>
          <w:rFonts w:ascii="仿宋_GB2312"/>
          <w:bCs/>
          <w:sz w:val="32"/>
          <w:szCs w:val="32"/>
        </w:rPr>
      </w:pPr>
      <w:r>
        <w:rPr>
          <w:rFonts w:hint="eastAsia" w:ascii="仿宋_GB2312"/>
          <w:bCs/>
          <w:sz w:val="32"/>
          <w:szCs w:val="32"/>
        </w:rPr>
        <w:t>（一）科学公正。绩效评价应当运用科学合理的方法，按照规范的程序，对项目绩效进行客观、公正的反映。</w:t>
      </w:r>
    </w:p>
    <w:p w14:paraId="01F7F8D1">
      <w:pPr>
        <w:spacing w:line="600" w:lineRule="exact"/>
        <w:ind w:firstLine="640"/>
        <w:rPr>
          <w:rFonts w:ascii="仿宋_GB2312"/>
          <w:bCs/>
          <w:sz w:val="32"/>
          <w:szCs w:val="32"/>
        </w:rPr>
      </w:pPr>
      <w:r>
        <w:rPr>
          <w:rFonts w:hint="eastAsia" w:ascii="仿宋_GB2312"/>
          <w:bCs/>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p>
    <w:p w14:paraId="21112665">
      <w:pPr>
        <w:spacing w:line="600" w:lineRule="exact"/>
        <w:ind w:firstLine="640"/>
        <w:rPr>
          <w:rFonts w:ascii="仿宋_GB2312"/>
          <w:bCs/>
          <w:sz w:val="32"/>
          <w:szCs w:val="32"/>
        </w:rPr>
      </w:pPr>
      <w:r>
        <w:rPr>
          <w:rFonts w:hint="eastAsia" w:ascii="仿宋_GB2312"/>
          <w:bCs/>
          <w:sz w:val="32"/>
          <w:szCs w:val="32"/>
        </w:rPr>
        <w:t>（三）激励约束。绩效评价结果应与预算安排、政策调整、改进管理实质性挂钩，体现奖优罚劣和激励相容导向，有效要安排、低效要压减、无效要问责。</w:t>
      </w:r>
    </w:p>
    <w:p w14:paraId="29FABA93">
      <w:pPr>
        <w:spacing w:line="600" w:lineRule="exact"/>
        <w:ind w:firstLine="640"/>
        <w:rPr>
          <w:rFonts w:ascii="仿宋_GB2312"/>
          <w:bCs/>
          <w:sz w:val="32"/>
          <w:szCs w:val="32"/>
        </w:rPr>
      </w:pPr>
      <w:r>
        <w:rPr>
          <w:rFonts w:hint="eastAsia" w:ascii="仿宋_GB2312"/>
          <w:bCs/>
          <w:sz w:val="32"/>
          <w:szCs w:val="32"/>
        </w:rPr>
        <w:t>（四）公开透明。绩效评价结果应依法依规公开，并自觉接受社会监督。</w:t>
      </w:r>
    </w:p>
    <w:p w14:paraId="370897A4">
      <w:pPr>
        <w:pStyle w:val="4"/>
        <w:ind w:firstLine="643"/>
      </w:pPr>
      <w:bookmarkStart w:id="21" w:name="_Toc165277233"/>
      <w:r>
        <w:t>2.</w:t>
      </w:r>
      <w:r>
        <w:rPr>
          <w:rFonts w:hint="eastAsia"/>
        </w:rPr>
        <w:t>评价指标体系</w:t>
      </w:r>
      <w:bookmarkEnd w:id="21"/>
    </w:p>
    <w:p w14:paraId="6C0B506F">
      <w:pPr>
        <w:spacing w:line="360" w:lineRule="auto"/>
        <w:ind w:firstLine="560"/>
        <w:rPr>
          <w:rFonts w:ascii="仿宋_GB2312"/>
        </w:rPr>
      </w:pPr>
      <w:r>
        <w:rPr>
          <w:rFonts w:hint="eastAsia" w:ascii="仿宋_GB2312"/>
        </w:rPr>
        <w:t>绩效评价指标体系作为衡量绩效目标实现程度的考核工具，一般遵循以下原则：</w:t>
      </w:r>
    </w:p>
    <w:p w14:paraId="3B33766D">
      <w:pPr>
        <w:spacing w:line="360" w:lineRule="auto"/>
        <w:ind w:firstLine="560"/>
        <w:rPr>
          <w:rFonts w:ascii="仿宋_GB2312"/>
        </w:rPr>
      </w:pPr>
      <w:r>
        <w:rPr>
          <w:rFonts w:hint="eastAsia" w:ascii="仿宋_GB2312"/>
        </w:rPr>
        <w:t>（1）相关性原则：绩效评价指标应当与绩效目标有直接的联系，能够恰当反映目标的实现程度。</w:t>
      </w:r>
    </w:p>
    <w:p w14:paraId="4053111C">
      <w:pPr>
        <w:spacing w:line="360" w:lineRule="auto"/>
        <w:ind w:firstLine="560"/>
        <w:rPr>
          <w:rFonts w:ascii="仿宋_GB2312"/>
        </w:rPr>
      </w:pPr>
      <w:r>
        <w:rPr>
          <w:rFonts w:hint="eastAsia" w:ascii="仿宋_GB2312"/>
        </w:rPr>
        <w:t>（2）重要性原则：应当优先使用最具评价对象代表性、最能反映评价要求的核心指标。</w:t>
      </w:r>
    </w:p>
    <w:p w14:paraId="4DC42D06">
      <w:pPr>
        <w:spacing w:line="360" w:lineRule="auto"/>
        <w:ind w:firstLine="560"/>
        <w:rPr>
          <w:rFonts w:ascii="仿宋_GB2312"/>
        </w:rPr>
      </w:pPr>
      <w:r>
        <w:rPr>
          <w:rFonts w:hint="eastAsia" w:ascii="仿宋_GB2312"/>
        </w:rPr>
        <w:t>（3）可比性原则：对同类评价对象要设定共性的绩效评价指标，以便于评价结果可以相互比较。</w:t>
      </w:r>
    </w:p>
    <w:p w14:paraId="7A000E73">
      <w:pPr>
        <w:spacing w:line="360" w:lineRule="auto"/>
        <w:ind w:firstLine="560"/>
        <w:rPr>
          <w:rFonts w:ascii="仿宋_GB2312"/>
        </w:rPr>
      </w:pPr>
      <w:r>
        <w:rPr>
          <w:rFonts w:hint="eastAsia" w:ascii="仿宋_GB2312"/>
        </w:rPr>
        <w:t>（4）系统性原则：绩效评价指标的设置应当将定量指标与定性指标相结合，能系统反映财政支出所产生的社会效益、经济效益和可持续影响等。</w:t>
      </w:r>
    </w:p>
    <w:p w14:paraId="139FD1E6">
      <w:pPr>
        <w:spacing w:line="360" w:lineRule="auto"/>
        <w:ind w:firstLine="560"/>
        <w:rPr>
          <w:rFonts w:ascii="仿宋_GB2312"/>
        </w:rPr>
      </w:pPr>
      <w:r>
        <w:rPr>
          <w:rFonts w:hint="eastAsia" w:ascii="仿宋_GB2312"/>
        </w:rPr>
        <w:t>（5）经济性原则：绩效评价指标设计应当通俗易懂、简便易行，数据的获得应当考虑现实条件和可操作性，符合成本效益原则。</w:t>
      </w:r>
    </w:p>
    <w:p w14:paraId="37D1A5B9">
      <w:pPr>
        <w:spacing w:line="360" w:lineRule="auto"/>
        <w:ind w:firstLine="560"/>
        <w:rPr>
          <w:rFonts w:ascii="仿宋_GB2312"/>
          <w:highlight w:val="none"/>
        </w:rPr>
      </w:pPr>
      <w:r>
        <w:rPr>
          <w:rFonts w:hint="eastAsia" w:ascii="仿宋_GB2312"/>
          <w:highlight w:val="none"/>
        </w:rPr>
        <w:t>本项目的评价指标体系建立如下表所示。</w:t>
      </w:r>
    </w:p>
    <w:p w14:paraId="432B98BD">
      <w:pPr>
        <w:spacing w:line="360" w:lineRule="auto"/>
        <w:ind w:firstLine="560"/>
        <w:rPr>
          <w:rFonts w:ascii="仿宋_GB2312"/>
        </w:rPr>
      </w:pPr>
    </w:p>
    <w:p w14:paraId="38C28610">
      <w:pPr>
        <w:spacing w:line="360" w:lineRule="auto"/>
        <w:ind w:firstLine="560"/>
        <w:rPr>
          <w:rFonts w:ascii="仿宋_GB2312"/>
        </w:rPr>
      </w:pPr>
    </w:p>
    <w:p w14:paraId="2DF9795E">
      <w:pPr>
        <w:spacing w:line="360" w:lineRule="auto"/>
        <w:ind w:firstLine="560"/>
        <w:rPr>
          <w:rFonts w:ascii="仿宋_GB2312"/>
        </w:rPr>
        <w:sectPr>
          <w:headerReference r:id="rId11" w:type="default"/>
          <w:footerReference r:id="rId12"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14:paraId="68A5CFC0">
      <w:pPr>
        <w:spacing w:line="360" w:lineRule="auto"/>
        <w:ind w:firstLine="0" w:firstLineChars="0"/>
        <w:jc w:val="center"/>
        <w:rPr>
          <w:rFonts w:ascii="仿宋_GB2312"/>
          <w:b/>
          <w:bCs/>
        </w:rPr>
      </w:pPr>
      <w:r>
        <w:rPr>
          <w:rFonts w:ascii="仿宋_GB2312"/>
          <w:b/>
          <w:bCs/>
        </w:rPr>
        <w:t xml:space="preserve">  </w:t>
      </w:r>
      <w:r>
        <w:rPr>
          <w:rFonts w:hint="eastAsia" w:ascii="仿宋_GB2312"/>
          <w:b/>
          <w:bCs/>
        </w:rPr>
        <w:t>项目支出绩效评价指标体系</w:t>
      </w:r>
    </w:p>
    <w:tbl>
      <w:tblPr>
        <w:tblStyle w:val="15"/>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14:paraId="19B2F9D1">
        <w:tblPrEx>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14:paraId="2B911353">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199" w:type="dxa"/>
            <w:tcBorders>
              <w:tl2br w:val="nil"/>
              <w:tr2bl w:val="nil"/>
            </w:tcBorders>
            <w:shd w:val="clear" w:color="auto" w:fill="D0CECE" w:themeFill="background2" w:themeFillShade="E6"/>
            <w:vAlign w:val="center"/>
          </w:tcPr>
          <w:p w14:paraId="779F2693">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411" w:type="dxa"/>
            <w:tcBorders>
              <w:tl2br w:val="nil"/>
              <w:tr2bl w:val="nil"/>
            </w:tcBorders>
            <w:shd w:val="clear" w:color="auto" w:fill="D0CECE" w:themeFill="background2" w:themeFillShade="E6"/>
            <w:vAlign w:val="center"/>
          </w:tcPr>
          <w:p w14:paraId="2F97C3EC">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2789" w:type="dxa"/>
            <w:tcBorders>
              <w:tl2br w:val="nil"/>
              <w:tr2bl w:val="nil"/>
            </w:tcBorders>
            <w:shd w:val="clear" w:color="auto" w:fill="D0CECE" w:themeFill="background2" w:themeFillShade="E6"/>
            <w:vAlign w:val="center"/>
          </w:tcPr>
          <w:p w14:paraId="6C440B93">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7341" w:type="dxa"/>
            <w:tcBorders>
              <w:tl2br w:val="nil"/>
              <w:tr2bl w:val="nil"/>
            </w:tcBorders>
            <w:shd w:val="clear" w:color="auto" w:fill="D0CECE" w:themeFill="background2" w:themeFillShade="E6"/>
            <w:vAlign w:val="center"/>
          </w:tcPr>
          <w:p w14:paraId="097CF440">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指标说明</w:t>
            </w:r>
          </w:p>
        </w:tc>
      </w:tr>
      <w:tr w14:paraId="3D6DC8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14:paraId="04999340">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决策</w:t>
            </w:r>
          </w:p>
        </w:tc>
        <w:tc>
          <w:tcPr>
            <w:tcW w:w="1199" w:type="dxa"/>
            <w:vMerge w:val="restart"/>
            <w:tcBorders>
              <w:tl2br w:val="nil"/>
              <w:tr2bl w:val="nil"/>
            </w:tcBorders>
            <w:shd w:val="clear" w:color="auto" w:fill="FFFFFF"/>
            <w:vAlign w:val="center"/>
          </w:tcPr>
          <w:p w14:paraId="12B2A42B">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项目立项</w:t>
            </w:r>
          </w:p>
        </w:tc>
        <w:tc>
          <w:tcPr>
            <w:tcW w:w="1411" w:type="dxa"/>
            <w:tcBorders>
              <w:tl2br w:val="nil"/>
              <w:tr2bl w:val="nil"/>
            </w:tcBorders>
            <w:shd w:val="clear" w:color="auto" w:fill="FFFFFF"/>
            <w:vAlign w:val="center"/>
          </w:tcPr>
          <w:p w14:paraId="6A50B5A6">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立项依据</w:t>
            </w:r>
          </w:p>
          <w:p w14:paraId="35558BB4">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充分性</w:t>
            </w:r>
          </w:p>
        </w:tc>
        <w:tc>
          <w:tcPr>
            <w:tcW w:w="2789" w:type="dxa"/>
            <w:tcBorders>
              <w:tl2br w:val="nil"/>
              <w:tr2bl w:val="nil"/>
            </w:tcBorders>
            <w:shd w:val="clear" w:color="auto" w:fill="FFFFFF"/>
            <w:vAlign w:val="center"/>
          </w:tcPr>
          <w:p w14:paraId="2DDD4F89">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14:paraId="1E40F7C3">
            <w:pPr>
              <w:widowControl/>
              <w:ind w:firstLine="0" w:firstLineChars="0"/>
              <w:jc w:val="left"/>
              <w:rPr>
                <w:rFonts w:ascii="宋体" w:hAnsi="宋体" w:eastAsia="宋体" w:cs="宋体"/>
                <w:color w:val="auto"/>
                <w:kern w:val="0"/>
                <w:sz w:val="22"/>
              </w:rPr>
            </w:pPr>
            <w:r>
              <w:rPr>
                <w:rFonts w:hint="eastAsia" w:ascii="宋体" w:hAnsi="宋体" w:eastAsia="宋体" w:cs="宋体"/>
                <w:color w:val="auto"/>
                <w:kern w:val="0"/>
                <w:sz w:val="22"/>
              </w:rPr>
              <w:t>评价要点：</w:t>
            </w:r>
            <w:r>
              <w:rPr>
                <w:rFonts w:hint="eastAsia" w:ascii="宋体" w:hAnsi="宋体" w:eastAsia="宋体" w:cs="宋体"/>
                <w:color w:val="auto"/>
                <w:kern w:val="0"/>
                <w:sz w:val="22"/>
              </w:rPr>
              <w:br w:type="textWrapping"/>
            </w:r>
            <w:r>
              <w:rPr>
                <w:rFonts w:hint="eastAsia" w:ascii="宋体" w:hAnsi="宋体" w:eastAsia="宋体" w:cs="宋体"/>
                <w:color w:val="auto"/>
                <w:kern w:val="0"/>
                <w:sz w:val="22"/>
              </w:rPr>
              <w:t>①项目立项是否符合国家法律法规、国民经济发展规划和相关政策；</w:t>
            </w:r>
            <w:r>
              <w:rPr>
                <w:rFonts w:hint="eastAsia" w:ascii="宋体" w:hAnsi="宋体" w:eastAsia="宋体" w:cs="宋体"/>
                <w:color w:val="auto"/>
                <w:kern w:val="0"/>
                <w:sz w:val="22"/>
              </w:rPr>
              <w:br w:type="textWrapping"/>
            </w:r>
            <w:r>
              <w:rPr>
                <w:rFonts w:hint="eastAsia" w:ascii="宋体" w:hAnsi="宋体" w:eastAsia="宋体" w:cs="宋体"/>
                <w:color w:val="auto"/>
                <w:kern w:val="0"/>
                <w:sz w:val="22"/>
              </w:rPr>
              <w:t>②项目立项是否符合行业发展规划和政策要求；</w:t>
            </w:r>
            <w:r>
              <w:rPr>
                <w:rFonts w:hint="eastAsia" w:ascii="宋体" w:hAnsi="宋体" w:eastAsia="宋体" w:cs="宋体"/>
                <w:color w:val="auto"/>
                <w:kern w:val="0"/>
                <w:sz w:val="22"/>
              </w:rPr>
              <w:br w:type="textWrapping"/>
            </w:r>
            <w:r>
              <w:rPr>
                <w:rFonts w:hint="eastAsia" w:ascii="宋体" w:hAnsi="宋体" w:eastAsia="宋体" w:cs="宋体"/>
                <w:color w:val="auto"/>
                <w:kern w:val="0"/>
                <w:sz w:val="22"/>
              </w:rPr>
              <w:t>③项目立项是否与部门职责范围相符，属于部门履职所需；</w:t>
            </w:r>
            <w:r>
              <w:rPr>
                <w:rFonts w:hint="eastAsia" w:ascii="宋体" w:hAnsi="宋体" w:eastAsia="宋体" w:cs="宋体"/>
                <w:color w:val="auto"/>
                <w:kern w:val="0"/>
                <w:sz w:val="22"/>
              </w:rPr>
              <w:br w:type="textWrapping"/>
            </w:r>
            <w:r>
              <w:rPr>
                <w:rFonts w:hint="eastAsia" w:ascii="宋体" w:hAnsi="宋体" w:eastAsia="宋体" w:cs="宋体"/>
                <w:color w:val="auto"/>
                <w:kern w:val="0"/>
                <w:sz w:val="22"/>
              </w:rPr>
              <w:t>④项目是否属于公共财政支持范围，是否符合中央、地方事权支出责任划分原则；</w:t>
            </w:r>
            <w:r>
              <w:rPr>
                <w:rFonts w:hint="eastAsia" w:ascii="宋体" w:hAnsi="宋体" w:eastAsia="宋体" w:cs="宋体"/>
                <w:color w:val="auto"/>
                <w:kern w:val="0"/>
                <w:sz w:val="22"/>
              </w:rPr>
              <w:br w:type="textWrapping"/>
            </w:r>
            <w:r>
              <w:rPr>
                <w:rFonts w:hint="eastAsia" w:ascii="宋体" w:hAnsi="宋体" w:eastAsia="宋体" w:cs="宋体"/>
                <w:color w:val="auto"/>
                <w:kern w:val="0"/>
                <w:sz w:val="22"/>
              </w:rPr>
              <w:t>⑤项目是否与相关部门同类项目或部门内部相关项目重复。</w:t>
            </w:r>
          </w:p>
        </w:tc>
      </w:tr>
      <w:tr w14:paraId="48E2C2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14:paraId="37A3A774">
            <w:pPr>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14:paraId="1C5BE496">
            <w:pPr>
              <w:widowControl/>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14:paraId="0C5D00FF">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立项程序</w:t>
            </w:r>
          </w:p>
          <w:p w14:paraId="66FBFA72">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规范性</w:t>
            </w:r>
          </w:p>
        </w:tc>
        <w:tc>
          <w:tcPr>
            <w:tcW w:w="2789" w:type="dxa"/>
            <w:tcBorders>
              <w:tl2br w:val="nil"/>
              <w:tr2bl w:val="nil"/>
            </w:tcBorders>
            <w:shd w:val="clear" w:color="auto" w:fill="FFFFFF"/>
            <w:vAlign w:val="center"/>
          </w:tcPr>
          <w:p w14:paraId="6BC3D003">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14:paraId="520FF2CF">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①项目是否按照规定的程序申请设立；</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②审批文件、材料是否符合相关要求；</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③事前是否已经过必要的可行性研究、专家论证、风险评估、绩效评估、集体决策。</w:t>
            </w:r>
          </w:p>
        </w:tc>
      </w:tr>
      <w:tr w14:paraId="5C22F5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14:paraId="3E4A61B0">
            <w:pPr>
              <w:ind w:firstLine="0" w:firstLineChars="0"/>
              <w:jc w:val="center"/>
              <w:rPr>
                <w:rFonts w:ascii="宋体" w:hAnsi="宋体" w:eastAsia="宋体" w:cs="宋体"/>
                <w:color w:val="000000"/>
                <w:kern w:val="0"/>
                <w:sz w:val="22"/>
              </w:rPr>
            </w:pPr>
          </w:p>
        </w:tc>
        <w:tc>
          <w:tcPr>
            <w:tcW w:w="1199" w:type="dxa"/>
            <w:tcBorders>
              <w:tl2br w:val="nil"/>
              <w:tr2bl w:val="nil"/>
            </w:tcBorders>
            <w:shd w:val="clear" w:color="auto" w:fill="FFFFFF"/>
            <w:vAlign w:val="center"/>
          </w:tcPr>
          <w:p w14:paraId="46926159">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绩效目标</w:t>
            </w:r>
          </w:p>
        </w:tc>
        <w:tc>
          <w:tcPr>
            <w:tcW w:w="1411" w:type="dxa"/>
            <w:tcBorders>
              <w:tl2br w:val="nil"/>
              <w:tr2bl w:val="nil"/>
            </w:tcBorders>
            <w:shd w:val="clear" w:color="auto" w:fill="FFFFFF"/>
            <w:vAlign w:val="center"/>
          </w:tcPr>
          <w:p w14:paraId="78AD66F3">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绩效目标</w:t>
            </w:r>
          </w:p>
          <w:p w14:paraId="2F536D64">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合理性</w:t>
            </w:r>
          </w:p>
        </w:tc>
        <w:tc>
          <w:tcPr>
            <w:tcW w:w="2789" w:type="dxa"/>
            <w:tcBorders>
              <w:tl2br w:val="nil"/>
              <w:tr2bl w:val="nil"/>
            </w:tcBorders>
            <w:shd w:val="clear" w:color="000000" w:fill="FFFFFF"/>
            <w:vAlign w:val="center"/>
          </w:tcPr>
          <w:p w14:paraId="2E986B92">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14:paraId="28639C81">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（如未设定预算绩效目标，也可考核其他工作任务目标）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①项目是否有绩效目标；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②项目绩效目标与实际工作内容是否具有相关性；</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③项目预期产出效益和效果是否符合正常的业绩水平；</w:t>
            </w:r>
          </w:p>
          <w:p w14:paraId="1077B9E3">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④是否与预算确定的项目投资额或资金量相匹配。</w:t>
            </w:r>
          </w:p>
        </w:tc>
      </w:tr>
      <w:tr w14:paraId="0F9604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14:paraId="4438FC17">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决策</w:t>
            </w:r>
          </w:p>
        </w:tc>
        <w:tc>
          <w:tcPr>
            <w:tcW w:w="1199" w:type="dxa"/>
            <w:tcBorders>
              <w:tl2br w:val="nil"/>
              <w:tr2bl w:val="nil"/>
            </w:tcBorders>
            <w:shd w:val="clear" w:color="auto" w:fill="FFFFFF"/>
            <w:vAlign w:val="center"/>
          </w:tcPr>
          <w:p w14:paraId="592BE84E">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绩效目标</w:t>
            </w:r>
          </w:p>
        </w:tc>
        <w:tc>
          <w:tcPr>
            <w:tcW w:w="1411" w:type="dxa"/>
            <w:tcBorders>
              <w:tl2br w:val="nil"/>
              <w:tr2bl w:val="nil"/>
            </w:tcBorders>
            <w:shd w:val="clear" w:color="auto" w:fill="FFFFFF"/>
            <w:vAlign w:val="center"/>
          </w:tcPr>
          <w:p w14:paraId="047BCC09">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绩效指标</w:t>
            </w:r>
          </w:p>
          <w:p w14:paraId="1C4F24A0">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明确性</w:t>
            </w:r>
          </w:p>
        </w:tc>
        <w:tc>
          <w:tcPr>
            <w:tcW w:w="2789" w:type="dxa"/>
            <w:tcBorders>
              <w:tl2br w:val="nil"/>
              <w:tr2bl w:val="nil"/>
            </w:tcBorders>
            <w:shd w:val="clear" w:color="000000" w:fill="FFFFFF"/>
            <w:vAlign w:val="center"/>
          </w:tcPr>
          <w:p w14:paraId="233CE02C">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14:paraId="7170CDD9">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①是否将项目绩效目标细化分解为具体的绩效指标；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②是否通过清晰、可衡量的指标值予以体现；</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③是否与项目目标任务数或计划数相对应。</w:t>
            </w:r>
            <w:r>
              <w:rPr>
                <w:rFonts w:hint="eastAsia" w:ascii="宋体" w:hAnsi="宋体" w:eastAsia="宋体" w:cs="宋体"/>
                <w:color w:val="000000"/>
                <w:kern w:val="0"/>
                <w:sz w:val="22"/>
              </w:rPr>
              <w:br w:type="textWrapping"/>
            </w:r>
          </w:p>
        </w:tc>
      </w:tr>
      <w:tr w14:paraId="38EFD2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14:paraId="092B266A">
            <w:pPr>
              <w:ind w:firstLine="0" w:firstLineChars="0"/>
              <w:jc w:val="center"/>
              <w:rPr>
                <w:rFonts w:ascii="宋体" w:hAnsi="宋体" w:eastAsia="宋体" w:cs="宋体"/>
                <w:color w:val="000000"/>
                <w:kern w:val="0"/>
                <w:sz w:val="22"/>
              </w:rPr>
            </w:pPr>
          </w:p>
        </w:tc>
        <w:tc>
          <w:tcPr>
            <w:tcW w:w="1199" w:type="dxa"/>
            <w:vMerge w:val="restart"/>
            <w:tcBorders>
              <w:tl2br w:val="nil"/>
              <w:tr2bl w:val="nil"/>
            </w:tcBorders>
            <w:shd w:val="clear" w:color="auto" w:fill="FFFFFF"/>
            <w:vAlign w:val="center"/>
          </w:tcPr>
          <w:p w14:paraId="1CB5544C">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资金投入</w:t>
            </w:r>
          </w:p>
        </w:tc>
        <w:tc>
          <w:tcPr>
            <w:tcW w:w="1411" w:type="dxa"/>
            <w:tcBorders>
              <w:tl2br w:val="nil"/>
              <w:tr2bl w:val="nil"/>
            </w:tcBorders>
            <w:shd w:val="clear" w:color="auto" w:fill="FFFFFF"/>
            <w:vAlign w:val="center"/>
          </w:tcPr>
          <w:p w14:paraId="736F9F81">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预算编制</w:t>
            </w:r>
          </w:p>
          <w:p w14:paraId="1C470509">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科学性</w:t>
            </w:r>
          </w:p>
        </w:tc>
        <w:tc>
          <w:tcPr>
            <w:tcW w:w="2789" w:type="dxa"/>
            <w:tcBorders>
              <w:tl2br w:val="nil"/>
              <w:tr2bl w:val="nil"/>
            </w:tcBorders>
            <w:shd w:val="clear" w:color="auto" w:fill="FFFFFF"/>
            <w:vAlign w:val="center"/>
          </w:tcPr>
          <w:p w14:paraId="6B98F6C5">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14:paraId="663FCEDD">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①预算编制是否经过科学论证；</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②预算内容与项目内容是否匹配；</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③预算额度测算依据是否充分，是否按照标准编制；</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④预算确定的项目投资额或资金量是否与工作任务相匹配。</w:t>
            </w:r>
          </w:p>
        </w:tc>
      </w:tr>
      <w:tr w14:paraId="21A5C9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14:paraId="63646C0E">
            <w:pPr>
              <w:widowControl/>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14:paraId="1E922DE1">
            <w:pPr>
              <w:widowControl/>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14:paraId="68F6CD94">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资金分配</w:t>
            </w:r>
          </w:p>
          <w:p w14:paraId="5F39937C">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合理性</w:t>
            </w:r>
          </w:p>
        </w:tc>
        <w:tc>
          <w:tcPr>
            <w:tcW w:w="2789" w:type="dxa"/>
            <w:tcBorders>
              <w:tl2br w:val="nil"/>
              <w:tr2bl w:val="nil"/>
            </w:tcBorders>
            <w:shd w:val="clear" w:color="auto" w:fill="FFFFFF"/>
            <w:vAlign w:val="center"/>
          </w:tcPr>
          <w:p w14:paraId="3EDBEB64">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14:paraId="15E23206">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①预算资金分配依据是否充分；</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②资金分配额度是否合理，与项目单位或地方实际是否相适应。</w:t>
            </w:r>
          </w:p>
        </w:tc>
      </w:tr>
      <w:tr w14:paraId="064036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14:paraId="7038AB3A">
            <w:pPr>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过程</w:t>
            </w:r>
          </w:p>
        </w:tc>
        <w:tc>
          <w:tcPr>
            <w:tcW w:w="1199" w:type="dxa"/>
            <w:vMerge w:val="restart"/>
            <w:tcBorders>
              <w:tl2br w:val="nil"/>
              <w:tr2bl w:val="nil"/>
            </w:tcBorders>
            <w:shd w:val="clear" w:color="auto" w:fill="FFFFFF"/>
            <w:vAlign w:val="center"/>
          </w:tcPr>
          <w:p w14:paraId="490DB4EC">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资金管理</w:t>
            </w:r>
          </w:p>
        </w:tc>
        <w:tc>
          <w:tcPr>
            <w:tcW w:w="1411" w:type="dxa"/>
            <w:tcBorders>
              <w:tl2br w:val="nil"/>
              <w:tr2bl w:val="nil"/>
            </w:tcBorders>
            <w:shd w:val="clear" w:color="auto" w:fill="FFFFFF"/>
            <w:vAlign w:val="center"/>
          </w:tcPr>
          <w:p w14:paraId="2DE2AE75">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资金到位率</w:t>
            </w:r>
          </w:p>
        </w:tc>
        <w:tc>
          <w:tcPr>
            <w:tcW w:w="2789" w:type="dxa"/>
            <w:tcBorders>
              <w:tl2br w:val="nil"/>
              <w:tr2bl w:val="nil"/>
            </w:tcBorders>
            <w:shd w:val="clear" w:color="000000" w:fill="FFFFFF"/>
            <w:vAlign w:val="center"/>
          </w:tcPr>
          <w:p w14:paraId="6C4B877B">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14:paraId="289976BE">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资金到位率=（实际到位资金/预算资金）×100%。</w:t>
            </w:r>
          </w:p>
          <w:p w14:paraId="226D10A5">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实际到位资金：一定时期（本年度或项目期）内落实到具体项目的资金。</w:t>
            </w:r>
          </w:p>
          <w:p w14:paraId="4D245791">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预算资金：一定时期（本年度或项目期）内预算安排到具体项目的资金。</w:t>
            </w:r>
          </w:p>
        </w:tc>
      </w:tr>
      <w:tr w14:paraId="09BBFA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14:paraId="687420BA">
            <w:pPr>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14:paraId="4A185D75">
            <w:pPr>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14:paraId="23C61BD6">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预算执行率</w:t>
            </w:r>
          </w:p>
        </w:tc>
        <w:tc>
          <w:tcPr>
            <w:tcW w:w="2789" w:type="dxa"/>
            <w:tcBorders>
              <w:tl2br w:val="nil"/>
              <w:tr2bl w:val="nil"/>
            </w:tcBorders>
            <w:shd w:val="clear" w:color="auto" w:fill="FFFFFF"/>
            <w:vAlign w:val="center"/>
          </w:tcPr>
          <w:p w14:paraId="02269B6A">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14:paraId="1E24ED9A">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预算执行率=（实际支出资金/实际到位资金）×100%。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实际支出资金：一定时期（本年度或项目期）内项目实际拨付的资金。</w:t>
            </w:r>
          </w:p>
        </w:tc>
      </w:tr>
      <w:tr w14:paraId="0BBB67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14:paraId="4A391423">
            <w:pPr>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过程</w:t>
            </w:r>
          </w:p>
        </w:tc>
        <w:tc>
          <w:tcPr>
            <w:tcW w:w="1199" w:type="dxa"/>
            <w:tcBorders>
              <w:tl2br w:val="nil"/>
              <w:tr2bl w:val="nil"/>
            </w:tcBorders>
            <w:shd w:val="clear" w:color="auto" w:fill="FFFFFF"/>
            <w:vAlign w:val="center"/>
          </w:tcPr>
          <w:p w14:paraId="0AC6604E">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资金管理</w:t>
            </w:r>
          </w:p>
        </w:tc>
        <w:tc>
          <w:tcPr>
            <w:tcW w:w="1411" w:type="dxa"/>
            <w:tcBorders>
              <w:tl2br w:val="nil"/>
              <w:tr2bl w:val="nil"/>
            </w:tcBorders>
            <w:shd w:val="clear" w:color="auto" w:fill="FFFFFF"/>
            <w:vAlign w:val="center"/>
          </w:tcPr>
          <w:p w14:paraId="77693ECA">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资金使用</w:t>
            </w:r>
          </w:p>
          <w:p w14:paraId="1B9ABCE7">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合规性</w:t>
            </w:r>
          </w:p>
        </w:tc>
        <w:tc>
          <w:tcPr>
            <w:tcW w:w="2789" w:type="dxa"/>
            <w:tcBorders>
              <w:tl2br w:val="nil"/>
              <w:tr2bl w:val="nil"/>
            </w:tcBorders>
            <w:shd w:val="clear" w:color="000000" w:fill="FFFFFF"/>
            <w:vAlign w:val="center"/>
          </w:tcPr>
          <w:p w14:paraId="1A4DA497">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14:paraId="2FAFF0F3">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①是否符合国家财经法规和财务管理制度以及有关专项资金管理办法的规定；</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②资金的拨付是否有完整的审批程序和手续；</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③是否符合项目预算批复或合同规定的用途；</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④是否存在截留、挤占、挪用、虚列支出等情况。</w:t>
            </w:r>
          </w:p>
        </w:tc>
      </w:tr>
      <w:tr w14:paraId="306569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14:paraId="2F854A0A">
            <w:pPr>
              <w:ind w:firstLine="0" w:firstLineChars="0"/>
              <w:jc w:val="center"/>
              <w:rPr>
                <w:rFonts w:ascii="宋体" w:hAnsi="宋体" w:eastAsia="宋体" w:cs="宋体"/>
                <w:color w:val="000000"/>
                <w:kern w:val="0"/>
                <w:sz w:val="22"/>
              </w:rPr>
            </w:pPr>
          </w:p>
        </w:tc>
        <w:tc>
          <w:tcPr>
            <w:tcW w:w="1199" w:type="dxa"/>
            <w:vMerge w:val="restart"/>
            <w:tcBorders>
              <w:tl2br w:val="nil"/>
              <w:tr2bl w:val="nil"/>
            </w:tcBorders>
            <w:shd w:val="clear" w:color="auto" w:fill="FFFFFF"/>
            <w:vAlign w:val="center"/>
          </w:tcPr>
          <w:p w14:paraId="7CCBEE86">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组织实施</w:t>
            </w:r>
          </w:p>
        </w:tc>
        <w:tc>
          <w:tcPr>
            <w:tcW w:w="1411" w:type="dxa"/>
            <w:tcBorders>
              <w:tl2br w:val="nil"/>
              <w:tr2bl w:val="nil"/>
            </w:tcBorders>
            <w:shd w:val="clear" w:color="auto" w:fill="FFFFFF"/>
            <w:vAlign w:val="center"/>
          </w:tcPr>
          <w:p w14:paraId="368A85F0">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管理制度</w:t>
            </w:r>
          </w:p>
          <w:p w14:paraId="7B411A61">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健全性</w:t>
            </w:r>
          </w:p>
        </w:tc>
        <w:tc>
          <w:tcPr>
            <w:tcW w:w="2789" w:type="dxa"/>
            <w:tcBorders>
              <w:tl2br w:val="nil"/>
              <w:tr2bl w:val="nil"/>
            </w:tcBorders>
            <w:shd w:val="clear" w:color="000000" w:fill="FFFFFF"/>
            <w:vAlign w:val="center"/>
          </w:tcPr>
          <w:p w14:paraId="0B9E0569">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14:paraId="48423E86">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①是否已制定或具有相应的财务和业务管理制度；</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②财务和业务管理制度是否合法、合规、完整。</w:t>
            </w:r>
          </w:p>
        </w:tc>
      </w:tr>
      <w:tr w14:paraId="54596E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14:paraId="3D7C17C7">
            <w:pPr>
              <w:widowControl/>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14:paraId="5CA8F107">
            <w:pPr>
              <w:widowControl/>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14:paraId="58337B2C">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制度执行</w:t>
            </w:r>
          </w:p>
          <w:p w14:paraId="4A093AD3">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有效性</w:t>
            </w:r>
          </w:p>
        </w:tc>
        <w:tc>
          <w:tcPr>
            <w:tcW w:w="2789" w:type="dxa"/>
            <w:tcBorders>
              <w:tl2br w:val="nil"/>
              <w:tr2bl w:val="nil"/>
            </w:tcBorders>
            <w:shd w:val="clear" w:color="000000" w:fill="FFFFFF"/>
            <w:vAlign w:val="center"/>
          </w:tcPr>
          <w:p w14:paraId="5F228372">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14:paraId="4A19A19A">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①是否遵守相关法律法规和相关管理规定；</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②项目调整及支出调整手续是否完备；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③项目合同书、验收报告、技术鉴定等资料是否齐全并及时归档；</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④项目实施的人员条件、场地设备、信息支撑等是否落实到位。</w:t>
            </w:r>
          </w:p>
        </w:tc>
      </w:tr>
      <w:tr w14:paraId="5D4FCC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23" w:hRule="atLeast"/>
          <w:jc w:val="center"/>
        </w:trPr>
        <w:tc>
          <w:tcPr>
            <w:tcW w:w="1155" w:type="dxa"/>
            <w:vMerge w:val="restart"/>
            <w:tcBorders>
              <w:tl2br w:val="nil"/>
              <w:tr2bl w:val="nil"/>
            </w:tcBorders>
            <w:shd w:val="clear" w:color="auto" w:fill="FFFFFF"/>
            <w:vAlign w:val="center"/>
          </w:tcPr>
          <w:p w14:paraId="05E0ED01">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w:t>
            </w:r>
          </w:p>
        </w:tc>
        <w:tc>
          <w:tcPr>
            <w:tcW w:w="1199" w:type="dxa"/>
            <w:vMerge w:val="restart"/>
            <w:tcBorders>
              <w:tl2br w:val="nil"/>
              <w:tr2bl w:val="nil"/>
            </w:tcBorders>
            <w:shd w:val="clear" w:color="auto" w:fill="FFFFFF"/>
            <w:vAlign w:val="center"/>
          </w:tcPr>
          <w:p w14:paraId="20F0FCE2">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产出数量</w:t>
            </w:r>
          </w:p>
        </w:tc>
        <w:tc>
          <w:tcPr>
            <w:tcW w:w="1411" w:type="dxa"/>
            <w:tcBorders>
              <w:tl2br w:val="nil"/>
              <w:tr2bl w:val="nil"/>
            </w:tcBorders>
            <w:shd w:val="clear" w:color="auto" w:fill="FFFFFF"/>
          </w:tcPr>
          <w:p w14:paraId="58222272">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专用设备购置数量</w:t>
            </w:r>
          </w:p>
        </w:tc>
        <w:tc>
          <w:tcPr>
            <w:tcW w:w="2789" w:type="dxa"/>
            <w:vMerge w:val="restart"/>
            <w:tcBorders>
              <w:tl2br w:val="nil"/>
              <w:tr2bl w:val="nil"/>
            </w:tcBorders>
            <w:shd w:val="clear" w:color="000000" w:fill="FFFFFF"/>
            <w:vAlign w:val="center"/>
          </w:tcPr>
          <w:p w14:paraId="30906008">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14:paraId="2DC0ECF9">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实际完成率=（实际产出数/计划产出数）×100%。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实际产出数：一定时期（本年度或项目期）内项目实际产出的产品或提供的服务数量。</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计划产出数：项目绩效目标确定的在一定时期（本年度或项目期）内计划产出的产品或提供的服务数量。</w:t>
            </w:r>
          </w:p>
        </w:tc>
      </w:tr>
      <w:tr w14:paraId="0CD13D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12" w:hRule="atLeast"/>
          <w:jc w:val="center"/>
        </w:trPr>
        <w:tc>
          <w:tcPr>
            <w:tcW w:w="1155" w:type="dxa"/>
            <w:vMerge w:val="continue"/>
            <w:tcBorders>
              <w:tl2br w:val="nil"/>
              <w:tr2bl w:val="nil"/>
            </w:tcBorders>
            <w:shd w:val="clear" w:color="auto" w:fill="FFFFFF"/>
            <w:vAlign w:val="center"/>
          </w:tcPr>
          <w:p w14:paraId="479DC160">
            <w:pPr>
              <w:widowControl/>
              <w:ind w:firstLine="0" w:firstLineChars="0"/>
              <w:jc w:val="center"/>
              <w:rPr>
                <w:rFonts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14:paraId="0A104F4D">
            <w:pPr>
              <w:widowControl/>
              <w:ind w:firstLine="0" w:firstLineChars="0"/>
              <w:jc w:val="center"/>
              <w:rPr>
                <w:rFonts w:ascii="宋体" w:hAnsi="宋体" w:eastAsia="宋体" w:cs="宋体"/>
                <w:color w:val="000000"/>
                <w:kern w:val="0"/>
                <w:sz w:val="22"/>
                <w:highlight w:val="none"/>
              </w:rPr>
            </w:pPr>
          </w:p>
        </w:tc>
        <w:tc>
          <w:tcPr>
            <w:tcW w:w="1411" w:type="dxa"/>
            <w:tcBorders>
              <w:tl2br w:val="nil"/>
              <w:tr2bl w:val="nil"/>
            </w:tcBorders>
            <w:shd w:val="clear" w:color="auto" w:fill="FFFFFF"/>
          </w:tcPr>
          <w:p w14:paraId="2EBF0521">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培训外出次数</w:t>
            </w:r>
          </w:p>
        </w:tc>
        <w:tc>
          <w:tcPr>
            <w:tcW w:w="2789" w:type="dxa"/>
            <w:vMerge w:val="continue"/>
            <w:tcBorders>
              <w:tl2br w:val="nil"/>
              <w:tr2bl w:val="nil"/>
            </w:tcBorders>
            <w:shd w:val="clear" w:color="000000" w:fill="FFFFFF"/>
            <w:vAlign w:val="center"/>
          </w:tcPr>
          <w:p w14:paraId="713499C1">
            <w:pPr>
              <w:widowControl/>
              <w:ind w:firstLine="0" w:firstLineChars="0"/>
              <w:rPr>
                <w:rFonts w:ascii="宋体" w:hAnsi="宋体" w:eastAsia="宋体" w:cs="宋体"/>
                <w:color w:val="000000"/>
                <w:kern w:val="0"/>
                <w:sz w:val="22"/>
              </w:rPr>
            </w:pPr>
          </w:p>
        </w:tc>
        <w:tc>
          <w:tcPr>
            <w:tcW w:w="7341" w:type="dxa"/>
            <w:vMerge w:val="continue"/>
            <w:tcBorders>
              <w:tl2br w:val="nil"/>
              <w:tr2bl w:val="nil"/>
            </w:tcBorders>
            <w:shd w:val="clear" w:color="000000" w:fill="FFFFFF"/>
            <w:vAlign w:val="center"/>
          </w:tcPr>
          <w:p w14:paraId="09FB67FE">
            <w:pPr>
              <w:widowControl/>
              <w:ind w:firstLine="0" w:firstLineChars="0"/>
              <w:rPr>
                <w:rFonts w:ascii="宋体" w:hAnsi="宋体" w:eastAsia="宋体" w:cs="宋体"/>
                <w:color w:val="000000"/>
                <w:kern w:val="0"/>
                <w:sz w:val="22"/>
              </w:rPr>
            </w:pPr>
          </w:p>
        </w:tc>
      </w:tr>
      <w:tr w14:paraId="349E81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14:paraId="596BAF82">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w:t>
            </w:r>
          </w:p>
        </w:tc>
        <w:tc>
          <w:tcPr>
            <w:tcW w:w="1199" w:type="dxa"/>
            <w:tcBorders>
              <w:tl2br w:val="nil"/>
              <w:tr2bl w:val="nil"/>
            </w:tcBorders>
            <w:shd w:val="clear" w:color="auto" w:fill="FFFFFF"/>
            <w:vAlign w:val="center"/>
          </w:tcPr>
          <w:p w14:paraId="133903F1">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产出质量</w:t>
            </w:r>
          </w:p>
        </w:tc>
        <w:tc>
          <w:tcPr>
            <w:tcW w:w="1411" w:type="dxa"/>
            <w:tcBorders>
              <w:tl2br w:val="nil"/>
              <w:tr2bl w:val="nil"/>
            </w:tcBorders>
            <w:shd w:val="clear" w:color="auto" w:fill="FFFFFF"/>
            <w:vAlign w:val="center"/>
          </w:tcPr>
          <w:p w14:paraId="0D58F5BE">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采购设备验收合格率</w:t>
            </w:r>
          </w:p>
        </w:tc>
        <w:tc>
          <w:tcPr>
            <w:tcW w:w="2789" w:type="dxa"/>
            <w:tcBorders>
              <w:tl2br w:val="nil"/>
              <w:tr2bl w:val="nil"/>
            </w:tcBorders>
            <w:shd w:val="clear" w:color="000000" w:fill="FFFFFF"/>
            <w:vAlign w:val="center"/>
          </w:tcPr>
          <w:p w14:paraId="28D82E8D">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14:paraId="087E975D">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质量达标率=（质量达标产出数/实际产出数）×100%。</w:t>
            </w:r>
          </w:p>
          <w:p w14:paraId="7B8190D7">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1642FC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3" w:hRule="atLeast"/>
          <w:jc w:val="center"/>
        </w:trPr>
        <w:tc>
          <w:tcPr>
            <w:tcW w:w="1155" w:type="dxa"/>
            <w:vMerge w:val="continue"/>
            <w:tcBorders>
              <w:tl2br w:val="nil"/>
              <w:tr2bl w:val="nil"/>
            </w:tcBorders>
            <w:shd w:val="clear" w:color="auto" w:fill="FFFFFF"/>
            <w:vAlign w:val="center"/>
          </w:tcPr>
          <w:p w14:paraId="6F76D2BB">
            <w:pPr>
              <w:widowControl/>
              <w:ind w:firstLine="0" w:firstLineChars="0"/>
              <w:jc w:val="center"/>
              <w:rPr>
                <w:rFonts w:ascii="宋体" w:hAnsi="宋体" w:eastAsia="宋体" w:cs="宋体"/>
                <w:color w:val="000000"/>
                <w:kern w:val="0"/>
                <w:sz w:val="22"/>
                <w:highlight w:val="none"/>
              </w:rPr>
            </w:pPr>
          </w:p>
        </w:tc>
        <w:tc>
          <w:tcPr>
            <w:tcW w:w="1199" w:type="dxa"/>
            <w:vMerge w:val="restart"/>
            <w:tcBorders>
              <w:tl2br w:val="nil"/>
              <w:tr2bl w:val="nil"/>
            </w:tcBorders>
            <w:shd w:val="clear" w:color="auto" w:fill="FFFFFF"/>
            <w:vAlign w:val="center"/>
          </w:tcPr>
          <w:p w14:paraId="3C7F3324">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产出成本</w:t>
            </w:r>
          </w:p>
        </w:tc>
        <w:tc>
          <w:tcPr>
            <w:tcW w:w="1411" w:type="dxa"/>
            <w:tcBorders>
              <w:tl2br w:val="nil"/>
              <w:tr2bl w:val="nil"/>
            </w:tcBorders>
            <w:shd w:val="clear" w:color="auto" w:fill="FFFFFF"/>
            <w:vAlign w:val="center"/>
          </w:tcPr>
          <w:p w14:paraId="76D9B26F">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差旅费</w:t>
            </w:r>
          </w:p>
        </w:tc>
        <w:tc>
          <w:tcPr>
            <w:tcW w:w="2789" w:type="dxa"/>
            <w:vMerge w:val="restart"/>
            <w:tcBorders>
              <w:tl2br w:val="nil"/>
              <w:tr2bl w:val="nil"/>
            </w:tcBorders>
            <w:shd w:val="clear" w:color="000000" w:fill="FFFFFF"/>
            <w:vAlign w:val="center"/>
          </w:tcPr>
          <w:p w14:paraId="189F3BAC">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14:paraId="2FC0E5F7">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成本节约率=[（计划成本-实际成本）/计划成本]×100%。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实际成本：项目实施单位如期、保质、保量完成既定工作目标实际所耗费的支出。</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计划成本：项目实施单位为完成工作目标计划安排的支出，一般以项目预算为参考。</w:t>
            </w:r>
          </w:p>
        </w:tc>
      </w:tr>
      <w:tr w14:paraId="7225DB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3" w:hRule="atLeast"/>
          <w:jc w:val="center"/>
        </w:trPr>
        <w:tc>
          <w:tcPr>
            <w:tcW w:w="1155" w:type="dxa"/>
            <w:vMerge w:val="continue"/>
            <w:tcBorders>
              <w:tl2br w:val="nil"/>
              <w:tr2bl w:val="nil"/>
            </w:tcBorders>
            <w:shd w:val="clear" w:color="auto" w:fill="FFFFFF"/>
            <w:vAlign w:val="center"/>
          </w:tcPr>
          <w:p w14:paraId="6E33834C">
            <w:pPr>
              <w:widowControl/>
              <w:ind w:firstLine="0" w:firstLineChars="0"/>
              <w:jc w:val="center"/>
              <w:rPr>
                <w:highlight w:val="none"/>
              </w:rPr>
            </w:pPr>
          </w:p>
        </w:tc>
        <w:tc>
          <w:tcPr>
            <w:tcW w:w="1199" w:type="dxa"/>
            <w:vMerge w:val="continue"/>
            <w:tcBorders>
              <w:tl2br w:val="nil"/>
              <w:tr2bl w:val="nil"/>
            </w:tcBorders>
            <w:shd w:val="clear" w:color="auto" w:fill="FFFFFF"/>
            <w:vAlign w:val="center"/>
          </w:tcPr>
          <w:p w14:paraId="21970D28">
            <w:pPr>
              <w:widowControl/>
              <w:ind w:firstLine="0" w:firstLineChars="0"/>
              <w:jc w:val="center"/>
              <w:rPr>
                <w:highlight w:val="none"/>
              </w:rPr>
            </w:pPr>
          </w:p>
        </w:tc>
        <w:tc>
          <w:tcPr>
            <w:tcW w:w="1411" w:type="dxa"/>
            <w:tcBorders>
              <w:tl2br w:val="nil"/>
              <w:tr2bl w:val="nil"/>
            </w:tcBorders>
            <w:shd w:val="clear" w:color="auto" w:fill="FFFFFF"/>
            <w:vAlign w:val="center"/>
          </w:tcPr>
          <w:p w14:paraId="513DA2DF">
            <w:pPr>
              <w:widowControl/>
              <w:ind w:firstLine="0" w:firstLineChars="0"/>
              <w:jc w:val="center"/>
              <w:rPr>
                <w:rFonts w:hint="eastAsia" w:ascii="宋体" w:hAnsi="宋体" w:eastAsia="宋体" w:cs="宋体"/>
                <w:color w:val="000000"/>
                <w:kern w:val="0"/>
                <w:sz w:val="22"/>
                <w:highlight w:val="none"/>
              </w:rPr>
            </w:pPr>
            <w:r>
              <w:rPr>
                <w:rFonts w:hint="eastAsia" w:ascii="宋体" w:hAnsi="宋体" w:eastAsia="宋体" w:cs="宋体"/>
                <w:color w:val="000000"/>
                <w:kern w:val="0"/>
                <w:sz w:val="22"/>
                <w:highlight w:val="none"/>
              </w:rPr>
              <w:t>专用设备购置成本</w:t>
            </w:r>
          </w:p>
        </w:tc>
        <w:tc>
          <w:tcPr>
            <w:tcW w:w="2789" w:type="dxa"/>
            <w:vMerge w:val="continue"/>
            <w:tcBorders>
              <w:tl2br w:val="nil"/>
              <w:tr2bl w:val="nil"/>
            </w:tcBorders>
            <w:shd w:val="clear" w:color="000000" w:fill="FFFFFF"/>
            <w:vAlign w:val="center"/>
          </w:tcPr>
          <w:p w14:paraId="42A2BEB9">
            <w:pPr>
              <w:widowControl/>
              <w:ind w:firstLine="0" w:firstLineChars="0"/>
              <w:jc w:val="center"/>
              <w:rPr>
                <w:rFonts w:hint="eastAsia" w:ascii="宋体" w:hAnsi="宋体" w:eastAsia="宋体" w:cs="宋体"/>
                <w:color w:val="000000"/>
                <w:kern w:val="0"/>
                <w:sz w:val="22"/>
                <w:highlight w:val="yellow"/>
              </w:rPr>
            </w:pPr>
          </w:p>
        </w:tc>
        <w:tc>
          <w:tcPr>
            <w:tcW w:w="7341" w:type="dxa"/>
            <w:vMerge w:val="continue"/>
            <w:tcBorders>
              <w:tl2br w:val="nil"/>
              <w:tr2bl w:val="nil"/>
            </w:tcBorders>
            <w:shd w:val="clear" w:color="000000" w:fill="FFFFFF"/>
            <w:vAlign w:val="center"/>
          </w:tcPr>
          <w:p w14:paraId="6C974C30">
            <w:pPr>
              <w:widowControl/>
              <w:ind w:firstLine="0" w:firstLineChars="0"/>
              <w:jc w:val="center"/>
              <w:rPr>
                <w:rFonts w:hint="eastAsia" w:ascii="宋体" w:hAnsi="宋体" w:eastAsia="宋体" w:cs="宋体"/>
                <w:color w:val="000000"/>
                <w:kern w:val="0"/>
                <w:sz w:val="22"/>
                <w:highlight w:val="yellow"/>
              </w:rPr>
            </w:pPr>
          </w:p>
        </w:tc>
      </w:tr>
      <w:tr w14:paraId="1EEFE7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3" w:hRule="atLeast"/>
          <w:jc w:val="center"/>
        </w:trPr>
        <w:tc>
          <w:tcPr>
            <w:tcW w:w="1155" w:type="dxa"/>
            <w:vMerge w:val="continue"/>
            <w:tcBorders>
              <w:tl2br w:val="nil"/>
              <w:tr2bl w:val="nil"/>
            </w:tcBorders>
            <w:shd w:val="clear" w:color="auto" w:fill="FFFFFF"/>
            <w:vAlign w:val="center"/>
          </w:tcPr>
          <w:p w14:paraId="301E92F8">
            <w:pPr>
              <w:widowControl/>
              <w:ind w:firstLine="0" w:firstLineChars="0"/>
              <w:jc w:val="center"/>
              <w:rPr>
                <w:rFonts w:hint="eastAsia"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14:paraId="149C03E4">
            <w:pPr>
              <w:widowControl/>
              <w:ind w:firstLine="0" w:firstLineChars="0"/>
              <w:jc w:val="center"/>
              <w:rPr>
                <w:rFonts w:hint="eastAsia" w:ascii="宋体" w:hAnsi="宋体" w:eastAsia="宋体" w:cs="宋体"/>
                <w:color w:val="000000"/>
                <w:kern w:val="0"/>
                <w:sz w:val="22"/>
                <w:highlight w:val="none"/>
              </w:rPr>
            </w:pPr>
          </w:p>
        </w:tc>
        <w:tc>
          <w:tcPr>
            <w:tcW w:w="1411" w:type="dxa"/>
            <w:tcBorders>
              <w:tl2br w:val="nil"/>
              <w:tr2bl w:val="nil"/>
            </w:tcBorders>
            <w:shd w:val="clear" w:color="auto" w:fill="FFFFFF"/>
            <w:vAlign w:val="center"/>
          </w:tcPr>
          <w:p w14:paraId="444931EC">
            <w:pPr>
              <w:widowControl/>
              <w:ind w:firstLine="0" w:firstLineChars="0"/>
              <w:jc w:val="center"/>
              <w:rPr>
                <w:rFonts w:hint="eastAsia" w:ascii="宋体" w:hAnsi="宋体" w:eastAsia="宋体" w:cs="宋体"/>
                <w:color w:val="000000"/>
                <w:kern w:val="0"/>
                <w:sz w:val="22"/>
                <w:highlight w:val="none"/>
              </w:rPr>
            </w:pPr>
            <w:r>
              <w:rPr>
                <w:rFonts w:hint="eastAsia" w:ascii="宋体" w:hAnsi="宋体" w:eastAsia="宋体" w:cs="宋体"/>
                <w:color w:val="000000"/>
                <w:kern w:val="0"/>
                <w:sz w:val="22"/>
                <w:highlight w:val="none"/>
              </w:rPr>
              <w:t>培训费</w:t>
            </w:r>
          </w:p>
        </w:tc>
        <w:tc>
          <w:tcPr>
            <w:tcW w:w="2789" w:type="dxa"/>
            <w:vMerge w:val="continue"/>
            <w:tcBorders>
              <w:tl2br w:val="nil"/>
              <w:tr2bl w:val="nil"/>
            </w:tcBorders>
            <w:shd w:val="clear" w:color="000000" w:fill="FFFFFF"/>
            <w:vAlign w:val="center"/>
          </w:tcPr>
          <w:p w14:paraId="65A11E8F">
            <w:pPr>
              <w:widowControl/>
              <w:ind w:firstLine="0" w:firstLineChars="0"/>
              <w:jc w:val="center"/>
              <w:rPr>
                <w:rFonts w:hint="eastAsia" w:ascii="宋体" w:hAnsi="宋体" w:eastAsia="宋体" w:cs="宋体"/>
                <w:color w:val="000000"/>
                <w:kern w:val="0"/>
                <w:sz w:val="22"/>
                <w:highlight w:val="yellow"/>
              </w:rPr>
            </w:pPr>
          </w:p>
        </w:tc>
        <w:tc>
          <w:tcPr>
            <w:tcW w:w="7341" w:type="dxa"/>
            <w:vMerge w:val="continue"/>
            <w:tcBorders>
              <w:tl2br w:val="nil"/>
              <w:tr2bl w:val="nil"/>
            </w:tcBorders>
            <w:shd w:val="clear" w:color="000000" w:fill="FFFFFF"/>
            <w:vAlign w:val="center"/>
          </w:tcPr>
          <w:p w14:paraId="475AA9C4">
            <w:pPr>
              <w:widowControl/>
              <w:ind w:firstLine="0" w:firstLineChars="0"/>
              <w:jc w:val="center"/>
              <w:rPr>
                <w:rFonts w:hint="eastAsia" w:ascii="宋体" w:hAnsi="宋体" w:eastAsia="宋体" w:cs="宋体"/>
                <w:color w:val="000000"/>
                <w:kern w:val="0"/>
                <w:sz w:val="22"/>
                <w:highlight w:val="yellow"/>
              </w:rPr>
            </w:pPr>
          </w:p>
        </w:tc>
      </w:tr>
      <w:tr w14:paraId="184981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3" w:hRule="atLeast"/>
          <w:jc w:val="center"/>
        </w:trPr>
        <w:tc>
          <w:tcPr>
            <w:tcW w:w="1155" w:type="dxa"/>
            <w:vMerge w:val="continue"/>
            <w:tcBorders>
              <w:tl2br w:val="nil"/>
              <w:tr2bl w:val="nil"/>
            </w:tcBorders>
            <w:shd w:val="clear" w:color="auto" w:fill="FFFFFF"/>
            <w:vAlign w:val="center"/>
          </w:tcPr>
          <w:p w14:paraId="4DE5FF34">
            <w:pPr>
              <w:widowControl/>
              <w:ind w:firstLine="0" w:firstLineChars="0"/>
              <w:jc w:val="center"/>
              <w:rPr>
                <w:rFonts w:hint="eastAsia"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14:paraId="41E1CFBE">
            <w:pPr>
              <w:widowControl/>
              <w:ind w:firstLine="0" w:firstLineChars="0"/>
              <w:jc w:val="center"/>
              <w:rPr>
                <w:rFonts w:hint="eastAsia" w:ascii="宋体" w:hAnsi="宋体" w:eastAsia="宋体" w:cs="宋体"/>
                <w:color w:val="000000"/>
                <w:kern w:val="0"/>
                <w:sz w:val="22"/>
                <w:highlight w:val="none"/>
              </w:rPr>
            </w:pPr>
          </w:p>
        </w:tc>
        <w:tc>
          <w:tcPr>
            <w:tcW w:w="1411" w:type="dxa"/>
            <w:tcBorders>
              <w:tl2br w:val="nil"/>
              <w:tr2bl w:val="nil"/>
            </w:tcBorders>
            <w:shd w:val="clear" w:color="auto" w:fill="FFFFFF"/>
            <w:vAlign w:val="center"/>
          </w:tcPr>
          <w:p w14:paraId="591AB222">
            <w:pPr>
              <w:widowControl/>
              <w:ind w:firstLine="0" w:firstLineChars="0"/>
              <w:jc w:val="center"/>
              <w:rPr>
                <w:rFonts w:hint="eastAsia" w:ascii="宋体" w:hAnsi="宋体" w:eastAsia="宋体" w:cs="宋体"/>
                <w:color w:val="000000"/>
                <w:kern w:val="0"/>
                <w:sz w:val="22"/>
                <w:highlight w:val="none"/>
              </w:rPr>
            </w:pPr>
            <w:r>
              <w:rPr>
                <w:rFonts w:hint="eastAsia" w:ascii="宋体" w:hAnsi="宋体" w:eastAsia="宋体" w:cs="宋体"/>
                <w:color w:val="000000"/>
                <w:kern w:val="0"/>
                <w:sz w:val="22"/>
                <w:highlight w:val="none"/>
              </w:rPr>
              <w:t>专用材料费</w:t>
            </w:r>
          </w:p>
        </w:tc>
        <w:tc>
          <w:tcPr>
            <w:tcW w:w="2789" w:type="dxa"/>
            <w:vMerge w:val="continue"/>
            <w:tcBorders>
              <w:tl2br w:val="nil"/>
              <w:tr2bl w:val="nil"/>
            </w:tcBorders>
            <w:shd w:val="clear" w:color="000000" w:fill="FFFFFF"/>
            <w:vAlign w:val="center"/>
          </w:tcPr>
          <w:p w14:paraId="6B2310BD">
            <w:pPr>
              <w:widowControl/>
              <w:ind w:firstLine="0" w:firstLineChars="0"/>
              <w:jc w:val="center"/>
              <w:rPr>
                <w:rFonts w:hint="eastAsia" w:ascii="宋体" w:hAnsi="宋体" w:eastAsia="宋体" w:cs="宋体"/>
                <w:color w:val="000000"/>
                <w:kern w:val="0"/>
                <w:sz w:val="22"/>
                <w:highlight w:val="yellow"/>
              </w:rPr>
            </w:pPr>
          </w:p>
        </w:tc>
        <w:tc>
          <w:tcPr>
            <w:tcW w:w="7341" w:type="dxa"/>
            <w:vMerge w:val="continue"/>
            <w:tcBorders>
              <w:tl2br w:val="nil"/>
              <w:tr2bl w:val="nil"/>
            </w:tcBorders>
            <w:shd w:val="clear" w:color="000000" w:fill="FFFFFF"/>
            <w:vAlign w:val="center"/>
          </w:tcPr>
          <w:p w14:paraId="4A2613B2">
            <w:pPr>
              <w:widowControl/>
              <w:ind w:firstLine="0" w:firstLineChars="0"/>
              <w:jc w:val="center"/>
              <w:rPr>
                <w:rFonts w:hint="eastAsia" w:ascii="宋体" w:hAnsi="宋体" w:eastAsia="宋体" w:cs="宋体"/>
                <w:color w:val="000000"/>
                <w:kern w:val="0"/>
                <w:sz w:val="22"/>
                <w:highlight w:val="yellow"/>
              </w:rPr>
            </w:pPr>
          </w:p>
        </w:tc>
      </w:tr>
      <w:tr w14:paraId="696A4D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3" w:hRule="atLeast"/>
          <w:jc w:val="center"/>
        </w:trPr>
        <w:tc>
          <w:tcPr>
            <w:tcW w:w="1155" w:type="dxa"/>
            <w:vMerge w:val="continue"/>
            <w:tcBorders>
              <w:tl2br w:val="nil"/>
              <w:tr2bl w:val="nil"/>
            </w:tcBorders>
            <w:shd w:val="clear" w:color="auto" w:fill="FFFFFF"/>
            <w:vAlign w:val="center"/>
          </w:tcPr>
          <w:p w14:paraId="2C5FBFD6">
            <w:pPr>
              <w:widowControl/>
              <w:ind w:firstLine="0" w:firstLineChars="0"/>
              <w:jc w:val="center"/>
              <w:rPr>
                <w:rFonts w:hint="eastAsia"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14:paraId="60387371">
            <w:pPr>
              <w:widowControl/>
              <w:ind w:firstLine="0" w:firstLineChars="0"/>
              <w:jc w:val="center"/>
              <w:rPr>
                <w:rFonts w:hint="eastAsia" w:ascii="宋体" w:hAnsi="宋体" w:eastAsia="宋体" w:cs="宋体"/>
                <w:color w:val="000000"/>
                <w:kern w:val="0"/>
                <w:sz w:val="22"/>
                <w:highlight w:val="none"/>
              </w:rPr>
            </w:pPr>
          </w:p>
        </w:tc>
        <w:tc>
          <w:tcPr>
            <w:tcW w:w="1411" w:type="dxa"/>
            <w:tcBorders>
              <w:tl2br w:val="nil"/>
              <w:tr2bl w:val="nil"/>
            </w:tcBorders>
            <w:shd w:val="clear" w:color="auto" w:fill="FFFFFF"/>
            <w:vAlign w:val="center"/>
          </w:tcPr>
          <w:p w14:paraId="685CE8A3">
            <w:pPr>
              <w:widowControl/>
              <w:ind w:firstLine="0" w:firstLineChars="0"/>
              <w:jc w:val="center"/>
              <w:rPr>
                <w:rFonts w:hint="eastAsia" w:ascii="宋体" w:hAnsi="宋体" w:eastAsia="宋体" w:cs="宋体"/>
                <w:color w:val="000000"/>
                <w:kern w:val="0"/>
                <w:sz w:val="22"/>
                <w:highlight w:val="none"/>
              </w:rPr>
            </w:pPr>
            <w:r>
              <w:rPr>
                <w:rFonts w:hint="eastAsia" w:ascii="宋体" w:hAnsi="宋体" w:eastAsia="宋体" w:cs="宋体"/>
                <w:color w:val="000000"/>
                <w:kern w:val="0"/>
                <w:sz w:val="22"/>
                <w:highlight w:val="none"/>
              </w:rPr>
              <w:t>劳务费</w:t>
            </w:r>
          </w:p>
        </w:tc>
        <w:tc>
          <w:tcPr>
            <w:tcW w:w="2789" w:type="dxa"/>
            <w:vMerge w:val="continue"/>
            <w:tcBorders>
              <w:tl2br w:val="nil"/>
              <w:tr2bl w:val="nil"/>
            </w:tcBorders>
            <w:shd w:val="clear" w:color="000000" w:fill="FFFFFF"/>
            <w:vAlign w:val="center"/>
          </w:tcPr>
          <w:p w14:paraId="2CCE8C52">
            <w:pPr>
              <w:widowControl/>
              <w:ind w:firstLine="0" w:firstLineChars="0"/>
              <w:jc w:val="center"/>
              <w:rPr>
                <w:rFonts w:hint="eastAsia" w:ascii="宋体" w:hAnsi="宋体" w:eastAsia="宋体" w:cs="宋体"/>
                <w:color w:val="000000"/>
                <w:kern w:val="0"/>
                <w:sz w:val="22"/>
                <w:highlight w:val="yellow"/>
              </w:rPr>
            </w:pPr>
          </w:p>
        </w:tc>
        <w:tc>
          <w:tcPr>
            <w:tcW w:w="7341" w:type="dxa"/>
            <w:vMerge w:val="continue"/>
            <w:tcBorders>
              <w:tl2br w:val="nil"/>
              <w:tr2bl w:val="nil"/>
            </w:tcBorders>
            <w:shd w:val="clear" w:color="000000" w:fill="FFFFFF"/>
            <w:vAlign w:val="center"/>
          </w:tcPr>
          <w:p w14:paraId="027CA4FF">
            <w:pPr>
              <w:widowControl/>
              <w:ind w:firstLine="0" w:firstLineChars="0"/>
              <w:jc w:val="center"/>
              <w:rPr>
                <w:rFonts w:hint="eastAsia" w:ascii="宋体" w:hAnsi="宋体" w:eastAsia="宋体" w:cs="宋体"/>
                <w:color w:val="000000"/>
                <w:kern w:val="0"/>
                <w:sz w:val="22"/>
                <w:highlight w:val="yellow"/>
              </w:rPr>
            </w:pPr>
          </w:p>
        </w:tc>
      </w:tr>
      <w:tr w14:paraId="76A6A6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tcBorders>
              <w:tl2br w:val="nil"/>
              <w:tr2bl w:val="nil"/>
            </w:tcBorders>
            <w:shd w:val="clear" w:color="auto" w:fill="FFFFFF"/>
            <w:vAlign w:val="center"/>
          </w:tcPr>
          <w:p w14:paraId="22D28866">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效益</w:t>
            </w:r>
          </w:p>
        </w:tc>
        <w:tc>
          <w:tcPr>
            <w:tcW w:w="1199" w:type="dxa"/>
            <w:tcBorders>
              <w:tl2br w:val="nil"/>
              <w:tr2bl w:val="nil"/>
            </w:tcBorders>
            <w:shd w:val="clear" w:color="auto" w:fill="FFFFFF"/>
            <w:vAlign w:val="center"/>
          </w:tcPr>
          <w:p w14:paraId="01C7704C">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社会效益指标</w:t>
            </w:r>
          </w:p>
        </w:tc>
        <w:tc>
          <w:tcPr>
            <w:tcW w:w="1411" w:type="dxa"/>
            <w:tcBorders>
              <w:tl2br w:val="nil"/>
              <w:tr2bl w:val="nil"/>
            </w:tcBorders>
            <w:shd w:val="clear" w:color="auto" w:fill="FFFFFF"/>
            <w:vAlign w:val="center"/>
          </w:tcPr>
          <w:p w14:paraId="5B2BD2C6">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提升我院中医药诊疗服务能力</w:t>
            </w:r>
          </w:p>
        </w:tc>
        <w:tc>
          <w:tcPr>
            <w:tcW w:w="2789" w:type="dxa"/>
            <w:tcBorders>
              <w:tl2br w:val="nil"/>
              <w:tr2bl w:val="nil"/>
            </w:tcBorders>
            <w:shd w:val="clear" w:color="auto" w:fill="FFFFFF"/>
            <w:vAlign w:val="center"/>
          </w:tcPr>
          <w:p w14:paraId="3B41D47E">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项目实施所产生的效益。</w:t>
            </w:r>
          </w:p>
        </w:tc>
        <w:tc>
          <w:tcPr>
            <w:tcW w:w="7341" w:type="dxa"/>
            <w:tcBorders>
              <w:tl2br w:val="nil"/>
              <w:tr2bl w:val="nil"/>
            </w:tcBorders>
            <w:shd w:val="clear" w:color="auto" w:fill="FFFFFF"/>
            <w:vAlign w:val="center"/>
          </w:tcPr>
          <w:p w14:paraId="6781B917">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项目实施所产生的社会效益、经济效益、生态效益、可持续影响等。可根据项目实际情况有选择地设置和细化。</w:t>
            </w:r>
          </w:p>
        </w:tc>
      </w:tr>
      <w:tr w14:paraId="7EBCA3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14:paraId="273ADBE3">
            <w:pPr>
              <w:widowControl/>
              <w:ind w:firstLine="0" w:firstLineChars="0"/>
              <w:jc w:val="center"/>
              <w:rPr>
                <w:rFonts w:ascii="宋体" w:hAnsi="宋体" w:eastAsia="宋体" w:cs="宋体"/>
                <w:color w:val="000000"/>
                <w:kern w:val="0"/>
                <w:sz w:val="22"/>
                <w:highlight w:val="none"/>
              </w:rPr>
            </w:pPr>
            <w:r>
              <w:rPr>
                <w:rFonts w:ascii="宋体" w:hAnsi="宋体" w:eastAsia="宋体" w:cs="宋体"/>
                <w:color w:val="000000"/>
                <w:kern w:val="0"/>
                <w:sz w:val="22"/>
                <w:highlight w:val="none"/>
              </w:rPr>
              <w:t>满意度指标完成情况分析</w:t>
            </w:r>
          </w:p>
        </w:tc>
        <w:tc>
          <w:tcPr>
            <w:tcW w:w="1199" w:type="dxa"/>
            <w:tcBorders>
              <w:tl2br w:val="nil"/>
              <w:tr2bl w:val="nil"/>
            </w:tcBorders>
            <w:shd w:val="clear" w:color="auto" w:fill="FFFFFF"/>
            <w:vAlign w:val="center"/>
          </w:tcPr>
          <w:p w14:paraId="18125C73">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满意度指标</w:t>
            </w:r>
          </w:p>
        </w:tc>
        <w:tc>
          <w:tcPr>
            <w:tcW w:w="1411" w:type="dxa"/>
            <w:tcBorders>
              <w:tl2br w:val="nil"/>
              <w:tr2bl w:val="nil"/>
            </w:tcBorders>
            <w:shd w:val="clear" w:color="auto" w:fill="FFFFFF"/>
            <w:vAlign w:val="center"/>
          </w:tcPr>
          <w:p w14:paraId="1371581C">
            <w:pPr>
              <w:widowControl/>
              <w:ind w:firstLine="0" w:firstLineChars="0"/>
              <w:jc w:val="center"/>
              <w:rPr>
                <w:rFonts w:hint="default" w:ascii="宋体" w:hAnsi="宋体" w:eastAsia="宋体" w:cs="宋体"/>
                <w:color w:val="000000"/>
                <w:kern w:val="0"/>
                <w:sz w:val="22"/>
                <w:highlight w:val="none"/>
                <w:lang w:val="en-US" w:eastAsia="zh-CN"/>
              </w:rPr>
            </w:pPr>
            <w:r>
              <w:rPr>
                <w:rFonts w:hint="eastAsia" w:ascii="宋体" w:hAnsi="宋体" w:eastAsia="宋体" w:cs="宋体"/>
                <w:color w:val="000000"/>
                <w:kern w:val="0"/>
                <w:sz w:val="22"/>
                <w:highlight w:val="none"/>
                <w:lang w:val="en-US" w:eastAsia="zh-CN"/>
              </w:rPr>
              <w:t>患者满意度</w:t>
            </w:r>
          </w:p>
        </w:tc>
        <w:tc>
          <w:tcPr>
            <w:tcW w:w="2789" w:type="dxa"/>
            <w:tcBorders>
              <w:tl2br w:val="nil"/>
              <w:tr2bl w:val="nil"/>
            </w:tcBorders>
            <w:shd w:val="clear" w:color="000000" w:fill="FFFFFF"/>
            <w:vAlign w:val="center"/>
          </w:tcPr>
          <w:p w14:paraId="7E4DE3B7">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社会公众或服务对象对项目实施效果的满意程度。</w:t>
            </w:r>
          </w:p>
        </w:tc>
        <w:tc>
          <w:tcPr>
            <w:tcW w:w="7341" w:type="dxa"/>
            <w:tcBorders>
              <w:tl2br w:val="nil"/>
              <w:tr2bl w:val="nil"/>
            </w:tcBorders>
            <w:shd w:val="clear" w:color="000000" w:fill="FFFFFF"/>
            <w:vAlign w:val="center"/>
          </w:tcPr>
          <w:p w14:paraId="0D25D081">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社会公众或服务对象是指因该项目实施而受到影响的部门（单位）、群体或个人。一般采取社会调查的方式。</w:t>
            </w:r>
          </w:p>
        </w:tc>
      </w:tr>
    </w:tbl>
    <w:p w14:paraId="5A63A39A">
      <w:pPr>
        <w:ind w:firstLine="0" w:firstLineChars="0"/>
        <w:jc w:val="center"/>
        <w:rPr>
          <w:rFonts w:ascii="仿宋_GB2312"/>
        </w:rPr>
      </w:pPr>
    </w:p>
    <w:p w14:paraId="42239DDE">
      <w:pPr>
        <w:ind w:firstLine="0" w:firstLineChars="0"/>
        <w:jc w:val="center"/>
        <w:rPr>
          <w:rFonts w:ascii="仿宋_GB2312"/>
        </w:rPr>
      </w:pPr>
    </w:p>
    <w:p w14:paraId="2FB23265">
      <w:pPr>
        <w:ind w:firstLine="0" w:firstLineChars="0"/>
        <w:jc w:val="center"/>
        <w:rPr>
          <w:rFonts w:ascii="仿宋_GB2312"/>
        </w:rPr>
      </w:pPr>
    </w:p>
    <w:p w14:paraId="674E31B4">
      <w:pPr>
        <w:ind w:firstLine="0" w:firstLineChars="0"/>
        <w:jc w:val="center"/>
        <w:rPr>
          <w:rFonts w:ascii="仿宋_GB2312"/>
        </w:rPr>
      </w:pPr>
    </w:p>
    <w:p w14:paraId="499E7004">
      <w:pPr>
        <w:ind w:firstLine="0" w:firstLineChars="0"/>
        <w:jc w:val="center"/>
        <w:rPr>
          <w:rFonts w:ascii="仿宋_GB2312"/>
        </w:rPr>
      </w:pPr>
    </w:p>
    <w:p w14:paraId="3E65537A">
      <w:pPr>
        <w:ind w:firstLine="0" w:firstLineChars="0"/>
        <w:jc w:val="center"/>
        <w:rPr>
          <w:rFonts w:ascii="仿宋_GB2312"/>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14:paraId="75857CF2">
      <w:pPr>
        <w:pStyle w:val="4"/>
        <w:ind w:firstLine="643"/>
      </w:pPr>
      <w:bookmarkStart w:id="22" w:name="_Toc165277234"/>
      <w:bookmarkStart w:id="23" w:name="_Hlk67586038"/>
      <w:r>
        <w:t>3.</w:t>
      </w:r>
      <w:r>
        <w:rPr>
          <w:rFonts w:hint="eastAsia"/>
        </w:rPr>
        <w:t>评价方法</w:t>
      </w:r>
      <w:bookmarkEnd w:id="22"/>
    </w:p>
    <w:bookmarkEnd w:id="23"/>
    <w:p w14:paraId="254C0155">
      <w:pPr>
        <w:spacing w:line="360" w:lineRule="auto"/>
        <w:ind w:firstLine="560"/>
        <w:rPr>
          <w:rFonts w:ascii="仿宋_GB2312"/>
        </w:rPr>
      </w:pPr>
      <w:r>
        <w:rPr>
          <w:rFonts w:hint="eastAsia" w:ascii="仿宋_GB2312"/>
        </w:rPr>
        <w:t>《关于印发&lt;项目支出绩效评价管理办法&gt;的通知》（财预〔2020〕10号）文件指出部门评价的方法主要包括成本效益分析法、比较法、因素分析法、最低成本法、公众评判法、标杆管理法等。</w:t>
      </w:r>
    </w:p>
    <w:p w14:paraId="0A0B9B5B">
      <w:pPr>
        <w:spacing w:line="360" w:lineRule="auto"/>
        <w:ind w:firstLine="560"/>
        <w:rPr>
          <w:rFonts w:ascii="仿宋_GB2312"/>
        </w:rPr>
      </w:pPr>
      <w:r>
        <w:rPr>
          <w:rFonts w:hint="eastAsia" w:ascii="仿宋_GB2312"/>
        </w:rPr>
        <w:t>（1）成本效益分析法。是指将投入与产出、效益进行关联性分析的方法。</w:t>
      </w:r>
    </w:p>
    <w:p w14:paraId="7A539772">
      <w:pPr>
        <w:spacing w:line="360" w:lineRule="auto"/>
        <w:ind w:firstLine="560"/>
        <w:rPr>
          <w:rFonts w:ascii="仿宋_GB2312"/>
          <w:highlight w:val="none"/>
        </w:rPr>
      </w:pPr>
      <w:r>
        <w:rPr>
          <w:rFonts w:hint="eastAsia" w:ascii="仿宋_GB2312"/>
          <w:highlight w:val="none"/>
        </w:rPr>
        <w:t>（2）比较法。是指将实施情况与绩效目标、历史情况、不同部门和地区同类支出情况进行比较的方法。</w:t>
      </w:r>
    </w:p>
    <w:p w14:paraId="73E5E2C0">
      <w:pPr>
        <w:spacing w:line="360" w:lineRule="auto"/>
        <w:ind w:firstLine="560"/>
        <w:rPr>
          <w:rFonts w:ascii="仿宋_GB2312"/>
        </w:rPr>
      </w:pPr>
      <w:r>
        <w:rPr>
          <w:rFonts w:hint="eastAsia" w:ascii="仿宋_GB2312"/>
        </w:rPr>
        <w:t>（3）因素分析法。是指综合分析影响绩效目标实现、实施效果的内外部因素的方法。</w:t>
      </w:r>
    </w:p>
    <w:p w14:paraId="5538E725">
      <w:pPr>
        <w:spacing w:line="360" w:lineRule="auto"/>
        <w:ind w:firstLine="560"/>
        <w:rPr>
          <w:rFonts w:ascii="仿宋_GB2312"/>
        </w:rPr>
      </w:pPr>
      <w:r>
        <w:rPr>
          <w:rFonts w:hint="eastAsia" w:ascii="仿宋_GB2312"/>
        </w:rPr>
        <w:t>（4）最低成本法。是指在绩效目标确定的前提下，成本最小者为优的方法。</w:t>
      </w:r>
    </w:p>
    <w:p w14:paraId="030858FA">
      <w:pPr>
        <w:spacing w:line="360" w:lineRule="auto"/>
        <w:ind w:firstLine="560"/>
        <w:rPr>
          <w:rFonts w:ascii="仿宋_GB2312"/>
        </w:rPr>
      </w:pPr>
      <w:r>
        <w:rPr>
          <w:rFonts w:hint="eastAsia" w:ascii="仿宋_GB2312"/>
        </w:rPr>
        <w:t>（5）公众评判法。是指通过专家评估、公众问卷及抽样调查等方式进行评判的方法。</w:t>
      </w:r>
    </w:p>
    <w:p w14:paraId="724A1CD3">
      <w:pPr>
        <w:spacing w:line="360" w:lineRule="auto"/>
        <w:ind w:firstLine="560"/>
        <w:rPr>
          <w:rFonts w:ascii="仿宋_GB2312"/>
        </w:rPr>
      </w:pPr>
      <w:r>
        <w:rPr>
          <w:rFonts w:hint="eastAsia" w:ascii="仿宋_GB2312"/>
        </w:rPr>
        <w:t>（6）标杆管理法。是指以国内外同行业中较高的绩效水平为标杆进行评判的方法。</w:t>
      </w:r>
    </w:p>
    <w:p w14:paraId="0BBBC438">
      <w:pPr>
        <w:spacing w:line="360" w:lineRule="auto"/>
        <w:ind w:firstLine="560"/>
        <w:rPr>
          <w:rFonts w:ascii="仿宋_GB2312"/>
        </w:rPr>
      </w:pPr>
      <w:r>
        <w:rPr>
          <w:rFonts w:hint="eastAsia" w:ascii="仿宋_GB2312"/>
        </w:rPr>
        <w:t>（7）其他评价方法。</w:t>
      </w:r>
    </w:p>
    <w:p w14:paraId="44FD3C17">
      <w:pPr>
        <w:spacing w:line="360" w:lineRule="auto"/>
        <w:ind w:firstLine="560"/>
        <w:rPr>
          <w:rFonts w:ascii="仿宋_GB2312"/>
        </w:rPr>
      </w:pPr>
      <w:r>
        <w:rPr>
          <w:rFonts w:hint="eastAsia" w:ascii="仿宋_GB2312"/>
        </w:rPr>
        <w:t>根据本项目（《关于拨付乌鲁木齐市中医药传承创新发展示范试点项目市级财政经费的通知》（乌财社〔2024〕74号））的特点，本次评价主要采用</w:t>
      </w:r>
      <w:r>
        <w:rPr>
          <w:rFonts w:hint="eastAsia" w:ascii="仿宋_GB2312"/>
          <w:lang w:val="en-US" w:eastAsia="zh-CN"/>
        </w:rPr>
        <w:t>比较法</w:t>
      </w:r>
      <w:r>
        <w:rPr>
          <w:rFonts w:hint="eastAsia" w:ascii="仿宋_GB2312"/>
        </w:rPr>
        <w:t>，对项目总预算和明细预算的内容、标准、计划是否经济合理进行深入分析，以考察实际产出和效益是否达到预期。</w:t>
      </w:r>
    </w:p>
    <w:p w14:paraId="60B99DF5">
      <w:pPr>
        <w:pStyle w:val="4"/>
        <w:ind w:firstLine="643"/>
      </w:pPr>
      <w:bookmarkStart w:id="24" w:name="_Toc165277235"/>
      <w:r>
        <w:t>4.</w:t>
      </w:r>
      <w:r>
        <w:rPr>
          <w:rFonts w:hint="eastAsia"/>
        </w:rPr>
        <w:t>评价标准</w:t>
      </w:r>
      <w:bookmarkEnd w:id="24"/>
    </w:p>
    <w:p w14:paraId="3D058ED7">
      <w:pPr>
        <w:spacing w:line="360" w:lineRule="auto"/>
        <w:ind w:firstLine="560"/>
        <w:rPr>
          <w:rFonts w:ascii="仿宋_GB2312"/>
        </w:rPr>
      </w:pPr>
      <w:r>
        <w:rPr>
          <w:rFonts w:hint="eastAsia" w:ascii="仿宋_GB2312"/>
        </w:rPr>
        <w:t>绩效评价标准主要包括计划标准、行业标准、历史标准等，用于对绩效指标完成情况进行比较。</w:t>
      </w:r>
    </w:p>
    <w:p w14:paraId="194596A4">
      <w:pPr>
        <w:spacing w:line="360" w:lineRule="auto"/>
        <w:ind w:firstLine="560"/>
        <w:rPr>
          <w:rFonts w:ascii="仿宋_GB2312"/>
        </w:rPr>
      </w:pPr>
      <w:r>
        <w:rPr>
          <w:rFonts w:hint="eastAsia" w:ascii="仿宋_GB2312"/>
        </w:rPr>
        <w:t>（1）计划标准。指以预先制定的目标、计划、预算、定额等作为评价标准。</w:t>
      </w:r>
    </w:p>
    <w:p w14:paraId="1DB0BE76">
      <w:pPr>
        <w:spacing w:line="360" w:lineRule="auto"/>
        <w:ind w:firstLine="560"/>
        <w:rPr>
          <w:rFonts w:ascii="仿宋_GB2312"/>
        </w:rPr>
      </w:pPr>
      <w:r>
        <w:rPr>
          <w:rFonts w:hint="eastAsia" w:ascii="仿宋_GB2312"/>
        </w:rPr>
        <w:t>（2）行业标准。指参照国家公布的行业指标数据制定的评价标准。</w:t>
      </w:r>
    </w:p>
    <w:p w14:paraId="6BDE1DEA">
      <w:pPr>
        <w:spacing w:line="360" w:lineRule="auto"/>
        <w:ind w:firstLine="560"/>
        <w:rPr>
          <w:rFonts w:ascii="仿宋_GB2312"/>
        </w:rPr>
      </w:pPr>
      <w:r>
        <w:rPr>
          <w:rFonts w:hint="eastAsia" w:ascii="仿宋_GB2312"/>
        </w:rPr>
        <w:t>（3）历史标准。指参照历史数据制定的评价标准，为体现绩效改进的原则，在可实现的条件下应当确定相对较高的评价标准。</w:t>
      </w:r>
    </w:p>
    <w:p w14:paraId="40DCFC74">
      <w:pPr>
        <w:spacing w:line="360" w:lineRule="auto"/>
        <w:ind w:firstLine="560"/>
        <w:rPr>
          <w:rFonts w:ascii="仿宋_GB2312"/>
        </w:rPr>
      </w:pPr>
      <w:r>
        <w:rPr>
          <w:rFonts w:hint="eastAsia" w:ascii="仿宋_GB2312"/>
        </w:rPr>
        <w:t>在上述评价标准的基础上，本次评价依据以下文件为重要指导和准绳：</w:t>
      </w:r>
    </w:p>
    <w:p w14:paraId="0D0473D0">
      <w:pPr>
        <w:spacing w:line="360" w:lineRule="auto"/>
        <w:ind w:firstLine="560"/>
        <w:rPr>
          <w:rFonts w:ascii="仿宋_GB2312"/>
        </w:rPr>
      </w:pPr>
      <w:r>
        <w:rPr>
          <w:rFonts w:hint="eastAsia" w:ascii="黑体" w:hAnsi="黑体" w:eastAsia="黑体" w:cs="Times New Roman"/>
          <w:szCs w:val="28"/>
        </w:rPr>
        <w:t>·</w:t>
      </w:r>
      <w:r>
        <w:rPr>
          <w:rFonts w:hint="eastAsia" w:ascii="仿宋_GB2312"/>
        </w:rPr>
        <w:t>《中共中央国务院关于全面实施预算绩效管理的意见》（中发〔2018〕34号）</w:t>
      </w:r>
    </w:p>
    <w:p w14:paraId="0547CF36">
      <w:pPr>
        <w:spacing w:line="360" w:lineRule="auto"/>
        <w:ind w:firstLine="560"/>
        <w:rPr>
          <w:rFonts w:ascii="仿宋_GB2312"/>
        </w:rPr>
      </w:pPr>
      <w:r>
        <w:rPr>
          <w:rFonts w:hint="eastAsia" w:ascii="黑体" w:hAnsi="黑体" w:eastAsia="黑体" w:cs="Times New Roman"/>
          <w:szCs w:val="28"/>
        </w:rPr>
        <w:t>·</w:t>
      </w:r>
      <w:r>
        <w:rPr>
          <w:rFonts w:hint="eastAsia" w:ascii="仿宋_GB2312"/>
        </w:rPr>
        <w:t>《关于印发&lt;乌鲁木齐市本级部门预算绩效目标管理暂行办法&gt;的通知》（乌财预〔2018〕56号）</w:t>
      </w:r>
    </w:p>
    <w:p w14:paraId="05334EF6">
      <w:pPr>
        <w:spacing w:line="360" w:lineRule="auto"/>
        <w:ind w:firstLine="560" w:firstLineChars="0"/>
        <w:rPr>
          <w:rFonts w:ascii="仿宋_GB2312"/>
        </w:rPr>
      </w:pPr>
      <w:r>
        <w:rPr>
          <w:rFonts w:hint="eastAsia" w:ascii="黑体" w:hAnsi="黑体" w:eastAsia="黑体" w:cs="Times New Roman"/>
          <w:szCs w:val="28"/>
        </w:rPr>
        <w:t>·</w:t>
      </w:r>
      <w:r>
        <w:rPr>
          <w:rFonts w:hint="eastAsia" w:ascii="仿宋_GB2312"/>
        </w:rPr>
        <w:t>《关于做好2019年部门预算项目支出绩效目标管理有关事宜的通知》（乌财预〔2018〕76号）</w:t>
      </w:r>
    </w:p>
    <w:p w14:paraId="315D9ADA">
      <w:pPr>
        <w:spacing w:line="360" w:lineRule="auto"/>
        <w:ind w:firstLine="560"/>
        <w:rPr>
          <w:rFonts w:ascii="仿宋_GB2312"/>
        </w:rPr>
      </w:pPr>
      <w:r>
        <w:rPr>
          <w:rFonts w:hint="eastAsia" w:ascii="黑体" w:hAnsi="黑体" w:eastAsia="黑体" w:cs="Times New Roman"/>
          <w:szCs w:val="28"/>
        </w:rPr>
        <w:t>·</w:t>
      </w:r>
      <w:r>
        <w:rPr>
          <w:rFonts w:hint="eastAsia" w:ascii="仿宋_GB2312"/>
        </w:rPr>
        <w:t>《项目支出绩效评价管理办法》（财预〔2020〕10号）</w:t>
      </w:r>
    </w:p>
    <w:p w14:paraId="15D33E30">
      <w:pPr>
        <w:spacing w:line="360" w:lineRule="auto"/>
        <w:ind w:firstLine="560"/>
        <w:rPr>
          <w:rFonts w:hint="eastAsia" w:ascii="仿宋_GB2312"/>
        </w:rPr>
      </w:pPr>
      <w:r>
        <w:rPr>
          <w:rFonts w:hint="eastAsia" w:ascii="黑体" w:hAnsi="黑体" w:eastAsia="黑体" w:cs="Times New Roman"/>
          <w:szCs w:val="28"/>
        </w:rPr>
        <w:t>·</w:t>
      </w:r>
      <w:r>
        <w:rPr>
          <w:rFonts w:hint="eastAsia" w:ascii="仿宋_GB2312"/>
        </w:rPr>
        <w:t>《关于拨付乌鲁木齐市中医药传承创新发展示范试点项目市级财政经费的通知》（乌财社〔2024〕74号）</w:t>
      </w:r>
    </w:p>
    <w:p w14:paraId="28C49BA4">
      <w:pPr>
        <w:spacing w:line="360" w:lineRule="auto"/>
        <w:ind w:firstLine="560"/>
        <w:rPr>
          <w:rFonts w:hint="eastAsia" w:ascii="仿宋_GB2312"/>
        </w:rPr>
      </w:pPr>
      <w:r>
        <w:rPr>
          <w:rFonts w:hint="eastAsia" w:ascii="黑体" w:hAnsi="黑体" w:eastAsia="黑体" w:cs="Times New Roman"/>
          <w:szCs w:val="28"/>
        </w:rPr>
        <w:t>·</w:t>
      </w:r>
      <w:r>
        <w:rPr>
          <w:rFonts w:hint="eastAsia" w:ascii="仿宋_GB2312"/>
        </w:rPr>
        <w:t>《乌鲁木齐市中医药传承创新发展示范试点项目实施方案》</w:t>
      </w:r>
    </w:p>
    <w:p w14:paraId="27350183">
      <w:pPr>
        <w:spacing w:line="360" w:lineRule="auto"/>
        <w:ind w:firstLine="560"/>
        <w:rPr>
          <w:rFonts w:ascii="仿宋_GB2312"/>
        </w:rPr>
      </w:pPr>
      <w:r>
        <w:rPr>
          <w:rFonts w:hint="eastAsia" w:ascii="黑体" w:hAnsi="黑体" w:eastAsia="黑体" w:cs="Times New Roman"/>
          <w:szCs w:val="28"/>
        </w:rPr>
        <w:t>·</w:t>
      </w:r>
      <w:r>
        <w:rPr>
          <w:rFonts w:hint="eastAsia" w:ascii="仿宋_GB2312"/>
        </w:rPr>
        <w:t>《2024年市人民政府研究财政事项第6次专题会议纪要》</w:t>
      </w:r>
    </w:p>
    <w:p w14:paraId="6C4ED062">
      <w:pPr>
        <w:pStyle w:val="3"/>
        <w:ind w:firstLine="643"/>
        <w:rPr>
          <w:rFonts w:ascii="仿宋" w:hAnsi="仿宋" w:eastAsia="仿宋"/>
          <w:lang w:bidi="en-US"/>
        </w:rPr>
      </w:pPr>
      <w:bookmarkStart w:id="25" w:name="_Toc67911607"/>
      <w:bookmarkStart w:id="26" w:name="_Toc165277236"/>
      <w:r>
        <w:rPr>
          <w:rFonts w:hint="eastAsia" w:ascii="仿宋" w:hAnsi="仿宋" w:eastAsia="仿宋"/>
          <w:lang w:bidi="en-US"/>
        </w:rPr>
        <w:t>（三）绩效评价工作过程</w:t>
      </w:r>
      <w:bookmarkEnd w:id="25"/>
      <w:bookmarkEnd w:id="26"/>
    </w:p>
    <w:p w14:paraId="7BAD651D">
      <w:pPr>
        <w:spacing w:line="360" w:lineRule="auto"/>
        <w:ind w:firstLine="560"/>
        <w:rPr>
          <w:rFonts w:ascii="仿宋_GB2312"/>
        </w:rPr>
      </w:pPr>
      <w:r>
        <w:rPr>
          <w:rFonts w:hint="eastAsia" w:ascii="仿宋_GB231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0"/>
          <w:rFonts w:ascii="仿宋_GB2312"/>
        </w:rPr>
        <w:footnoteReference w:id="0"/>
      </w:r>
      <w:r>
        <w:rPr>
          <w:rFonts w:hint="eastAsia" w:ascii="仿宋_GB2312"/>
        </w:rPr>
        <w:t>、材料审核分析、现场核查评价、综合分析评价及报告撰写，评价项目实施情况，展现资金使用效益。</w:t>
      </w:r>
    </w:p>
    <w:p w14:paraId="1FE5F852">
      <w:pPr>
        <w:pStyle w:val="2"/>
        <w:ind w:firstLine="0" w:firstLineChars="0"/>
        <w:jc w:val="left"/>
        <w:rPr>
          <w:rFonts w:ascii="仿宋" w:hAnsi="仿宋" w:eastAsia="仿宋"/>
          <w:sz w:val="36"/>
          <w:szCs w:val="36"/>
          <w:lang w:bidi="en-US"/>
        </w:rPr>
      </w:pPr>
      <w:bookmarkStart w:id="27" w:name="_Toc165277237"/>
      <w:bookmarkStart w:id="28" w:name="_Toc67911608"/>
      <w:r>
        <w:rPr>
          <w:rFonts w:hint="eastAsia" w:ascii="仿宋" w:hAnsi="仿宋" w:eastAsia="仿宋"/>
          <w:sz w:val="36"/>
          <w:szCs w:val="36"/>
          <w:lang w:bidi="en-US"/>
        </w:rPr>
        <w:t>三、综合评价情况及评价结论</w:t>
      </w:r>
      <w:bookmarkEnd w:id="27"/>
      <w:bookmarkEnd w:id="28"/>
    </w:p>
    <w:p w14:paraId="50BF092D">
      <w:pPr>
        <w:pStyle w:val="3"/>
        <w:ind w:firstLine="643"/>
        <w:rPr>
          <w:rFonts w:ascii="仿宋" w:hAnsi="仿宋" w:eastAsia="仿宋"/>
          <w:lang w:bidi="en-US"/>
        </w:rPr>
      </w:pPr>
      <w:bookmarkStart w:id="29" w:name="_Toc67911609"/>
      <w:bookmarkStart w:id="30" w:name="_Toc165277238"/>
      <w:r>
        <w:rPr>
          <w:rFonts w:hint="eastAsia" w:ascii="仿宋" w:hAnsi="仿宋" w:eastAsia="仿宋"/>
          <w:lang w:bidi="en-US"/>
        </w:rPr>
        <w:t>（一）评价结论</w:t>
      </w:r>
      <w:bookmarkEnd w:id="29"/>
      <w:bookmarkEnd w:id="30"/>
    </w:p>
    <w:p w14:paraId="32F149F6">
      <w:pPr>
        <w:spacing w:line="360" w:lineRule="auto"/>
        <w:ind w:firstLine="560"/>
        <w:rPr>
          <w:rFonts w:ascii="仿宋_GB2312"/>
          <w:szCs w:val="28"/>
        </w:rPr>
      </w:pPr>
      <w:r>
        <w:rPr>
          <w:rFonts w:hint="eastAsia" w:ascii="仿宋_GB2312"/>
          <w:szCs w:val="28"/>
        </w:rPr>
        <w:t>结合项目特点，制定符合项目实际的绩效评价指标体系及评分标准，通过数据采集、问卷调查及访谈等形式，对2024年《关于拨付乌鲁木齐市中医药传承创新发展示范试点项目市级财政经费的通知》（乌财社〔2024〕74号）进行客观评价，最终评分结果为：总分为</w:t>
      </w:r>
      <w:r>
        <w:rPr>
          <w:rFonts w:hint="eastAsia" w:ascii="仿宋_GB2312"/>
          <w:szCs w:val="28"/>
          <w:lang w:val="en-US" w:eastAsia="zh-CN"/>
        </w:rPr>
        <w:t>97</w:t>
      </w:r>
      <w:r>
        <w:rPr>
          <w:rFonts w:hint="eastAsia" w:ascii="仿宋_GB2312"/>
          <w:szCs w:val="28"/>
        </w:rPr>
        <w:t>分，绩效评级为“</w:t>
      </w:r>
      <w:r>
        <w:rPr>
          <w:rFonts w:hint="eastAsia" w:ascii="仿宋_GB2312"/>
          <w:szCs w:val="28"/>
          <w:lang w:val="en-US" w:eastAsia="zh-CN"/>
        </w:rPr>
        <w:t>优</w:t>
      </w:r>
      <w:r>
        <w:rPr>
          <w:rFonts w:hint="eastAsia" w:ascii="仿宋_GB2312"/>
          <w:szCs w:val="28"/>
        </w:rPr>
        <w:t>”</w:t>
      </w:r>
      <w:r>
        <w:rPr>
          <w:rStyle w:val="20"/>
          <w:rFonts w:ascii="仿宋_GB2312"/>
          <w:szCs w:val="28"/>
        </w:rPr>
        <w:footnoteReference w:id="1"/>
      </w:r>
      <w:r>
        <w:rPr>
          <w:rFonts w:hint="eastAsia" w:ascii="仿宋_GB2312"/>
          <w:szCs w:val="28"/>
        </w:rPr>
        <w:t>。</w:t>
      </w:r>
    </w:p>
    <w:p w14:paraId="4F23C08B">
      <w:pPr>
        <w:spacing w:line="360" w:lineRule="auto"/>
        <w:ind w:firstLine="560"/>
        <w:rPr>
          <w:rFonts w:ascii="仿宋_GB2312"/>
          <w:szCs w:val="28"/>
          <w:highlight w:val="none"/>
        </w:rPr>
      </w:pPr>
      <w:r>
        <w:rPr>
          <w:rFonts w:hint="eastAsia" w:ascii="仿宋_GB2312"/>
          <w:szCs w:val="28"/>
          <w:highlight w:val="none"/>
        </w:rPr>
        <w:t>《关于拨付乌鲁木齐市中医药传承创新发展示范试点项目市级财政经费的通知》（乌财社〔2024〕74号）项目各部分权重和绩效分值如附表所示：</w:t>
      </w:r>
    </w:p>
    <w:p w14:paraId="45E4AD1B">
      <w:pPr>
        <w:spacing w:line="360" w:lineRule="auto"/>
        <w:ind w:firstLine="0" w:firstLineChars="0"/>
        <w:jc w:val="center"/>
        <w:rPr>
          <w:rFonts w:ascii="仿宋_GB2312"/>
          <w:b/>
          <w:bCs/>
          <w:szCs w:val="28"/>
        </w:rPr>
      </w:pPr>
      <w:r>
        <w:rPr>
          <w:rFonts w:ascii="仿宋_GB2312"/>
          <w:b/>
          <w:bCs/>
          <w:szCs w:val="28"/>
        </w:rPr>
        <w:t xml:space="preserve">  </w:t>
      </w:r>
      <w:r>
        <w:rPr>
          <w:rFonts w:hint="eastAsia" w:ascii="仿宋_GB2312"/>
          <w:b/>
          <w:bCs/>
          <w:szCs w:val="28"/>
        </w:rPr>
        <w:t>项目各部分权重和绩效分值</w:t>
      </w:r>
    </w:p>
    <w:tbl>
      <w:tblPr>
        <w:tblStyle w:val="15"/>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550"/>
        <w:gridCol w:w="1984"/>
        <w:gridCol w:w="2693"/>
        <w:gridCol w:w="898"/>
        <w:gridCol w:w="898"/>
        <w:gridCol w:w="1039"/>
      </w:tblGrid>
      <w:tr w14:paraId="136EA8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550" w:type="dxa"/>
            <w:tcBorders>
              <w:tl2br w:val="nil"/>
              <w:tr2bl w:val="nil"/>
            </w:tcBorders>
            <w:shd w:val="clear" w:color="auto" w:fill="D0CECE" w:themeFill="background2" w:themeFillShade="E6"/>
            <w:vAlign w:val="center"/>
          </w:tcPr>
          <w:p w14:paraId="68338A90">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一级指标</w:t>
            </w:r>
          </w:p>
        </w:tc>
        <w:tc>
          <w:tcPr>
            <w:tcW w:w="1984" w:type="dxa"/>
            <w:tcBorders>
              <w:tl2br w:val="nil"/>
              <w:tr2bl w:val="nil"/>
            </w:tcBorders>
            <w:shd w:val="clear" w:color="auto" w:fill="D0CECE" w:themeFill="background2" w:themeFillShade="E6"/>
            <w:vAlign w:val="center"/>
          </w:tcPr>
          <w:p w14:paraId="1C579DB7">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二级指标</w:t>
            </w:r>
          </w:p>
        </w:tc>
        <w:tc>
          <w:tcPr>
            <w:tcW w:w="2693" w:type="dxa"/>
            <w:tcBorders>
              <w:tl2br w:val="nil"/>
              <w:tr2bl w:val="nil"/>
            </w:tcBorders>
            <w:shd w:val="clear" w:color="auto" w:fill="D0CECE" w:themeFill="background2" w:themeFillShade="E6"/>
            <w:vAlign w:val="center"/>
          </w:tcPr>
          <w:p w14:paraId="684A426E">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三级指标</w:t>
            </w:r>
          </w:p>
        </w:tc>
        <w:tc>
          <w:tcPr>
            <w:tcW w:w="898" w:type="dxa"/>
            <w:tcBorders>
              <w:tl2br w:val="nil"/>
              <w:tr2bl w:val="nil"/>
            </w:tcBorders>
            <w:shd w:val="clear" w:color="auto" w:fill="D0CECE" w:themeFill="background2" w:themeFillShade="E6"/>
            <w:vAlign w:val="center"/>
          </w:tcPr>
          <w:p w14:paraId="03E364B5">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分值</w:t>
            </w:r>
          </w:p>
        </w:tc>
        <w:tc>
          <w:tcPr>
            <w:tcW w:w="898" w:type="dxa"/>
            <w:tcBorders>
              <w:tl2br w:val="nil"/>
              <w:tr2bl w:val="nil"/>
            </w:tcBorders>
            <w:shd w:val="clear" w:color="auto" w:fill="D0CECE" w:themeFill="background2" w:themeFillShade="E6"/>
            <w:vAlign w:val="center"/>
          </w:tcPr>
          <w:p w14:paraId="459B3910">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得分</w:t>
            </w:r>
          </w:p>
        </w:tc>
        <w:tc>
          <w:tcPr>
            <w:tcW w:w="1039" w:type="dxa"/>
            <w:tcBorders>
              <w:tl2br w:val="nil"/>
              <w:tr2bl w:val="nil"/>
            </w:tcBorders>
            <w:shd w:val="clear" w:color="auto" w:fill="D0CECE" w:themeFill="background2" w:themeFillShade="E6"/>
            <w:vAlign w:val="center"/>
          </w:tcPr>
          <w:p w14:paraId="7A185B2C">
            <w:pPr>
              <w:widowControl/>
              <w:ind w:firstLine="0" w:firstLineChars="0"/>
              <w:jc w:val="center"/>
              <w:rPr>
                <w:rFonts w:ascii="仿宋_GB2312" w:hAnsi="Gungsuh" w:cs="宋体"/>
                <w:b/>
                <w:bCs/>
                <w:kern w:val="0"/>
                <w:sz w:val="24"/>
                <w:szCs w:val="24"/>
              </w:rPr>
            </w:pPr>
            <w:r>
              <w:rPr>
                <w:rFonts w:hint="eastAsia" w:ascii="仿宋_GB2312" w:hAnsi="Gungsuh" w:cs="宋体"/>
                <w:b/>
                <w:bCs/>
                <w:kern w:val="0"/>
                <w:sz w:val="24"/>
                <w:szCs w:val="24"/>
              </w:rPr>
              <w:t>得分率</w:t>
            </w:r>
          </w:p>
        </w:tc>
      </w:tr>
      <w:tr w14:paraId="6C7C66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14:paraId="4C5E2BDC">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决策</w:t>
            </w:r>
          </w:p>
        </w:tc>
        <w:tc>
          <w:tcPr>
            <w:tcW w:w="1984" w:type="dxa"/>
            <w:vMerge w:val="restart"/>
            <w:tcBorders>
              <w:tl2br w:val="nil"/>
              <w:tr2bl w:val="nil"/>
            </w:tcBorders>
            <w:shd w:val="clear" w:color="auto" w:fill="FFFFFF"/>
            <w:vAlign w:val="center"/>
          </w:tcPr>
          <w:p w14:paraId="53C58584">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项目立项</w:t>
            </w:r>
          </w:p>
        </w:tc>
        <w:tc>
          <w:tcPr>
            <w:tcW w:w="2693" w:type="dxa"/>
            <w:tcBorders>
              <w:tl2br w:val="nil"/>
              <w:tr2bl w:val="nil"/>
            </w:tcBorders>
            <w:shd w:val="clear" w:color="auto" w:fill="FFFFFF"/>
            <w:vAlign w:val="center"/>
          </w:tcPr>
          <w:p w14:paraId="22C7A0B2">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立项依据充分性</w:t>
            </w:r>
          </w:p>
        </w:tc>
        <w:tc>
          <w:tcPr>
            <w:tcW w:w="898" w:type="dxa"/>
            <w:tcBorders>
              <w:tl2br w:val="nil"/>
              <w:tr2bl w:val="nil"/>
            </w:tcBorders>
            <w:shd w:val="clear" w:color="auto" w:fill="FFFFFF"/>
            <w:vAlign w:val="center"/>
          </w:tcPr>
          <w:p w14:paraId="5F6C8F93">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898" w:type="dxa"/>
            <w:tcBorders>
              <w:tl2br w:val="nil"/>
              <w:tr2bl w:val="nil"/>
            </w:tcBorders>
            <w:shd w:val="clear" w:color="auto" w:fill="FFFFFF"/>
            <w:vAlign w:val="center"/>
          </w:tcPr>
          <w:p w14:paraId="62CCDC1B">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4</w:t>
            </w:r>
          </w:p>
        </w:tc>
        <w:tc>
          <w:tcPr>
            <w:tcW w:w="1039" w:type="dxa"/>
            <w:tcBorders>
              <w:tl2br w:val="nil"/>
              <w:tr2bl w:val="nil"/>
            </w:tcBorders>
            <w:shd w:val="clear" w:color="auto" w:fill="FFFFFF"/>
            <w:vAlign w:val="center"/>
          </w:tcPr>
          <w:p w14:paraId="6824F29D">
            <w:pPr>
              <w:widowControl/>
              <w:ind w:firstLine="0" w:firstLineChars="0"/>
              <w:jc w:val="center"/>
              <w:rPr>
                <w:rFonts w:ascii="仿宋_GB2312" w:hAnsi="宋体" w:cs="宋体"/>
                <w:kern w:val="0"/>
                <w:sz w:val="24"/>
                <w:szCs w:val="24"/>
              </w:rPr>
            </w:pPr>
          </w:p>
        </w:tc>
      </w:tr>
      <w:tr w14:paraId="7E7D76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7B64B619">
            <w:pPr>
              <w:ind w:firstLine="48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61AADD22">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54483C47">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立项程序规范性</w:t>
            </w:r>
          </w:p>
        </w:tc>
        <w:tc>
          <w:tcPr>
            <w:tcW w:w="898" w:type="dxa"/>
            <w:tcBorders>
              <w:tl2br w:val="nil"/>
              <w:tr2bl w:val="nil"/>
            </w:tcBorders>
            <w:shd w:val="clear" w:color="auto" w:fill="FFFFFF"/>
            <w:vAlign w:val="center"/>
          </w:tcPr>
          <w:p w14:paraId="723D5F82">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898" w:type="dxa"/>
            <w:tcBorders>
              <w:tl2br w:val="nil"/>
              <w:tr2bl w:val="nil"/>
            </w:tcBorders>
            <w:shd w:val="clear" w:color="auto" w:fill="FFFFFF"/>
            <w:vAlign w:val="center"/>
          </w:tcPr>
          <w:p w14:paraId="3785F7C3">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4</w:t>
            </w:r>
          </w:p>
        </w:tc>
        <w:tc>
          <w:tcPr>
            <w:tcW w:w="1039" w:type="dxa"/>
            <w:tcBorders>
              <w:tl2br w:val="nil"/>
              <w:tr2bl w:val="nil"/>
            </w:tcBorders>
            <w:shd w:val="clear" w:color="auto" w:fill="FFFFFF"/>
            <w:vAlign w:val="center"/>
          </w:tcPr>
          <w:p w14:paraId="297EBF4B">
            <w:pPr>
              <w:widowControl/>
              <w:ind w:firstLine="0" w:firstLineChars="0"/>
              <w:jc w:val="center"/>
              <w:rPr>
                <w:rFonts w:ascii="仿宋_GB2312" w:hAnsi="宋体" w:cs="宋体"/>
                <w:kern w:val="0"/>
                <w:sz w:val="24"/>
                <w:szCs w:val="24"/>
              </w:rPr>
            </w:pPr>
          </w:p>
        </w:tc>
      </w:tr>
      <w:tr w14:paraId="2BCFEF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2E40157C">
            <w:pPr>
              <w:ind w:firstLine="48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14:paraId="6B850924">
            <w:pPr>
              <w:ind w:firstLine="0" w:firstLineChars="0"/>
              <w:jc w:val="center"/>
              <w:rPr>
                <w:rFonts w:ascii="仿宋_GB2312" w:hAnsi="宋体" w:cs="宋体"/>
                <w:kern w:val="0"/>
                <w:sz w:val="24"/>
                <w:szCs w:val="24"/>
              </w:rPr>
            </w:pPr>
            <w:r>
              <w:rPr>
                <w:rFonts w:hint="eastAsia" w:ascii="仿宋_GB2312" w:hAnsi="宋体" w:cs="宋体"/>
                <w:kern w:val="0"/>
                <w:sz w:val="24"/>
                <w:szCs w:val="24"/>
              </w:rPr>
              <w:t>绩效目标</w:t>
            </w:r>
          </w:p>
        </w:tc>
        <w:tc>
          <w:tcPr>
            <w:tcW w:w="2693" w:type="dxa"/>
            <w:tcBorders>
              <w:tl2br w:val="nil"/>
              <w:tr2bl w:val="nil"/>
            </w:tcBorders>
            <w:shd w:val="clear" w:color="auto" w:fill="FFFFFF"/>
            <w:vAlign w:val="center"/>
          </w:tcPr>
          <w:p w14:paraId="02A462F3">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绩效目标合理性</w:t>
            </w:r>
          </w:p>
        </w:tc>
        <w:tc>
          <w:tcPr>
            <w:tcW w:w="898" w:type="dxa"/>
            <w:tcBorders>
              <w:tl2br w:val="nil"/>
              <w:tr2bl w:val="nil"/>
            </w:tcBorders>
            <w:shd w:val="clear" w:color="000000" w:fill="FFFFFF"/>
            <w:vAlign w:val="center"/>
          </w:tcPr>
          <w:p w14:paraId="7774B0C8">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14:paraId="52AEE4D0">
            <w:pPr>
              <w:widowControl/>
              <w:ind w:firstLine="0" w:firstLineChars="0"/>
              <w:jc w:val="center"/>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3</w:t>
            </w:r>
          </w:p>
        </w:tc>
        <w:tc>
          <w:tcPr>
            <w:tcW w:w="1039" w:type="dxa"/>
            <w:tcBorders>
              <w:tl2br w:val="nil"/>
              <w:tr2bl w:val="nil"/>
            </w:tcBorders>
            <w:shd w:val="clear" w:color="000000" w:fill="FFFFFF"/>
            <w:vAlign w:val="center"/>
          </w:tcPr>
          <w:p w14:paraId="1A8CEF95">
            <w:pPr>
              <w:widowControl/>
              <w:ind w:firstLine="0" w:firstLineChars="0"/>
              <w:jc w:val="center"/>
              <w:rPr>
                <w:rFonts w:ascii="仿宋_GB2312" w:hAnsi="宋体" w:cs="宋体"/>
                <w:kern w:val="0"/>
                <w:sz w:val="24"/>
                <w:szCs w:val="24"/>
              </w:rPr>
            </w:pPr>
          </w:p>
        </w:tc>
      </w:tr>
      <w:tr w14:paraId="133D2D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632FB961">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38E7AEA2">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02A839AC">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绩效指标明确性</w:t>
            </w:r>
          </w:p>
        </w:tc>
        <w:tc>
          <w:tcPr>
            <w:tcW w:w="898" w:type="dxa"/>
            <w:tcBorders>
              <w:tl2br w:val="nil"/>
              <w:tr2bl w:val="nil"/>
            </w:tcBorders>
            <w:shd w:val="clear" w:color="000000" w:fill="FFFFFF"/>
            <w:vAlign w:val="center"/>
          </w:tcPr>
          <w:p w14:paraId="0AB92107">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14:paraId="7B34BD18">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3</w:t>
            </w:r>
          </w:p>
        </w:tc>
        <w:tc>
          <w:tcPr>
            <w:tcW w:w="1039" w:type="dxa"/>
            <w:tcBorders>
              <w:tl2br w:val="nil"/>
              <w:tr2bl w:val="nil"/>
            </w:tcBorders>
            <w:shd w:val="clear" w:color="000000" w:fill="FFFFFF"/>
            <w:vAlign w:val="center"/>
          </w:tcPr>
          <w:p w14:paraId="3147315B">
            <w:pPr>
              <w:widowControl/>
              <w:ind w:firstLine="0" w:firstLineChars="0"/>
              <w:jc w:val="center"/>
              <w:rPr>
                <w:rFonts w:ascii="仿宋_GB2312" w:hAnsi="宋体" w:cs="宋体"/>
                <w:kern w:val="0"/>
                <w:sz w:val="24"/>
                <w:szCs w:val="24"/>
              </w:rPr>
            </w:pPr>
          </w:p>
        </w:tc>
      </w:tr>
      <w:tr w14:paraId="7C9B43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2CF8FFE4">
            <w:pPr>
              <w:ind w:firstLine="0" w:firstLineChars="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14:paraId="56350F3B">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资金投入</w:t>
            </w:r>
          </w:p>
        </w:tc>
        <w:tc>
          <w:tcPr>
            <w:tcW w:w="2693" w:type="dxa"/>
            <w:tcBorders>
              <w:tl2br w:val="nil"/>
              <w:tr2bl w:val="nil"/>
            </w:tcBorders>
            <w:shd w:val="clear" w:color="auto" w:fill="FFFFFF"/>
            <w:vAlign w:val="center"/>
          </w:tcPr>
          <w:p w14:paraId="364DEADD">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预算编制科学性</w:t>
            </w:r>
          </w:p>
        </w:tc>
        <w:tc>
          <w:tcPr>
            <w:tcW w:w="898" w:type="dxa"/>
            <w:tcBorders>
              <w:tl2br w:val="nil"/>
              <w:tr2bl w:val="nil"/>
            </w:tcBorders>
            <w:shd w:val="clear" w:color="auto" w:fill="FFFFFF"/>
            <w:vAlign w:val="center"/>
          </w:tcPr>
          <w:p w14:paraId="6637E465">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auto" w:fill="FFFFFF"/>
            <w:vAlign w:val="center"/>
          </w:tcPr>
          <w:p w14:paraId="0941D4CE">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3</w:t>
            </w:r>
          </w:p>
        </w:tc>
        <w:tc>
          <w:tcPr>
            <w:tcW w:w="1039" w:type="dxa"/>
            <w:tcBorders>
              <w:tl2br w:val="nil"/>
              <w:tr2bl w:val="nil"/>
            </w:tcBorders>
            <w:shd w:val="clear" w:color="auto" w:fill="FFFFFF"/>
            <w:vAlign w:val="center"/>
          </w:tcPr>
          <w:p w14:paraId="3D8D9BB5">
            <w:pPr>
              <w:widowControl/>
              <w:ind w:firstLine="0" w:firstLineChars="0"/>
              <w:jc w:val="center"/>
              <w:rPr>
                <w:rFonts w:ascii="仿宋_GB2312" w:hAnsi="宋体" w:cs="宋体"/>
                <w:kern w:val="0"/>
                <w:sz w:val="24"/>
                <w:szCs w:val="24"/>
              </w:rPr>
            </w:pPr>
          </w:p>
        </w:tc>
      </w:tr>
      <w:tr w14:paraId="283CBF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6B7669D0">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38C639D6">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193EF818">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资金分配合理性</w:t>
            </w:r>
          </w:p>
        </w:tc>
        <w:tc>
          <w:tcPr>
            <w:tcW w:w="898" w:type="dxa"/>
            <w:tcBorders>
              <w:tl2br w:val="nil"/>
              <w:tr2bl w:val="nil"/>
            </w:tcBorders>
            <w:shd w:val="clear" w:color="auto" w:fill="FFFFFF"/>
            <w:vAlign w:val="center"/>
          </w:tcPr>
          <w:p w14:paraId="1FC07B46">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auto" w:fill="FFFFFF"/>
            <w:vAlign w:val="center"/>
          </w:tcPr>
          <w:p w14:paraId="3645FC01">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3</w:t>
            </w:r>
          </w:p>
        </w:tc>
        <w:tc>
          <w:tcPr>
            <w:tcW w:w="1039" w:type="dxa"/>
            <w:tcBorders>
              <w:tl2br w:val="nil"/>
              <w:tr2bl w:val="nil"/>
            </w:tcBorders>
            <w:shd w:val="clear" w:color="auto" w:fill="FFFFFF"/>
            <w:vAlign w:val="center"/>
          </w:tcPr>
          <w:p w14:paraId="35E18875">
            <w:pPr>
              <w:widowControl/>
              <w:ind w:firstLine="0" w:firstLineChars="0"/>
              <w:jc w:val="center"/>
              <w:rPr>
                <w:rFonts w:ascii="仿宋_GB2312" w:hAnsi="宋体" w:cs="宋体"/>
                <w:kern w:val="0"/>
                <w:sz w:val="24"/>
                <w:szCs w:val="24"/>
              </w:rPr>
            </w:pPr>
          </w:p>
        </w:tc>
      </w:tr>
      <w:tr w14:paraId="6A6B3F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14:paraId="3D79572B">
            <w:pPr>
              <w:ind w:firstLine="0" w:firstLineChars="0"/>
              <w:jc w:val="center"/>
              <w:rPr>
                <w:rFonts w:ascii="仿宋_GB2312" w:hAnsi="宋体" w:cs="宋体"/>
                <w:kern w:val="0"/>
                <w:sz w:val="24"/>
                <w:szCs w:val="24"/>
              </w:rPr>
            </w:pPr>
            <w:r>
              <w:rPr>
                <w:rFonts w:hint="eastAsia" w:ascii="仿宋_GB2312" w:hAnsi="宋体" w:cs="宋体"/>
                <w:kern w:val="0"/>
                <w:sz w:val="24"/>
                <w:szCs w:val="24"/>
              </w:rPr>
              <w:t>过程</w:t>
            </w:r>
          </w:p>
        </w:tc>
        <w:tc>
          <w:tcPr>
            <w:tcW w:w="1984" w:type="dxa"/>
            <w:vMerge w:val="restart"/>
            <w:tcBorders>
              <w:tl2br w:val="nil"/>
              <w:tr2bl w:val="nil"/>
            </w:tcBorders>
            <w:shd w:val="clear" w:color="auto" w:fill="FFFFFF"/>
            <w:vAlign w:val="center"/>
          </w:tcPr>
          <w:p w14:paraId="7311EE7A">
            <w:pPr>
              <w:ind w:firstLine="0" w:firstLineChars="0"/>
              <w:jc w:val="center"/>
              <w:rPr>
                <w:rFonts w:ascii="仿宋_GB2312" w:hAnsi="宋体" w:cs="宋体"/>
                <w:kern w:val="0"/>
                <w:sz w:val="24"/>
                <w:szCs w:val="24"/>
              </w:rPr>
            </w:pPr>
            <w:r>
              <w:rPr>
                <w:rFonts w:hint="eastAsia" w:ascii="仿宋_GB2312" w:hAnsi="宋体" w:cs="宋体"/>
                <w:kern w:val="0"/>
                <w:sz w:val="24"/>
                <w:szCs w:val="24"/>
              </w:rPr>
              <w:t>资金管理</w:t>
            </w:r>
          </w:p>
        </w:tc>
        <w:tc>
          <w:tcPr>
            <w:tcW w:w="2693" w:type="dxa"/>
            <w:tcBorders>
              <w:tl2br w:val="nil"/>
              <w:tr2bl w:val="nil"/>
            </w:tcBorders>
            <w:shd w:val="clear" w:color="auto" w:fill="FFFFFF"/>
            <w:vAlign w:val="center"/>
          </w:tcPr>
          <w:p w14:paraId="11F6A0B4">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资金到位率</w:t>
            </w:r>
          </w:p>
        </w:tc>
        <w:tc>
          <w:tcPr>
            <w:tcW w:w="898" w:type="dxa"/>
            <w:tcBorders>
              <w:tl2br w:val="nil"/>
              <w:tr2bl w:val="nil"/>
            </w:tcBorders>
            <w:shd w:val="clear" w:color="000000" w:fill="FFFFFF"/>
            <w:vAlign w:val="center"/>
          </w:tcPr>
          <w:p w14:paraId="3D7FDFE6">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898" w:type="dxa"/>
            <w:tcBorders>
              <w:tl2br w:val="nil"/>
              <w:tr2bl w:val="nil"/>
            </w:tcBorders>
            <w:shd w:val="clear" w:color="000000" w:fill="FFFFFF"/>
            <w:vAlign w:val="center"/>
          </w:tcPr>
          <w:p w14:paraId="6DBD5178">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5</w:t>
            </w:r>
          </w:p>
        </w:tc>
        <w:tc>
          <w:tcPr>
            <w:tcW w:w="1039" w:type="dxa"/>
            <w:tcBorders>
              <w:tl2br w:val="nil"/>
              <w:tr2bl w:val="nil"/>
            </w:tcBorders>
            <w:shd w:val="clear" w:color="000000" w:fill="FFFFFF"/>
            <w:vAlign w:val="center"/>
          </w:tcPr>
          <w:p w14:paraId="12EB5D69">
            <w:pPr>
              <w:widowControl/>
              <w:ind w:firstLine="0" w:firstLineChars="0"/>
              <w:rPr>
                <w:rFonts w:ascii="仿宋_GB2312" w:hAnsi="宋体" w:cs="宋体"/>
                <w:kern w:val="0"/>
                <w:sz w:val="24"/>
                <w:szCs w:val="24"/>
              </w:rPr>
            </w:pPr>
          </w:p>
        </w:tc>
      </w:tr>
      <w:tr w14:paraId="599D72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2F707189">
            <w:pPr>
              <w:ind w:firstLine="48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07C072A9">
            <w:pPr>
              <w:ind w:firstLine="48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7CFB615B">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预算执行率</w:t>
            </w:r>
          </w:p>
        </w:tc>
        <w:tc>
          <w:tcPr>
            <w:tcW w:w="898" w:type="dxa"/>
            <w:tcBorders>
              <w:tl2br w:val="nil"/>
              <w:tr2bl w:val="nil"/>
            </w:tcBorders>
            <w:shd w:val="clear" w:color="auto" w:fill="FFFFFF"/>
            <w:vAlign w:val="center"/>
          </w:tcPr>
          <w:p w14:paraId="52D2E774">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898" w:type="dxa"/>
            <w:tcBorders>
              <w:tl2br w:val="nil"/>
              <w:tr2bl w:val="nil"/>
            </w:tcBorders>
            <w:shd w:val="clear" w:color="auto" w:fill="FFFFFF"/>
            <w:vAlign w:val="center"/>
          </w:tcPr>
          <w:p w14:paraId="00062FAD">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5</w:t>
            </w:r>
          </w:p>
        </w:tc>
        <w:tc>
          <w:tcPr>
            <w:tcW w:w="1039" w:type="dxa"/>
            <w:tcBorders>
              <w:tl2br w:val="nil"/>
              <w:tr2bl w:val="nil"/>
            </w:tcBorders>
            <w:shd w:val="clear" w:color="auto" w:fill="FFFFFF"/>
            <w:vAlign w:val="center"/>
          </w:tcPr>
          <w:p w14:paraId="085FADDB">
            <w:pPr>
              <w:widowControl/>
              <w:ind w:firstLine="0" w:firstLineChars="0"/>
              <w:jc w:val="center"/>
              <w:rPr>
                <w:rFonts w:ascii="仿宋_GB2312" w:hAnsi="宋体" w:cs="宋体"/>
                <w:kern w:val="0"/>
                <w:sz w:val="24"/>
                <w:szCs w:val="24"/>
              </w:rPr>
            </w:pPr>
          </w:p>
        </w:tc>
      </w:tr>
      <w:tr w14:paraId="765F9B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06D695D6">
            <w:pPr>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713EDB20">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4B416F2D">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资金使用合规性</w:t>
            </w:r>
          </w:p>
        </w:tc>
        <w:tc>
          <w:tcPr>
            <w:tcW w:w="898" w:type="dxa"/>
            <w:tcBorders>
              <w:tl2br w:val="nil"/>
              <w:tr2bl w:val="nil"/>
            </w:tcBorders>
            <w:shd w:val="clear" w:color="000000" w:fill="FFFFFF"/>
            <w:vAlign w:val="center"/>
          </w:tcPr>
          <w:p w14:paraId="2852DC6D">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14:paraId="0DDF1B97">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3</w:t>
            </w:r>
          </w:p>
        </w:tc>
        <w:tc>
          <w:tcPr>
            <w:tcW w:w="1039" w:type="dxa"/>
            <w:tcBorders>
              <w:tl2br w:val="nil"/>
              <w:tr2bl w:val="nil"/>
            </w:tcBorders>
            <w:shd w:val="clear" w:color="000000" w:fill="FFFFFF"/>
            <w:vAlign w:val="center"/>
          </w:tcPr>
          <w:p w14:paraId="4332291A">
            <w:pPr>
              <w:widowControl/>
              <w:ind w:firstLine="0" w:firstLineChars="0"/>
              <w:jc w:val="center"/>
              <w:rPr>
                <w:rFonts w:ascii="仿宋_GB2312" w:hAnsi="宋体" w:cs="宋体"/>
                <w:kern w:val="0"/>
                <w:sz w:val="24"/>
                <w:szCs w:val="24"/>
              </w:rPr>
            </w:pPr>
          </w:p>
        </w:tc>
      </w:tr>
      <w:tr w14:paraId="32931C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4CE0E531">
            <w:pPr>
              <w:ind w:firstLine="0" w:firstLineChars="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14:paraId="3400E13F">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组织实施</w:t>
            </w:r>
          </w:p>
        </w:tc>
        <w:tc>
          <w:tcPr>
            <w:tcW w:w="2693" w:type="dxa"/>
            <w:tcBorders>
              <w:tl2br w:val="nil"/>
              <w:tr2bl w:val="nil"/>
            </w:tcBorders>
            <w:shd w:val="clear" w:color="auto" w:fill="FFFFFF"/>
            <w:vAlign w:val="center"/>
          </w:tcPr>
          <w:p w14:paraId="1B72B797">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管理制度健全性</w:t>
            </w:r>
          </w:p>
        </w:tc>
        <w:tc>
          <w:tcPr>
            <w:tcW w:w="898" w:type="dxa"/>
            <w:tcBorders>
              <w:tl2br w:val="nil"/>
              <w:tr2bl w:val="nil"/>
            </w:tcBorders>
            <w:shd w:val="clear" w:color="000000" w:fill="FFFFFF"/>
            <w:vAlign w:val="center"/>
          </w:tcPr>
          <w:p w14:paraId="1AF9D3FB">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14:paraId="7D45F987">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3</w:t>
            </w:r>
          </w:p>
        </w:tc>
        <w:tc>
          <w:tcPr>
            <w:tcW w:w="1039" w:type="dxa"/>
            <w:tcBorders>
              <w:tl2br w:val="nil"/>
              <w:tr2bl w:val="nil"/>
            </w:tcBorders>
            <w:shd w:val="clear" w:color="000000" w:fill="FFFFFF"/>
            <w:vAlign w:val="center"/>
          </w:tcPr>
          <w:p w14:paraId="0082BCD6">
            <w:pPr>
              <w:widowControl/>
              <w:ind w:firstLine="0" w:firstLineChars="0"/>
              <w:jc w:val="center"/>
              <w:rPr>
                <w:rFonts w:ascii="仿宋_GB2312" w:hAnsi="宋体" w:cs="宋体"/>
                <w:kern w:val="0"/>
                <w:sz w:val="24"/>
                <w:szCs w:val="24"/>
              </w:rPr>
            </w:pPr>
          </w:p>
        </w:tc>
      </w:tr>
      <w:tr w14:paraId="61483A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50C8CED7">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42B3FC4A">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42901122">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制度执行有效性</w:t>
            </w:r>
          </w:p>
        </w:tc>
        <w:tc>
          <w:tcPr>
            <w:tcW w:w="898" w:type="dxa"/>
            <w:tcBorders>
              <w:tl2br w:val="nil"/>
              <w:tr2bl w:val="nil"/>
            </w:tcBorders>
            <w:shd w:val="clear" w:color="000000" w:fill="FFFFFF"/>
            <w:vAlign w:val="center"/>
          </w:tcPr>
          <w:p w14:paraId="2BEE1753">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898" w:type="dxa"/>
            <w:tcBorders>
              <w:tl2br w:val="nil"/>
              <w:tr2bl w:val="nil"/>
            </w:tcBorders>
            <w:shd w:val="clear" w:color="000000" w:fill="FFFFFF"/>
            <w:vAlign w:val="center"/>
          </w:tcPr>
          <w:p w14:paraId="68019A0D">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4</w:t>
            </w:r>
          </w:p>
        </w:tc>
        <w:tc>
          <w:tcPr>
            <w:tcW w:w="1039" w:type="dxa"/>
            <w:tcBorders>
              <w:tl2br w:val="nil"/>
              <w:tr2bl w:val="nil"/>
            </w:tcBorders>
            <w:shd w:val="clear" w:color="000000" w:fill="FFFFFF"/>
            <w:vAlign w:val="center"/>
          </w:tcPr>
          <w:p w14:paraId="207FC8D4">
            <w:pPr>
              <w:widowControl/>
              <w:ind w:firstLine="0" w:firstLineChars="0"/>
              <w:jc w:val="center"/>
              <w:rPr>
                <w:rFonts w:ascii="仿宋_GB2312" w:hAnsi="宋体" w:cs="宋体"/>
                <w:kern w:val="0"/>
                <w:sz w:val="24"/>
                <w:szCs w:val="24"/>
              </w:rPr>
            </w:pPr>
          </w:p>
        </w:tc>
      </w:tr>
      <w:tr w14:paraId="60F217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550" w:type="dxa"/>
            <w:vMerge w:val="restart"/>
            <w:tcBorders>
              <w:tl2br w:val="nil"/>
              <w:tr2bl w:val="nil"/>
            </w:tcBorders>
            <w:shd w:val="clear" w:color="auto" w:fill="FFFFFF"/>
            <w:vAlign w:val="center"/>
          </w:tcPr>
          <w:p w14:paraId="2AF026F5">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产出</w:t>
            </w:r>
          </w:p>
        </w:tc>
        <w:tc>
          <w:tcPr>
            <w:tcW w:w="1984" w:type="dxa"/>
            <w:vMerge w:val="restart"/>
            <w:tcBorders>
              <w:tl2br w:val="nil"/>
              <w:tr2bl w:val="nil"/>
            </w:tcBorders>
            <w:shd w:val="clear" w:color="auto" w:fill="FFFFFF"/>
            <w:vAlign w:val="center"/>
          </w:tcPr>
          <w:p w14:paraId="5A136031">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产出数量</w:t>
            </w:r>
          </w:p>
        </w:tc>
        <w:tc>
          <w:tcPr>
            <w:tcW w:w="2693" w:type="dxa"/>
            <w:tcBorders>
              <w:tl2br w:val="nil"/>
              <w:tr2bl w:val="nil"/>
            </w:tcBorders>
            <w:shd w:val="clear" w:color="auto" w:fill="FFFFFF"/>
          </w:tcPr>
          <w:p w14:paraId="345E13D0">
            <w:pPr>
              <w:widowControl/>
              <w:ind w:firstLine="0" w:firstLineChars="0"/>
              <w:jc w:val="center"/>
              <w:rPr>
                <w:rFonts w:ascii="仿宋_GB2312" w:hAnsi="宋体" w:cs="宋体"/>
                <w:kern w:val="0"/>
                <w:sz w:val="24"/>
                <w:szCs w:val="24"/>
              </w:rPr>
            </w:pPr>
            <w:r>
              <w:rPr>
                <w:rFonts w:hint="eastAsia" w:ascii="宋体" w:hAnsi="宋体" w:eastAsia="宋体" w:cs="宋体"/>
                <w:color w:val="000000"/>
                <w:kern w:val="0"/>
                <w:sz w:val="22"/>
              </w:rPr>
              <w:t>专用设备购置数量</w:t>
            </w:r>
          </w:p>
        </w:tc>
        <w:tc>
          <w:tcPr>
            <w:tcW w:w="898" w:type="dxa"/>
            <w:tcBorders>
              <w:tl2br w:val="nil"/>
              <w:tr2bl w:val="nil"/>
            </w:tcBorders>
            <w:shd w:val="clear" w:color="000000" w:fill="FFFFFF"/>
            <w:vAlign w:val="center"/>
          </w:tcPr>
          <w:p w14:paraId="182AEE81">
            <w:pPr>
              <w:widowControl/>
              <w:ind w:firstLine="0" w:firstLineChars="0"/>
              <w:jc w:val="center"/>
              <w:rPr>
                <w:rFonts w:hint="eastAsia" w:ascii="仿宋_GB2312" w:hAnsi="宋体" w:eastAsia="仿宋_GB2312" w:cs="宋体"/>
                <w:kern w:val="0"/>
                <w:sz w:val="24"/>
                <w:szCs w:val="24"/>
                <w:lang w:eastAsia="zh-CN"/>
              </w:rPr>
            </w:pPr>
            <w:r>
              <w:rPr>
                <w:rFonts w:hint="eastAsia" w:ascii="仿宋_GB2312" w:hAnsi="宋体" w:cs="宋体"/>
                <w:kern w:val="0"/>
                <w:sz w:val="24"/>
                <w:szCs w:val="24"/>
                <w:lang w:val="en-US" w:eastAsia="zh-CN"/>
              </w:rPr>
              <w:t>5</w:t>
            </w:r>
          </w:p>
        </w:tc>
        <w:tc>
          <w:tcPr>
            <w:tcW w:w="898" w:type="dxa"/>
            <w:tcBorders>
              <w:tl2br w:val="nil"/>
              <w:tr2bl w:val="nil"/>
            </w:tcBorders>
            <w:shd w:val="clear" w:color="000000" w:fill="FFFFFF"/>
            <w:vAlign w:val="center"/>
          </w:tcPr>
          <w:p w14:paraId="420C7978">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4</w:t>
            </w:r>
          </w:p>
        </w:tc>
        <w:tc>
          <w:tcPr>
            <w:tcW w:w="1039" w:type="dxa"/>
            <w:vMerge w:val="restart"/>
            <w:tcBorders>
              <w:tl2br w:val="nil"/>
              <w:tr2bl w:val="nil"/>
            </w:tcBorders>
            <w:shd w:val="clear" w:color="000000" w:fill="FFFFFF"/>
            <w:vAlign w:val="center"/>
          </w:tcPr>
          <w:p w14:paraId="739CC9AE">
            <w:pPr>
              <w:widowControl/>
              <w:ind w:firstLine="0" w:firstLineChars="0"/>
              <w:jc w:val="center"/>
              <w:rPr>
                <w:rFonts w:ascii="仿宋_GB2312" w:hAnsi="宋体" w:cs="宋体"/>
                <w:kern w:val="0"/>
                <w:sz w:val="24"/>
                <w:szCs w:val="24"/>
                <w:highlight w:val="yellow"/>
              </w:rPr>
            </w:pPr>
          </w:p>
        </w:tc>
      </w:tr>
      <w:tr w14:paraId="249FDC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550" w:type="dxa"/>
            <w:vMerge w:val="continue"/>
            <w:tcBorders>
              <w:tl2br w:val="nil"/>
              <w:tr2bl w:val="nil"/>
            </w:tcBorders>
            <w:shd w:val="clear" w:color="auto" w:fill="FFFFFF"/>
            <w:vAlign w:val="center"/>
          </w:tcPr>
          <w:p w14:paraId="4898AC67">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241ACAA7">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tcPr>
          <w:p w14:paraId="32DD3D57">
            <w:pPr>
              <w:widowControl/>
              <w:ind w:firstLine="0" w:firstLineChars="0"/>
              <w:jc w:val="center"/>
              <w:rPr>
                <w:rFonts w:ascii="仿宋_GB2312" w:hAnsi="宋体" w:cs="宋体"/>
                <w:kern w:val="0"/>
                <w:sz w:val="24"/>
                <w:szCs w:val="24"/>
              </w:rPr>
            </w:pPr>
            <w:r>
              <w:rPr>
                <w:rFonts w:hint="eastAsia" w:ascii="宋体" w:hAnsi="宋体" w:eastAsia="宋体" w:cs="宋体"/>
                <w:color w:val="000000"/>
                <w:kern w:val="0"/>
                <w:sz w:val="22"/>
              </w:rPr>
              <w:t>培训外出次数</w:t>
            </w:r>
          </w:p>
        </w:tc>
        <w:tc>
          <w:tcPr>
            <w:tcW w:w="898" w:type="dxa"/>
            <w:tcBorders>
              <w:tl2br w:val="nil"/>
              <w:tr2bl w:val="nil"/>
            </w:tcBorders>
            <w:shd w:val="clear" w:color="000000" w:fill="FFFFFF"/>
            <w:vAlign w:val="center"/>
          </w:tcPr>
          <w:p w14:paraId="6C86EFD2">
            <w:pPr>
              <w:widowControl/>
              <w:ind w:firstLine="0" w:firstLineChars="0"/>
              <w:jc w:val="center"/>
              <w:rPr>
                <w:rFonts w:hint="eastAsia" w:ascii="仿宋_GB2312" w:hAnsi="宋体" w:eastAsia="仿宋_GB2312" w:cs="宋体"/>
                <w:kern w:val="0"/>
                <w:sz w:val="24"/>
                <w:szCs w:val="24"/>
                <w:lang w:eastAsia="zh-CN"/>
              </w:rPr>
            </w:pPr>
            <w:r>
              <w:rPr>
                <w:rFonts w:hint="eastAsia" w:ascii="仿宋_GB2312" w:hAnsi="宋体" w:cs="宋体"/>
                <w:kern w:val="0"/>
                <w:sz w:val="24"/>
                <w:szCs w:val="24"/>
                <w:lang w:val="en-US" w:eastAsia="zh-CN"/>
              </w:rPr>
              <w:t>5</w:t>
            </w:r>
          </w:p>
        </w:tc>
        <w:tc>
          <w:tcPr>
            <w:tcW w:w="898" w:type="dxa"/>
            <w:tcBorders>
              <w:tl2br w:val="nil"/>
              <w:tr2bl w:val="nil"/>
            </w:tcBorders>
            <w:shd w:val="clear" w:color="000000" w:fill="FFFFFF"/>
            <w:vAlign w:val="center"/>
          </w:tcPr>
          <w:p w14:paraId="0FAB347E">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3</w:t>
            </w:r>
          </w:p>
        </w:tc>
        <w:tc>
          <w:tcPr>
            <w:tcW w:w="1039" w:type="dxa"/>
            <w:vMerge w:val="continue"/>
            <w:tcBorders>
              <w:tl2br w:val="nil"/>
              <w:tr2bl w:val="nil"/>
            </w:tcBorders>
            <w:shd w:val="clear" w:color="000000" w:fill="FFFFFF"/>
            <w:vAlign w:val="center"/>
          </w:tcPr>
          <w:p w14:paraId="36097A26">
            <w:pPr>
              <w:widowControl/>
              <w:ind w:firstLine="0" w:firstLineChars="0"/>
              <w:jc w:val="center"/>
              <w:rPr>
                <w:rFonts w:ascii="仿宋_GB2312" w:hAnsi="宋体" w:cs="宋体"/>
                <w:kern w:val="0"/>
                <w:sz w:val="24"/>
                <w:szCs w:val="24"/>
              </w:rPr>
            </w:pPr>
          </w:p>
        </w:tc>
      </w:tr>
      <w:tr w14:paraId="0AE07E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42744E1F">
            <w:pPr>
              <w:widowControl/>
              <w:ind w:firstLine="0" w:firstLineChars="0"/>
              <w:jc w:val="center"/>
              <w:rPr>
                <w:rFonts w:ascii="仿宋_GB2312" w:hAnsi="宋体" w:cs="宋体"/>
                <w:kern w:val="0"/>
                <w:sz w:val="24"/>
                <w:szCs w:val="24"/>
              </w:rPr>
            </w:pPr>
          </w:p>
        </w:tc>
        <w:tc>
          <w:tcPr>
            <w:tcW w:w="1984" w:type="dxa"/>
            <w:tcBorders>
              <w:tl2br w:val="nil"/>
              <w:tr2bl w:val="nil"/>
            </w:tcBorders>
            <w:shd w:val="clear" w:color="auto" w:fill="FFFFFF"/>
            <w:vAlign w:val="center"/>
          </w:tcPr>
          <w:p w14:paraId="02E5C5BF">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产出质量</w:t>
            </w:r>
          </w:p>
        </w:tc>
        <w:tc>
          <w:tcPr>
            <w:tcW w:w="2693" w:type="dxa"/>
            <w:tcBorders>
              <w:tl2br w:val="nil"/>
              <w:tr2bl w:val="nil"/>
            </w:tcBorders>
            <w:shd w:val="clear" w:color="auto" w:fill="FFFFFF"/>
            <w:vAlign w:val="center"/>
          </w:tcPr>
          <w:p w14:paraId="43DFD2A1">
            <w:pPr>
              <w:widowControl/>
              <w:ind w:firstLine="0" w:firstLineChars="0"/>
              <w:jc w:val="center"/>
              <w:rPr>
                <w:rFonts w:ascii="仿宋_GB2312" w:hAnsi="宋体" w:cs="宋体"/>
                <w:kern w:val="0"/>
                <w:sz w:val="24"/>
                <w:szCs w:val="24"/>
              </w:rPr>
            </w:pPr>
            <w:r>
              <w:rPr>
                <w:rFonts w:hint="eastAsia" w:ascii="宋体" w:hAnsi="宋体" w:eastAsia="宋体" w:cs="宋体"/>
                <w:color w:val="000000"/>
                <w:kern w:val="0"/>
                <w:sz w:val="22"/>
              </w:rPr>
              <w:t>采购设备验收合格率</w:t>
            </w:r>
          </w:p>
        </w:tc>
        <w:tc>
          <w:tcPr>
            <w:tcW w:w="898" w:type="dxa"/>
            <w:tcBorders>
              <w:tl2br w:val="nil"/>
              <w:tr2bl w:val="nil"/>
            </w:tcBorders>
            <w:shd w:val="clear" w:color="000000" w:fill="FFFFFF"/>
            <w:vAlign w:val="center"/>
          </w:tcPr>
          <w:p w14:paraId="7CA044B3">
            <w:pPr>
              <w:widowControl/>
              <w:ind w:firstLine="0" w:firstLineChars="0"/>
              <w:jc w:val="center"/>
              <w:rPr>
                <w:rFonts w:hint="default" w:ascii="仿宋_GB2312" w:hAnsi="宋体" w:cs="宋体"/>
                <w:kern w:val="0"/>
                <w:sz w:val="24"/>
                <w:szCs w:val="24"/>
                <w:lang w:val="en-US"/>
              </w:rPr>
            </w:pPr>
            <w:r>
              <w:rPr>
                <w:rFonts w:hint="eastAsia" w:ascii="仿宋_GB2312" w:hAnsi="宋体" w:cs="宋体"/>
                <w:kern w:val="0"/>
                <w:sz w:val="24"/>
                <w:szCs w:val="24"/>
                <w:lang w:val="en-US" w:eastAsia="zh-CN"/>
              </w:rPr>
              <w:t>20</w:t>
            </w:r>
          </w:p>
        </w:tc>
        <w:tc>
          <w:tcPr>
            <w:tcW w:w="898" w:type="dxa"/>
            <w:tcBorders>
              <w:tl2br w:val="nil"/>
              <w:tr2bl w:val="nil"/>
            </w:tcBorders>
            <w:shd w:val="clear" w:color="000000" w:fill="FFFFFF"/>
            <w:vAlign w:val="center"/>
          </w:tcPr>
          <w:p w14:paraId="2B78928C">
            <w:pPr>
              <w:widowControl/>
              <w:ind w:firstLine="0" w:firstLineChars="0"/>
              <w:jc w:val="center"/>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20</w:t>
            </w:r>
          </w:p>
        </w:tc>
        <w:tc>
          <w:tcPr>
            <w:tcW w:w="1039" w:type="dxa"/>
            <w:tcBorders>
              <w:tl2br w:val="nil"/>
              <w:tr2bl w:val="nil"/>
            </w:tcBorders>
            <w:shd w:val="clear" w:color="000000" w:fill="FFFFFF"/>
            <w:vAlign w:val="center"/>
          </w:tcPr>
          <w:p w14:paraId="4B9AC0BA">
            <w:pPr>
              <w:widowControl/>
              <w:ind w:firstLine="0" w:firstLineChars="0"/>
              <w:jc w:val="center"/>
              <w:rPr>
                <w:rFonts w:ascii="仿宋_GB2312" w:hAnsi="宋体" w:cs="宋体"/>
                <w:kern w:val="0"/>
                <w:sz w:val="24"/>
                <w:szCs w:val="24"/>
              </w:rPr>
            </w:pPr>
          </w:p>
        </w:tc>
      </w:tr>
      <w:tr w14:paraId="2E6BCB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550" w:type="dxa"/>
            <w:vMerge w:val="continue"/>
            <w:tcBorders>
              <w:tl2br w:val="nil"/>
              <w:tr2bl w:val="nil"/>
            </w:tcBorders>
            <w:shd w:val="clear" w:color="auto" w:fill="FFFFFF"/>
            <w:vAlign w:val="center"/>
          </w:tcPr>
          <w:p w14:paraId="615F1A26">
            <w:pPr>
              <w:ind w:firstLine="0" w:firstLineChars="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14:paraId="187B1BFE">
            <w:pPr>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产出时效</w:t>
            </w:r>
          </w:p>
        </w:tc>
        <w:tc>
          <w:tcPr>
            <w:tcW w:w="2693" w:type="dxa"/>
            <w:tcBorders>
              <w:tl2br w:val="nil"/>
              <w:tr2bl w:val="nil"/>
            </w:tcBorders>
            <w:shd w:val="clear" w:color="auto" w:fill="FFFFFF"/>
            <w:vAlign w:val="center"/>
          </w:tcPr>
          <w:p w14:paraId="45EDA03C">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无</w:t>
            </w:r>
          </w:p>
        </w:tc>
        <w:tc>
          <w:tcPr>
            <w:tcW w:w="898" w:type="dxa"/>
            <w:tcBorders>
              <w:tl2br w:val="nil"/>
              <w:tr2bl w:val="nil"/>
            </w:tcBorders>
            <w:shd w:val="clear" w:color="000000" w:fill="FFFFFF"/>
            <w:vAlign w:val="center"/>
          </w:tcPr>
          <w:p w14:paraId="48290A25">
            <w:pPr>
              <w:widowControl/>
              <w:ind w:firstLine="0" w:firstLineChars="0"/>
              <w:jc w:val="center"/>
              <w:rPr>
                <w:rFonts w:hint="eastAsia" w:ascii="仿宋_GB2312" w:hAnsi="宋体" w:eastAsia="仿宋_GB2312" w:cs="宋体"/>
                <w:kern w:val="0"/>
                <w:sz w:val="24"/>
                <w:szCs w:val="24"/>
                <w:lang w:eastAsia="zh-CN"/>
              </w:rPr>
            </w:pPr>
            <w:r>
              <w:rPr>
                <w:rFonts w:hint="eastAsia" w:ascii="仿宋_GB2312" w:hAnsi="宋体" w:cs="宋体"/>
                <w:kern w:val="0"/>
                <w:sz w:val="24"/>
                <w:szCs w:val="24"/>
                <w:lang w:eastAsia="zh-CN"/>
              </w:rPr>
              <w:t>0</w:t>
            </w:r>
          </w:p>
        </w:tc>
        <w:tc>
          <w:tcPr>
            <w:tcW w:w="898" w:type="dxa"/>
            <w:tcBorders>
              <w:tl2br w:val="nil"/>
              <w:tr2bl w:val="nil"/>
            </w:tcBorders>
            <w:shd w:val="clear" w:color="000000" w:fill="FFFFFF"/>
            <w:vAlign w:val="center"/>
          </w:tcPr>
          <w:p w14:paraId="6976F9F1">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0</w:t>
            </w:r>
          </w:p>
        </w:tc>
        <w:tc>
          <w:tcPr>
            <w:tcW w:w="1039" w:type="dxa"/>
            <w:vMerge w:val="restart"/>
            <w:tcBorders>
              <w:tl2br w:val="nil"/>
              <w:tr2bl w:val="nil"/>
            </w:tcBorders>
            <w:shd w:val="clear" w:color="000000" w:fill="FFFFFF"/>
            <w:vAlign w:val="center"/>
          </w:tcPr>
          <w:p w14:paraId="145F7DDA">
            <w:pPr>
              <w:widowControl/>
              <w:ind w:firstLine="0" w:firstLineChars="0"/>
              <w:jc w:val="center"/>
              <w:rPr>
                <w:rFonts w:ascii="仿宋_GB2312" w:hAnsi="宋体" w:cs="宋体"/>
                <w:kern w:val="0"/>
                <w:sz w:val="24"/>
                <w:szCs w:val="24"/>
              </w:rPr>
            </w:pPr>
          </w:p>
        </w:tc>
      </w:tr>
      <w:tr w14:paraId="69764E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550" w:type="dxa"/>
            <w:vMerge w:val="continue"/>
            <w:tcBorders>
              <w:tl2br w:val="nil"/>
              <w:tr2bl w:val="nil"/>
            </w:tcBorders>
            <w:shd w:val="clear" w:color="auto" w:fill="FFFFFF"/>
            <w:vAlign w:val="center"/>
          </w:tcPr>
          <w:p w14:paraId="33CE0BB8">
            <w:pPr>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02A457D5">
            <w:pPr>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75CA2C84">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无</w:t>
            </w:r>
          </w:p>
        </w:tc>
        <w:tc>
          <w:tcPr>
            <w:tcW w:w="898" w:type="dxa"/>
            <w:tcBorders>
              <w:tl2br w:val="nil"/>
              <w:tr2bl w:val="nil"/>
            </w:tcBorders>
            <w:shd w:val="clear" w:color="000000" w:fill="FFFFFF"/>
            <w:vAlign w:val="center"/>
          </w:tcPr>
          <w:p w14:paraId="681AAF40">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0</w:t>
            </w:r>
          </w:p>
        </w:tc>
        <w:tc>
          <w:tcPr>
            <w:tcW w:w="898" w:type="dxa"/>
            <w:tcBorders>
              <w:tl2br w:val="nil"/>
              <w:tr2bl w:val="nil"/>
            </w:tcBorders>
            <w:shd w:val="clear" w:color="000000" w:fill="FFFFFF"/>
            <w:vAlign w:val="center"/>
          </w:tcPr>
          <w:p w14:paraId="62C21F5C">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0</w:t>
            </w:r>
          </w:p>
        </w:tc>
        <w:tc>
          <w:tcPr>
            <w:tcW w:w="1039" w:type="dxa"/>
            <w:vMerge w:val="continue"/>
            <w:tcBorders>
              <w:tl2br w:val="nil"/>
              <w:tr2bl w:val="nil"/>
            </w:tcBorders>
            <w:shd w:val="clear" w:color="000000" w:fill="FFFFFF"/>
            <w:vAlign w:val="center"/>
          </w:tcPr>
          <w:p w14:paraId="4C3A08F4">
            <w:pPr>
              <w:widowControl/>
              <w:ind w:firstLine="0" w:firstLineChars="0"/>
              <w:jc w:val="center"/>
              <w:rPr>
                <w:rFonts w:ascii="仿宋_GB2312" w:hAnsi="宋体" w:cs="宋体"/>
                <w:kern w:val="0"/>
                <w:sz w:val="24"/>
                <w:szCs w:val="24"/>
              </w:rPr>
            </w:pPr>
          </w:p>
        </w:tc>
      </w:tr>
      <w:tr w14:paraId="3F744D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 w:hRule="atLeast"/>
          <w:jc w:val="center"/>
        </w:trPr>
        <w:tc>
          <w:tcPr>
            <w:tcW w:w="1550" w:type="dxa"/>
            <w:vMerge w:val="continue"/>
            <w:tcBorders>
              <w:tl2br w:val="nil"/>
              <w:tr2bl w:val="nil"/>
            </w:tcBorders>
            <w:shd w:val="clear" w:color="auto" w:fill="FFFFFF"/>
            <w:vAlign w:val="center"/>
          </w:tcPr>
          <w:p w14:paraId="7878DBE9">
            <w:pPr>
              <w:widowControl/>
              <w:ind w:firstLine="0" w:firstLineChars="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14:paraId="4F9978CC">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产出成本</w:t>
            </w:r>
          </w:p>
        </w:tc>
        <w:tc>
          <w:tcPr>
            <w:tcW w:w="2693" w:type="dxa"/>
            <w:tcBorders>
              <w:tl2br w:val="nil"/>
              <w:tr2bl w:val="nil"/>
            </w:tcBorders>
            <w:shd w:val="clear" w:color="auto" w:fill="FFFFFF"/>
            <w:vAlign w:val="center"/>
          </w:tcPr>
          <w:p w14:paraId="4DBC0D64">
            <w:pPr>
              <w:widowControl/>
              <w:ind w:firstLine="0" w:firstLineChars="0"/>
              <w:jc w:val="center"/>
              <w:rPr>
                <w:rFonts w:ascii="仿宋_GB2312" w:hAnsi="宋体" w:cs="宋体"/>
                <w:kern w:val="0"/>
                <w:sz w:val="24"/>
                <w:szCs w:val="24"/>
              </w:rPr>
            </w:pPr>
            <w:r>
              <w:rPr>
                <w:rFonts w:hint="eastAsia" w:ascii="宋体" w:hAnsi="宋体" w:eastAsia="宋体" w:cs="宋体"/>
                <w:color w:val="000000"/>
                <w:kern w:val="0"/>
                <w:sz w:val="22"/>
              </w:rPr>
              <w:t>差旅费</w:t>
            </w:r>
          </w:p>
        </w:tc>
        <w:tc>
          <w:tcPr>
            <w:tcW w:w="898" w:type="dxa"/>
            <w:tcBorders>
              <w:tl2br w:val="nil"/>
              <w:tr2bl w:val="nil"/>
            </w:tcBorders>
            <w:shd w:val="clear" w:color="000000" w:fill="FFFFFF"/>
            <w:vAlign w:val="center"/>
          </w:tcPr>
          <w:p w14:paraId="425A82A8">
            <w:pPr>
              <w:widowControl/>
              <w:ind w:firstLine="0" w:firstLineChars="0"/>
              <w:jc w:val="center"/>
              <w:rPr>
                <w:rFonts w:hint="eastAsia" w:ascii="仿宋_GB2312" w:hAnsi="宋体" w:eastAsia="仿宋_GB2312" w:cs="宋体"/>
                <w:kern w:val="0"/>
                <w:sz w:val="24"/>
                <w:szCs w:val="24"/>
                <w:lang w:eastAsia="zh-CN"/>
              </w:rPr>
            </w:pPr>
            <w:r>
              <w:rPr>
                <w:rFonts w:hint="eastAsia" w:ascii="仿宋_GB2312" w:hAnsi="宋体" w:cs="宋体"/>
                <w:kern w:val="0"/>
                <w:sz w:val="24"/>
                <w:szCs w:val="24"/>
                <w:lang w:val="en-US" w:eastAsia="zh-CN"/>
              </w:rPr>
              <w:t>2</w:t>
            </w:r>
          </w:p>
        </w:tc>
        <w:tc>
          <w:tcPr>
            <w:tcW w:w="898" w:type="dxa"/>
            <w:tcBorders>
              <w:tl2br w:val="nil"/>
              <w:tr2bl w:val="nil"/>
            </w:tcBorders>
            <w:shd w:val="clear" w:color="000000" w:fill="FFFFFF"/>
            <w:vAlign w:val="center"/>
          </w:tcPr>
          <w:p w14:paraId="25532BE4">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2</w:t>
            </w:r>
          </w:p>
        </w:tc>
        <w:tc>
          <w:tcPr>
            <w:tcW w:w="1039" w:type="dxa"/>
            <w:vMerge w:val="restart"/>
            <w:tcBorders>
              <w:tl2br w:val="nil"/>
              <w:tr2bl w:val="nil"/>
            </w:tcBorders>
            <w:shd w:val="clear" w:color="000000" w:fill="FFFFFF"/>
            <w:vAlign w:val="center"/>
          </w:tcPr>
          <w:p w14:paraId="02C7A0E6">
            <w:pPr>
              <w:widowControl/>
              <w:ind w:firstLine="0" w:firstLineChars="0"/>
              <w:jc w:val="center"/>
              <w:rPr>
                <w:rFonts w:ascii="仿宋_GB2312" w:hAnsi="宋体" w:cs="宋体"/>
                <w:kern w:val="0"/>
                <w:sz w:val="24"/>
                <w:szCs w:val="24"/>
              </w:rPr>
            </w:pPr>
          </w:p>
        </w:tc>
      </w:tr>
      <w:tr w14:paraId="2752F1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 w:hRule="atLeast"/>
          <w:jc w:val="center"/>
        </w:trPr>
        <w:tc>
          <w:tcPr>
            <w:tcW w:w="1550" w:type="dxa"/>
            <w:vMerge w:val="continue"/>
            <w:tcBorders>
              <w:tl2br w:val="nil"/>
              <w:tr2bl w:val="nil"/>
            </w:tcBorders>
            <w:shd w:val="clear" w:color="auto" w:fill="FFFFFF"/>
            <w:vAlign w:val="center"/>
          </w:tcPr>
          <w:p w14:paraId="29F41E48">
            <w:pPr>
              <w:widowControl/>
              <w:ind w:firstLine="0" w:firstLineChars="0"/>
              <w:jc w:val="center"/>
            </w:pPr>
          </w:p>
        </w:tc>
        <w:tc>
          <w:tcPr>
            <w:tcW w:w="1984" w:type="dxa"/>
            <w:vMerge w:val="continue"/>
            <w:tcBorders>
              <w:tl2br w:val="nil"/>
              <w:tr2bl w:val="nil"/>
            </w:tcBorders>
            <w:shd w:val="clear" w:color="auto" w:fill="FFFFFF"/>
            <w:vAlign w:val="center"/>
          </w:tcPr>
          <w:p w14:paraId="04750CC6">
            <w:pPr>
              <w:widowControl/>
              <w:ind w:firstLine="0" w:firstLineChars="0"/>
              <w:jc w:val="center"/>
            </w:pPr>
          </w:p>
        </w:tc>
        <w:tc>
          <w:tcPr>
            <w:tcW w:w="2693" w:type="dxa"/>
            <w:tcBorders>
              <w:tl2br w:val="nil"/>
              <w:tr2bl w:val="nil"/>
            </w:tcBorders>
            <w:shd w:val="clear" w:color="auto" w:fill="FFFFFF"/>
            <w:vAlign w:val="center"/>
          </w:tcPr>
          <w:p w14:paraId="67ADC949">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专用设备购置成本</w:t>
            </w:r>
          </w:p>
        </w:tc>
        <w:tc>
          <w:tcPr>
            <w:tcW w:w="898" w:type="dxa"/>
            <w:tcBorders>
              <w:tl2br w:val="nil"/>
              <w:tr2bl w:val="nil"/>
            </w:tcBorders>
            <w:shd w:val="clear" w:color="000000" w:fill="FFFFFF"/>
            <w:vAlign w:val="center"/>
          </w:tcPr>
          <w:p w14:paraId="07A34CB8">
            <w:pPr>
              <w:widowControl/>
              <w:ind w:firstLine="0" w:firstLineChars="0"/>
              <w:jc w:val="center"/>
              <w:rPr>
                <w:rFonts w:hint="eastAsia" w:ascii="宋体" w:hAnsi="宋体" w:eastAsia="宋体" w:cs="宋体"/>
                <w:color w:val="000000"/>
                <w:kern w:val="0"/>
                <w:sz w:val="22"/>
                <w:lang w:val="en-US" w:eastAsia="zh-CN"/>
              </w:rPr>
            </w:pPr>
            <w:r>
              <w:rPr>
                <w:rFonts w:hint="eastAsia" w:ascii="宋体" w:hAnsi="宋体" w:eastAsia="宋体" w:cs="宋体"/>
                <w:color w:val="000000"/>
                <w:kern w:val="0"/>
                <w:sz w:val="22"/>
                <w:lang w:val="en-US" w:eastAsia="zh-CN"/>
              </w:rPr>
              <w:t>2</w:t>
            </w:r>
          </w:p>
        </w:tc>
        <w:tc>
          <w:tcPr>
            <w:tcW w:w="898" w:type="dxa"/>
            <w:tcBorders>
              <w:tl2br w:val="nil"/>
              <w:tr2bl w:val="nil"/>
            </w:tcBorders>
            <w:shd w:val="clear" w:color="000000" w:fill="FFFFFF"/>
            <w:vAlign w:val="center"/>
          </w:tcPr>
          <w:p w14:paraId="70A51BA5">
            <w:pPr>
              <w:widowControl/>
              <w:ind w:firstLine="0" w:firstLineChars="0"/>
              <w:jc w:val="center"/>
              <w:rPr>
                <w:rFonts w:hint="eastAsia" w:ascii="宋体" w:hAnsi="宋体" w:eastAsia="宋体" w:cs="宋体"/>
                <w:color w:val="000000"/>
                <w:kern w:val="0"/>
                <w:sz w:val="22"/>
                <w:lang w:val="en-US" w:eastAsia="zh-CN"/>
              </w:rPr>
            </w:pPr>
            <w:r>
              <w:rPr>
                <w:rFonts w:hint="eastAsia" w:ascii="宋体" w:hAnsi="宋体" w:eastAsia="宋体" w:cs="宋体"/>
                <w:color w:val="000000"/>
                <w:kern w:val="0"/>
                <w:sz w:val="22"/>
                <w:lang w:val="en-US" w:eastAsia="zh-CN"/>
              </w:rPr>
              <w:t>2</w:t>
            </w:r>
          </w:p>
        </w:tc>
        <w:tc>
          <w:tcPr>
            <w:tcW w:w="1039" w:type="dxa"/>
            <w:vMerge w:val="continue"/>
            <w:tcBorders>
              <w:tl2br w:val="nil"/>
              <w:tr2bl w:val="nil"/>
            </w:tcBorders>
            <w:shd w:val="clear" w:color="000000" w:fill="FFFFFF"/>
            <w:vAlign w:val="center"/>
          </w:tcPr>
          <w:p w14:paraId="033D1351">
            <w:pPr>
              <w:widowControl/>
              <w:ind w:firstLine="0" w:firstLineChars="0"/>
              <w:jc w:val="center"/>
              <w:rPr>
                <w:rFonts w:hint="eastAsia" w:ascii="宋体" w:hAnsi="宋体" w:eastAsia="宋体" w:cs="宋体"/>
                <w:color w:val="000000"/>
                <w:kern w:val="0"/>
                <w:sz w:val="22"/>
              </w:rPr>
            </w:pPr>
          </w:p>
        </w:tc>
      </w:tr>
      <w:tr w14:paraId="326945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 w:hRule="atLeast"/>
          <w:jc w:val="center"/>
        </w:trPr>
        <w:tc>
          <w:tcPr>
            <w:tcW w:w="1550" w:type="dxa"/>
            <w:vMerge w:val="continue"/>
            <w:tcBorders>
              <w:tl2br w:val="nil"/>
              <w:tr2bl w:val="nil"/>
            </w:tcBorders>
            <w:shd w:val="clear" w:color="auto" w:fill="FFFFFF"/>
            <w:vAlign w:val="center"/>
          </w:tcPr>
          <w:p w14:paraId="6F171BC1">
            <w:pPr>
              <w:widowControl/>
              <w:ind w:firstLine="0" w:firstLineChars="0"/>
              <w:jc w:val="center"/>
              <w:rPr>
                <w:rFonts w:hint="eastAsia" w:ascii="宋体" w:hAnsi="宋体" w:eastAsia="宋体" w:cs="宋体"/>
                <w:color w:val="000000"/>
                <w:kern w:val="0"/>
                <w:sz w:val="22"/>
              </w:rPr>
            </w:pPr>
          </w:p>
        </w:tc>
        <w:tc>
          <w:tcPr>
            <w:tcW w:w="1984" w:type="dxa"/>
            <w:vMerge w:val="continue"/>
            <w:tcBorders>
              <w:tl2br w:val="nil"/>
              <w:tr2bl w:val="nil"/>
            </w:tcBorders>
            <w:shd w:val="clear" w:color="auto" w:fill="FFFFFF"/>
            <w:vAlign w:val="center"/>
          </w:tcPr>
          <w:p w14:paraId="33A5D7F3">
            <w:pPr>
              <w:widowControl/>
              <w:ind w:firstLine="0" w:firstLineChars="0"/>
              <w:jc w:val="center"/>
              <w:rPr>
                <w:rFonts w:hint="eastAsia" w:ascii="宋体" w:hAnsi="宋体" w:eastAsia="宋体" w:cs="宋体"/>
                <w:color w:val="000000"/>
                <w:kern w:val="0"/>
                <w:sz w:val="22"/>
              </w:rPr>
            </w:pPr>
          </w:p>
        </w:tc>
        <w:tc>
          <w:tcPr>
            <w:tcW w:w="2693" w:type="dxa"/>
            <w:tcBorders>
              <w:tl2br w:val="nil"/>
              <w:tr2bl w:val="nil"/>
            </w:tcBorders>
            <w:shd w:val="clear" w:color="auto" w:fill="FFFFFF"/>
            <w:vAlign w:val="center"/>
          </w:tcPr>
          <w:p w14:paraId="13BB1354">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培训费</w:t>
            </w:r>
          </w:p>
        </w:tc>
        <w:tc>
          <w:tcPr>
            <w:tcW w:w="898" w:type="dxa"/>
            <w:tcBorders>
              <w:tl2br w:val="nil"/>
              <w:tr2bl w:val="nil"/>
            </w:tcBorders>
            <w:shd w:val="clear" w:color="000000" w:fill="FFFFFF"/>
            <w:vAlign w:val="center"/>
          </w:tcPr>
          <w:p w14:paraId="7201F460">
            <w:pPr>
              <w:widowControl/>
              <w:ind w:firstLine="0" w:firstLineChars="0"/>
              <w:jc w:val="center"/>
              <w:rPr>
                <w:rFonts w:hint="eastAsia" w:ascii="宋体" w:hAnsi="宋体" w:eastAsia="宋体" w:cs="宋体"/>
                <w:color w:val="000000"/>
                <w:kern w:val="0"/>
                <w:sz w:val="22"/>
                <w:lang w:val="en-US" w:eastAsia="zh-CN"/>
              </w:rPr>
            </w:pPr>
            <w:r>
              <w:rPr>
                <w:rFonts w:hint="eastAsia" w:ascii="宋体" w:hAnsi="宋体" w:eastAsia="宋体" w:cs="宋体"/>
                <w:color w:val="000000"/>
                <w:kern w:val="0"/>
                <w:sz w:val="22"/>
                <w:lang w:val="en-US" w:eastAsia="zh-CN"/>
              </w:rPr>
              <w:t>2</w:t>
            </w:r>
          </w:p>
        </w:tc>
        <w:tc>
          <w:tcPr>
            <w:tcW w:w="898" w:type="dxa"/>
            <w:tcBorders>
              <w:tl2br w:val="nil"/>
              <w:tr2bl w:val="nil"/>
            </w:tcBorders>
            <w:shd w:val="clear" w:color="000000" w:fill="FFFFFF"/>
            <w:vAlign w:val="center"/>
          </w:tcPr>
          <w:p w14:paraId="57ACC4D7">
            <w:pPr>
              <w:widowControl/>
              <w:ind w:firstLine="0" w:firstLineChars="0"/>
              <w:jc w:val="center"/>
              <w:rPr>
                <w:rFonts w:hint="eastAsia" w:ascii="宋体" w:hAnsi="宋体" w:eastAsia="宋体" w:cs="宋体"/>
                <w:color w:val="000000"/>
                <w:kern w:val="0"/>
                <w:sz w:val="22"/>
                <w:lang w:val="en-US" w:eastAsia="zh-CN"/>
              </w:rPr>
            </w:pPr>
            <w:r>
              <w:rPr>
                <w:rFonts w:hint="eastAsia" w:ascii="宋体" w:hAnsi="宋体" w:eastAsia="宋体" w:cs="宋体"/>
                <w:color w:val="000000"/>
                <w:kern w:val="0"/>
                <w:sz w:val="22"/>
                <w:lang w:val="en-US" w:eastAsia="zh-CN"/>
              </w:rPr>
              <w:t>2</w:t>
            </w:r>
          </w:p>
        </w:tc>
        <w:tc>
          <w:tcPr>
            <w:tcW w:w="1039" w:type="dxa"/>
            <w:vMerge w:val="continue"/>
            <w:tcBorders>
              <w:tl2br w:val="nil"/>
              <w:tr2bl w:val="nil"/>
            </w:tcBorders>
            <w:shd w:val="clear" w:color="000000" w:fill="FFFFFF"/>
            <w:vAlign w:val="center"/>
          </w:tcPr>
          <w:p w14:paraId="28DBE9B9">
            <w:pPr>
              <w:widowControl/>
              <w:ind w:firstLine="0" w:firstLineChars="0"/>
              <w:jc w:val="center"/>
              <w:rPr>
                <w:rFonts w:hint="eastAsia" w:ascii="宋体" w:hAnsi="宋体" w:eastAsia="宋体" w:cs="宋体"/>
                <w:color w:val="000000"/>
                <w:kern w:val="0"/>
                <w:sz w:val="22"/>
              </w:rPr>
            </w:pPr>
          </w:p>
        </w:tc>
      </w:tr>
      <w:tr w14:paraId="6B342E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 w:hRule="atLeast"/>
          <w:jc w:val="center"/>
        </w:trPr>
        <w:tc>
          <w:tcPr>
            <w:tcW w:w="1550" w:type="dxa"/>
            <w:vMerge w:val="continue"/>
            <w:tcBorders>
              <w:tl2br w:val="nil"/>
              <w:tr2bl w:val="nil"/>
            </w:tcBorders>
            <w:shd w:val="clear" w:color="auto" w:fill="FFFFFF"/>
            <w:vAlign w:val="center"/>
          </w:tcPr>
          <w:p w14:paraId="121BC1F6">
            <w:pPr>
              <w:widowControl/>
              <w:ind w:firstLine="0" w:firstLineChars="0"/>
              <w:jc w:val="center"/>
              <w:rPr>
                <w:rFonts w:hint="eastAsia" w:ascii="宋体" w:hAnsi="宋体" w:eastAsia="宋体" w:cs="宋体"/>
                <w:color w:val="000000"/>
                <w:kern w:val="0"/>
                <w:sz w:val="22"/>
              </w:rPr>
            </w:pPr>
          </w:p>
        </w:tc>
        <w:tc>
          <w:tcPr>
            <w:tcW w:w="1984" w:type="dxa"/>
            <w:vMerge w:val="continue"/>
            <w:tcBorders>
              <w:tl2br w:val="nil"/>
              <w:tr2bl w:val="nil"/>
            </w:tcBorders>
            <w:shd w:val="clear" w:color="auto" w:fill="FFFFFF"/>
            <w:vAlign w:val="center"/>
          </w:tcPr>
          <w:p w14:paraId="26D4A2B8">
            <w:pPr>
              <w:widowControl/>
              <w:ind w:firstLine="0" w:firstLineChars="0"/>
              <w:jc w:val="center"/>
              <w:rPr>
                <w:rFonts w:hint="eastAsia" w:ascii="宋体" w:hAnsi="宋体" w:eastAsia="宋体" w:cs="宋体"/>
                <w:color w:val="000000"/>
                <w:kern w:val="0"/>
                <w:sz w:val="22"/>
              </w:rPr>
            </w:pPr>
          </w:p>
        </w:tc>
        <w:tc>
          <w:tcPr>
            <w:tcW w:w="2693" w:type="dxa"/>
            <w:tcBorders>
              <w:tl2br w:val="nil"/>
              <w:tr2bl w:val="nil"/>
            </w:tcBorders>
            <w:shd w:val="clear" w:color="auto" w:fill="FFFFFF"/>
            <w:vAlign w:val="center"/>
          </w:tcPr>
          <w:p w14:paraId="0DC5A1C8">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专用材料费</w:t>
            </w:r>
          </w:p>
        </w:tc>
        <w:tc>
          <w:tcPr>
            <w:tcW w:w="898" w:type="dxa"/>
            <w:tcBorders>
              <w:tl2br w:val="nil"/>
              <w:tr2bl w:val="nil"/>
            </w:tcBorders>
            <w:shd w:val="clear" w:color="000000" w:fill="FFFFFF"/>
            <w:vAlign w:val="center"/>
          </w:tcPr>
          <w:p w14:paraId="39B201A5">
            <w:pPr>
              <w:widowControl/>
              <w:ind w:firstLine="0" w:firstLineChars="0"/>
              <w:jc w:val="center"/>
              <w:rPr>
                <w:rFonts w:hint="eastAsia" w:ascii="宋体" w:hAnsi="宋体" w:eastAsia="宋体" w:cs="宋体"/>
                <w:color w:val="000000"/>
                <w:kern w:val="0"/>
                <w:sz w:val="22"/>
                <w:lang w:val="en-US" w:eastAsia="zh-CN"/>
              </w:rPr>
            </w:pPr>
            <w:r>
              <w:rPr>
                <w:rFonts w:hint="eastAsia" w:ascii="宋体" w:hAnsi="宋体" w:eastAsia="宋体" w:cs="宋体"/>
                <w:color w:val="000000"/>
                <w:kern w:val="0"/>
                <w:sz w:val="22"/>
                <w:lang w:val="en-US" w:eastAsia="zh-CN"/>
              </w:rPr>
              <w:t>2</w:t>
            </w:r>
          </w:p>
        </w:tc>
        <w:tc>
          <w:tcPr>
            <w:tcW w:w="898" w:type="dxa"/>
            <w:tcBorders>
              <w:tl2br w:val="nil"/>
              <w:tr2bl w:val="nil"/>
            </w:tcBorders>
            <w:shd w:val="clear" w:color="000000" w:fill="FFFFFF"/>
            <w:vAlign w:val="center"/>
          </w:tcPr>
          <w:p w14:paraId="216E6761">
            <w:pPr>
              <w:widowControl/>
              <w:ind w:firstLine="0" w:firstLineChars="0"/>
              <w:jc w:val="center"/>
              <w:rPr>
                <w:rFonts w:hint="eastAsia" w:ascii="宋体" w:hAnsi="宋体" w:eastAsia="宋体" w:cs="宋体"/>
                <w:color w:val="000000"/>
                <w:kern w:val="0"/>
                <w:sz w:val="22"/>
                <w:lang w:val="en-US" w:eastAsia="zh-CN"/>
              </w:rPr>
            </w:pPr>
            <w:r>
              <w:rPr>
                <w:rFonts w:hint="eastAsia" w:ascii="宋体" w:hAnsi="宋体" w:eastAsia="宋体" w:cs="宋体"/>
                <w:color w:val="000000"/>
                <w:kern w:val="0"/>
                <w:sz w:val="22"/>
                <w:lang w:val="en-US" w:eastAsia="zh-CN"/>
              </w:rPr>
              <w:t>2</w:t>
            </w:r>
          </w:p>
        </w:tc>
        <w:tc>
          <w:tcPr>
            <w:tcW w:w="1039" w:type="dxa"/>
            <w:vMerge w:val="continue"/>
            <w:tcBorders>
              <w:tl2br w:val="nil"/>
              <w:tr2bl w:val="nil"/>
            </w:tcBorders>
            <w:shd w:val="clear" w:color="000000" w:fill="FFFFFF"/>
            <w:vAlign w:val="center"/>
          </w:tcPr>
          <w:p w14:paraId="5778B584">
            <w:pPr>
              <w:widowControl/>
              <w:ind w:firstLine="0" w:firstLineChars="0"/>
              <w:jc w:val="center"/>
              <w:rPr>
                <w:rFonts w:hint="eastAsia" w:ascii="宋体" w:hAnsi="宋体" w:eastAsia="宋体" w:cs="宋体"/>
                <w:color w:val="000000"/>
                <w:kern w:val="0"/>
                <w:sz w:val="22"/>
              </w:rPr>
            </w:pPr>
          </w:p>
        </w:tc>
      </w:tr>
      <w:tr w14:paraId="1F1B1D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 w:hRule="atLeast"/>
          <w:jc w:val="center"/>
        </w:trPr>
        <w:tc>
          <w:tcPr>
            <w:tcW w:w="1550" w:type="dxa"/>
            <w:vMerge w:val="continue"/>
            <w:tcBorders>
              <w:tl2br w:val="nil"/>
              <w:tr2bl w:val="nil"/>
            </w:tcBorders>
            <w:shd w:val="clear" w:color="auto" w:fill="FFFFFF"/>
            <w:vAlign w:val="center"/>
          </w:tcPr>
          <w:p w14:paraId="4EDE2550">
            <w:pPr>
              <w:widowControl/>
              <w:ind w:firstLine="0" w:firstLineChars="0"/>
              <w:jc w:val="center"/>
              <w:rPr>
                <w:rFonts w:hint="eastAsia" w:ascii="宋体" w:hAnsi="宋体" w:eastAsia="宋体" w:cs="宋体"/>
                <w:color w:val="000000"/>
                <w:kern w:val="0"/>
                <w:sz w:val="22"/>
              </w:rPr>
            </w:pPr>
          </w:p>
        </w:tc>
        <w:tc>
          <w:tcPr>
            <w:tcW w:w="1984" w:type="dxa"/>
            <w:vMerge w:val="continue"/>
            <w:tcBorders>
              <w:tl2br w:val="nil"/>
              <w:tr2bl w:val="nil"/>
            </w:tcBorders>
            <w:shd w:val="clear" w:color="auto" w:fill="FFFFFF"/>
            <w:vAlign w:val="center"/>
          </w:tcPr>
          <w:p w14:paraId="4E2E0104">
            <w:pPr>
              <w:widowControl/>
              <w:ind w:firstLine="0" w:firstLineChars="0"/>
              <w:jc w:val="center"/>
              <w:rPr>
                <w:rFonts w:hint="eastAsia" w:ascii="宋体" w:hAnsi="宋体" w:eastAsia="宋体" w:cs="宋体"/>
                <w:color w:val="000000"/>
                <w:kern w:val="0"/>
                <w:sz w:val="22"/>
              </w:rPr>
            </w:pPr>
          </w:p>
        </w:tc>
        <w:tc>
          <w:tcPr>
            <w:tcW w:w="2693" w:type="dxa"/>
            <w:tcBorders>
              <w:tl2br w:val="nil"/>
              <w:tr2bl w:val="nil"/>
            </w:tcBorders>
            <w:shd w:val="clear" w:color="auto" w:fill="FFFFFF"/>
            <w:vAlign w:val="center"/>
          </w:tcPr>
          <w:p w14:paraId="2055DD35">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劳务费</w:t>
            </w:r>
          </w:p>
        </w:tc>
        <w:tc>
          <w:tcPr>
            <w:tcW w:w="898" w:type="dxa"/>
            <w:tcBorders>
              <w:tl2br w:val="nil"/>
              <w:tr2bl w:val="nil"/>
            </w:tcBorders>
            <w:shd w:val="clear" w:color="000000" w:fill="FFFFFF"/>
            <w:vAlign w:val="center"/>
          </w:tcPr>
          <w:p w14:paraId="1411ABD2">
            <w:pPr>
              <w:widowControl/>
              <w:ind w:firstLine="0" w:firstLineChars="0"/>
              <w:jc w:val="center"/>
              <w:rPr>
                <w:rFonts w:hint="eastAsia" w:ascii="宋体" w:hAnsi="宋体" w:eastAsia="宋体" w:cs="宋体"/>
                <w:color w:val="000000"/>
                <w:kern w:val="0"/>
                <w:sz w:val="22"/>
                <w:lang w:val="en-US" w:eastAsia="zh-CN"/>
              </w:rPr>
            </w:pPr>
            <w:r>
              <w:rPr>
                <w:rFonts w:hint="eastAsia" w:ascii="宋体" w:hAnsi="宋体" w:eastAsia="宋体" w:cs="宋体"/>
                <w:color w:val="000000"/>
                <w:kern w:val="0"/>
                <w:sz w:val="22"/>
                <w:lang w:val="en-US" w:eastAsia="zh-CN"/>
              </w:rPr>
              <w:t>2</w:t>
            </w:r>
          </w:p>
        </w:tc>
        <w:tc>
          <w:tcPr>
            <w:tcW w:w="898" w:type="dxa"/>
            <w:tcBorders>
              <w:tl2br w:val="nil"/>
              <w:tr2bl w:val="nil"/>
            </w:tcBorders>
            <w:shd w:val="clear" w:color="000000" w:fill="FFFFFF"/>
            <w:vAlign w:val="center"/>
          </w:tcPr>
          <w:p w14:paraId="6F5D3A74">
            <w:pPr>
              <w:widowControl/>
              <w:ind w:firstLine="0" w:firstLineChars="0"/>
              <w:jc w:val="center"/>
              <w:rPr>
                <w:rFonts w:hint="eastAsia" w:ascii="宋体" w:hAnsi="宋体" w:eastAsia="宋体" w:cs="宋体"/>
                <w:color w:val="000000"/>
                <w:kern w:val="0"/>
                <w:sz w:val="22"/>
                <w:lang w:val="en-US" w:eastAsia="zh-CN"/>
              </w:rPr>
            </w:pPr>
            <w:r>
              <w:rPr>
                <w:rFonts w:hint="eastAsia" w:ascii="宋体" w:hAnsi="宋体" w:eastAsia="宋体" w:cs="宋体"/>
                <w:color w:val="000000"/>
                <w:kern w:val="0"/>
                <w:sz w:val="22"/>
                <w:lang w:val="en-US" w:eastAsia="zh-CN"/>
              </w:rPr>
              <w:t>2</w:t>
            </w:r>
          </w:p>
        </w:tc>
        <w:tc>
          <w:tcPr>
            <w:tcW w:w="1039" w:type="dxa"/>
            <w:vMerge w:val="continue"/>
            <w:tcBorders>
              <w:tl2br w:val="nil"/>
              <w:tr2bl w:val="nil"/>
            </w:tcBorders>
            <w:shd w:val="clear" w:color="000000" w:fill="FFFFFF"/>
            <w:vAlign w:val="center"/>
          </w:tcPr>
          <w:p w14:paraId="724535D2">
            <w:pPr>
              <w:widowControl/>
              <w:ind w:firstLine="0" w:firstLineChars="0"/>
              <w:jc w:val="center"/>
              <w:rPr>
                <w:rFonts w:hint="eastAsia" w:ascii="宋体" w:hAnsi="宋体" w:eastAsia="宋体" w:cs="宋体"/>
                <w:color w:val="000000"/>
                <w:kern w:val="0"/>
                <w:sz w:val="22"/>
              </w:rPr>
            </w:pPr>
          </w:p>
        </w:tc>
      </w:tr>
      <w:tr w14:paraId="159D8F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tcBorders>
              <w:tl2br w:val="nil"/>
              <w:tr2bl w:val="nil"/>
            </w:tcBorders>
            <w:shd w:val="clear" w:color="auto" w:fill="FFFFFF"/>
            <w:vAlign w:val="center"/>
          </w:tcPr>
          <w:p w14:paraId="6BD0FF2E">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效益</w:t>
            </w:r>
          </w:p>
        </w:tc>
        <w:tc>
          <w:tcPr>
            <w:tcW w:w="1984" w:type="dxa"/>
            <w:tcBorders>
              <w:tl2br w:val="nil"/>
              <w:tr2bl w:val="nil"/>
            </w:tcBorders>
            <w:shd w:val="clear" w:color="auto" w:fill="FFFFFF"/>
            <w:vAlign w:val="center"/>
          </w:tcPr>
          <w:p w14:paraId="4BDA8571">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项目效益</w:t>
            </w:r>
          </w:p>
        </w:tc>
        <w:tc>
          <w:tcPr>
            <w:tcW w:w="2693" w:type="dxa"/>
            <w:tcBorders>
              <w:tl2br w:val="nil"/>
              <w:tr2bl w:val="nil"/>
            </w:tcBorders>
            <w:shd w:val="clear" w:color="auto" w:fill="FFFFFF"/>
            <w:vAlign w:val="center"/>
          </w:tcPr>
          <w:p w14:paraId="193E121A">
            <w:pPr>
              <w:widowControl/>
              <w:ind w:firstLine="0" w:firstLineChars="0"/>
              <w:jc w:val="center"/>
              <w:rPr>
                <w:rFonts w:ascii="仿宋_GB2312" w:hAnsi="宋体" w:cs="宋体"/>
                <w:kern w:val="0"/>
                <w:sz w:val="24"/>
                <w:szCs w:val="24"/>
              </w:rPr>
            </w:pPr>
            <w:r>
              <w:rPr>
                <w:rFonts w:hint="eastAsia" w:ascii="宋体" w:hAnsi="宋体" w:eastAsia="宋体" w:cs="宋体"/>
                <w:color w:val="000000"/>
                <w:kern w:val="0"/>
                <w:sz w:val="22"/>
              </w:rPr>
              <w:t>提升我院中医药诊疗服务能力</w:t>
            </w:r>
          </w:p>
        </w:tc>
        <w:tc>
          <w:tcPr>
            <w:tcW w:w="898" w:type="dxa"/>
            <w:tcBorders>
              <w:tl2br w:val="nil"/>
              <w:tr2bl w:val="nil"/>
            </w:tcBorders>
            <w:shd w:val="clear" w:color="auto" w:fill="FFFFFF"/>
            <w:vAlign w:val="center"/>
          </w:tcPr>
          <w:p w14:paraId="7D491EF2">
            <w:pPr>
              <w:widowControl/>
              <w:ind w:firstLine="0" w:firstLineChars="0"/>
              <w:jc w:val="center"/>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20</w:t>
            </w:r>
          </w:p>
        </w:tc>
        <w:tc>
          <w:tcPr>
            <w:tcW w:w="898" w:type="dxa"/>
            <w:tcBorders>
              <w:tl2br w:val="nil"/>
              <w:tr2bl w:val="nil"/>
            </w:tcBorders>
            <w:shd w:val="clear" w:color="auto" w:fill="FFFFFF"/>
            <w:vAlign w:val="center"/>
          </w:tcPr>
          <w:p w14:paraId="79353042">
            <w:pPr>
              <w:widowControl/>
              <w:ind w:firstLine="0" w:firstLineChars="0"/>
              <w:jc w:val="center"/>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20</w:t>
            </w:r>
          </w:p>
        </w:tc>
        <w:tc>
          <w:tcPr>
            <w:tcW w:w="1039" w:type="dxa"/>
            <w:tcBorders>
              <w:tl2br w:val="nil"/>
              <w:tr2bl w:val="nil"/>
            </w:tcBorders>
            <w:shd w:val="clear" w:color="auto" w:fill="FFFFFF"/>
            <w:vAlign w:val="center"/>
          </w:tcPr>
          <w:p w14:paraId="0889480B">
            <w:pPr>
              <w:widowControl/>
              <w:ind w:firstLine="0" w:firstLineChars="0"/>
              <w:jc w:val="center"/>
              <w:rPr>
                <w:rFonts w:ascii="仿宋_GB2312" w:hAnsi="宋体" w:cs="宋体"/>
                <w:kern w:val="0"/>
                <w:sz w:val="24"/>
                <w:szCs w:val="24"/>
              </w:rPr>
            </w:pPr>
          </w:p>
        </w:tc>
      </w:tr>
      <w:tr w14:paraId="17D48E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tcBorders>
              <w:tl2br w:val="nil"/>
              <w:tr2bl w:val="nil"/>
            </w:tcBorders>
            <w:shd w:val="clear" w:color="auto" w:fill="FFFFFF"/>
            <w:vAlign w:val="center"/>
          </w:tcPr>
          <w:p w14:paraId="0139EB79">
            <w:pPr>
              <w:widowControl/>
              <w:ind w:firstLine="0" w:firstLineChars="0"/>
              <w:jc w:val="center"/>
              <w:rPr>
                <w:rFonts w:ascii="仿宋_GB2312" w:hAnsi="宋体" w:cs="宋体"/>
                <w:kern w:val="0"/>
                <w:sz w:val="24"/>
                <w:szCs w:val="24"/>
              </w:rPr>
            </w:pPr>
            <w:r>
              <w:rPr>
                <w:rFonts w:ascii="宋体" w:hAnsi="宋体" w:eastAsia="宋体" w:cs="宋体"/>
                <w:color w:val="000000"/>
                <w:kern w:val="0"/>
                <w:sz w:val="22"/>
              </w:rPr>
              <w:t>满意度指标完成情况分析</w:t>
            </w:r>
          </w:p>
        </w:tc>
        <w:tc>
          <w:tcPr>
            <w:tcW w:w="1984" w:type="dxa"/>
            <w:tcBorders>
              <w:tl2br w:val="nil"/>
              <w:tr2bl w:val="nil"/>
            </w:tcBorders>
            <w:shd w:val="clear" w:color="auto" w:fill="FFFFFF"/>
            <w:vAlign w:val="center"/>
          </w:tcPr>
          <w:p w14:paraId="260B28F8">
            <w:pPr>
              <w:widowControl/>
              <w:ind w:firstLine="0" w:firstLineChars="0"/>
              <w:jc w:val="center"/>
              <w:rPr>
                <w:rFonts w:ascii="仿宋_GB2312" w:hAnsi="宋体" w:cs="宋体"/>
                <w:kern w:val="0"/>
                <w:sz w:val="24"/>
                <w:szCs w:val="24"/>
              </w:rPr>
            </w:pPr>
            <w:r>
              <w:rPr>
                <w:rFonts w:hint="eastAsia" w:ascii="宋体" w:hAnsi="宋体" w:eastAsia="宋体" w:cs="宋体"/>
                <w:color w:val="000000"/>
                <w:kern w:val="0"/>
                <w:sz w:val="22"/>
              </w:rPr>
              <w:t>满意度指标</w:t>
            </w:r>
          </w:p>
        </w:tc>
        <w:tc>
          <w:tcPr>
            <w:tcW w:w="2693" w:type="dxa"/>
            <w:tcBorders>
              <w:tl2br w:val="nil"/>
              <w:tr2bl w:val="nil"/>
            </w:tcBorders>
            <w:shd w:val="clear" w:color="auto" w:fill="FFFFFF"/>
            <w:vAlign w:val="center"/>
          </w:tcPr>
          <w:p w14:paraId="152F8BC9">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lang w:val="en-US" w:eastAsia="zh-CN"/>
              </w:rPr>
              <w:t>患者</w:t>
            </w:r>
            <w:r>
              <w:rPr>
                <w:rFonts w:hint="eastAsia" w:ascii="宋体" w:hAnsi="宋体" w:eastAsia="宋体" w:cs="宋体"/>
                <w:color w:val="000000"/>
                <w:kern w:val="0"/>
                <w:sz w:val="22"/>
              </w:rPr>
              <w:t>满意度</w:t>
            </w:r>
          </w:p>
        </w:tc>
        <w:tc>
          <w:tcPr>
            <w:tcW w:w="898" w:type="dxa"/>
            <w:tcBorders>
              <w:tl2br w:val="nil"/>
              <w:tr2bl w:val="nil"/>
            </w:tcBorders>
            <w:shd w:val="clear" w:color="000000" w:fill="FFFFFF"/>
            <w:vAlign w:val="center"/>
          </w:tcPr>
          <w:p w14:paraId="5C126D41">
            <w:pPr>
              <w:widowControl/>
              <w:ind w:firstLine="0" w:firstLineChars="0"/>
              <w:jc w:val="center"/>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10</w:t>
            </w:r>
          </w:p>
        </w:tc>
        <w:tc>
          <w:tcPr>
            <w:tcW w:w="898" w:type="dxa"/>
            <w:tcBorders>
              <w:tl2br w:val="nil"/>
              <w:tr2bl w:val="nil"/>
            </w:tcBorders>
            <w:shd w:val="clear" w:color="000000" w:fill="FFFFFF"/>
            <w:vAlign w:val="center"/>
          </w:tcPr>
          <w:p w14:paraId="49F646E5">
            <w:pPr>
              <w:widowControl/>
              <w:ind w:firstLine="0" w:firstLineChars="0"/>
              <w:jc w:val="center"/>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10</w:t>
            </w:r>
          </w:p>
        </w:tc>
        <w:tc>
          <w:tcPr>
            <w:tcW w:w="1039" w:type="dxa"/>
            <w:tcBorders>
              <w:tl2br w:val="nil"/>
              <w:tr2bl w:val="nil"/>
            </w:tcBorders>
            <w:shd w:val="clear" w:color="000000" w:fill="FFFFFF"/>
            <w:vAlign w:val="center"/>
          </w:tcPr>
          <w:p w14:paraId="080A8D1F">
            <w:pPr>
              <w:widowControl/>
              <w:ind w:firstLine="0" w:firstLineChars="0"/>
              <w:jc w:val="center"/>
              <w:rPr>
                <w:rFonts w:ascii="仿宋_GB2312" w:hAnsi="宋体" w:cs="宋体"/>
                <w:kern w:val="0"/>
                <w:sz w:val="24"/>
                <w:szCs w:val="24"/>
              </w:rPr>
            </w:pPr>
          </w:p>
        </w:tc>
      </w:tr>
    </w:tbl>
    <w:p w14:paraId="32F7E4D7">
      <w:pPr>
        <w:pStyle w:val="3"/>
        <w:ind w:firstLine="643"/>
        <w:rPr>
          <w:rFonts w:ascii="仿宋" w:hAnsi="仿宋" w:eastAsia="仿宋"/>
          <w:lang w:bidi="en-US"/>
        </w:rPr>
      </w:pPr>
      <w:bookmarkStart w:id="31" w:name="_Toc67911610"/>
      <w:bookmarkStart w:id="32" w:name="_Toc165277239"/>
      <w:r>
        <w:rPr>
          <w:rFonts w:hint="eastAsia" w:ascii="仿宋" w:hAnsi="仿宋" w:eastAsia="仿宋"/>
          <w:lang w:bidi="en-US"/>
        </w:rPr>
        <w:t>（二）主要绩效</w:t>
      </w:r>
      <w:bookmarkEnd w:id="31"/>
      <w:bookmarkEnd w:id="32"/>
    </w:p>
    <w:p w14:paraId="0500E888">
      <w:pPr>
        <w:spacing w:line="360" w:lineRule="auto"/>
        <w:ind w:firstLine="548" w:firstLineChars="196"/>
        <w:rPr>
          <w:rFonts w:hint="eastAsia" w:ascii="仿宋_GB2312"/>
          <w:bCs/>
          <w:szCs w:val="28"/>
          <w:highlight w:val="yellow"/>
        </w:rPr>
      </w:pPr>
      <w:r>
        <w:rPr>
          <w:rFonts w:hint="eastAsia" w:ascii="仿宋_GB2312"/>
          <w:bCs/>
          <w:szCs w:val="28"/>
        </w:rPr>
        <w:t>该项目资金区财政及时拨付，</w:t>
      </w:r>
      <w:r>
        <w:rPr>
          <w:rFonts w:hint="eastAsia" w:ascii="仿宋_GB2312"/>
          <w:bCs/>
          <w:szCs w:val="28"/>
          <w:lang w:val="en-US" w:eastAsia="zh-CN"/>
        </w:rPr>
        <w:t>我单位</w:t>
      </w:r>
      <w:r>
        <w:rPr>
          <w:rFonts w:hint="eastAsia" w:ascii="仿宋_GB2312"/>
          <w:bCs/>
          <w:szCs w:val="28"/>
        </w:rPr>
        <w:t>2024年该项目使用251.37万元，其中购置了医疗专用设备63台，共234.99万元；培训外出次数18次，差旅费2.06万元、培训费5.08万元；专用材料费9万元、劳务费0.24万元，剩余金额转至2025年继续使用。</w:t>
      </w:r>
    </w:p>
    <w:p w14:paraId="32AB180D">
      <w:pPr>
        <w:pStyle w:val="2"/>
        <w:ind w:firstLine="0" w:firstLineChars="0"/>
        <w:jc w:val="left"/>
        <w:rPr>
          <w:rFonts w:ascii="仿宋" w:hAnsi="仿宋" w:eastAsia="仿宋"/>
          <w:sz w:val="36"/>
          <w:szCs w:val="36"/>
          <w:lang w:bidi="en-US"/>
        </w:rPr>
      </w:pPr>
      <w:bookmarkStart w:id="33" w:name="_Toc165277240"/>
      <w:bookmarkStart w:id="34" w:name="_Toc67911611"/>
      <w:r>
        <w:rPr>
          <w:rFonts w:hint="eastAsia" w:ascii="仿宋" w:hAnsi="仿宋" w:eastAsia="仿宋"/>
          <w:sz w:val="36"/>
          <w:szCs w:val="36"/>
          <w:lang w:bidi="en-US"/>
        </w:rPr>
        <w:t>四、绩效评价指标分析</w:t>
      </w:r>
      <w:bookmarkEnd w:id="33"/>
      <w:bookmarkEnd w:id="34"/>
    </w:p>
    <w:p w14:paraId="1B6E23FF">
      <w:pPr>
        <w:pStyle w:val="3"/>
        <w:ind w:firstLine="643"/>
        <w:rPr>
          <w:rFonts w:ascii="仿宋" w:hAnsi="仿宋" w:eastAsia="仿宋"/>
          <w:lang w:bidi="en-US"/>
        </w:rPr>
      </w:pPr>
      <w:bookmarkStart w:id="35" w:name="_Toc165277241"/>
      <w:bookmarkStart w:id="36" w:name="_Toc67911612"/>
      <w:r>
        <w:rPr>
          <w:rFonts w:hint="eastAsia" w:ascii="仿宋" w:hAnsi="仿宋" w:eastAsia="仿宋"/>
          <w:lang w:bidi="en-US"/>
        </w:rPr>
        <w:t>（一）项目决策情况</w:t>
      </w:r>
      <w:bookmarkEnd w:id="35"/>
      <w:bookmarkEnd w:id="36"/>
    </w:p>
    <w:p w14:paraId="170A0D39">
      <w:pPr>
        <w:spacing w:line="360" w:lineRule="auto"/>
        <w:ind w:firstLine="560"/>
        <w:rPr>
          <w:rFonts w:ascii="仿宋_GB2312"/>
          <w:szCs w:val="28"/>
        </w:rPr>
      </w:pPr>
      <w:r>
        <w:rPr>
          <w:rFonts w:hint="eastAsia" w:ascii="仿宋_GB2312"/>
          <w:szCs w:val="28"/>
        </w:rPr>
        <w:t>项目决算指标由3个二级指标和6个三级指标构成，权重为</w:t>
      </w:r>
      <w:r>
        <w:rPr>
          <w:rFonts w:ascii="仿宋_GB2312"/>
          <w:szCs w:val="28"/>
        </w:rPr>
        <w:t>20</w:t>
      </w:r>
      <w:r>
        <w:rPr>
          <w:rFonts w:hint="eastAsia" w:ascii="仿宋_GB2312"/>
          <w:szCs w:val="28"/>
        </w:rPr>
        <w:t>分，实际得分</w:t>
      </w:r>
      <w:r>
        <w:rPr>
          <w:rFonts w:hint="eastAsia" w:ascii="仿宋_GB2312"/>
          <w:szCs w:val="28"/>
          <w:lang w:val="en-US" w:eastAsia="zh-CN"/>
        </w:rPr>
        <w:t>20</w:t>
      </w:r>
      <w:r>
        <w:rPr>
          <w:rFonts w:hint="eastAsia" w:ascii="仿宋_GB2312"/>
          <w:szCs w:val="28"/>
        </w:rPr>
        <w:t>分。</w:t>
      </w:r>
    </w:p>
    <w:p w14:paraId="5FB2C4C4">
      <w:pPr>
        <w:pStyle w:val="4"/>
        <w:ind w:firstLine="643"/>
      </w:pPr>
      <w:bookmarkStart w:id="37" w:name="_Toc165277242"/>
      <w:r>
        <w:t>1.</w:t>
      </w:r>
      <w:r>
        <w:rPr>
          <w:rFonts w:hint="eastAsia"/>
        </w:rPr>
        <w:t>项目立项</w:t>
      </w:r>
      <w:bookmarkEnd w:id="37"/>
    </w:p>
    <w:p w14:paraId="55098173">
      <w:pPr>
        <w:spacing w:line="360" w:lineRule="auto"/>
        <w:ind w:firstLine="562"/>
        <w:rPr>
          <w:rFonts w:ascii="仿宋_GB2312"/>
          <w:szCs w:val="28"/>
        </w:rPr>
      </w:pPr>
      <w:r>
        <w:rPr>
          <w:rFonts w:hint="eastAsia" w:ascii="仿宋_GB2312"/>
          <w:b/>
          <w:bCs/>
          <w:szCs w:val="28"/>
        </w:rPr>
        <w:t>立项依据充分性：</w:t>
      </w:r>
      <w:r>
        <w:rPr>
          <w:rFonts w:hint="eastAsia" w:ascii="仿宋_GB2312"/>
          <w:szCs w:val="28"/>
        </w:rPr>
        <w:t>项目立项符合国家法律法规、政策要求。同时，项目与部门职责范围相符，属于部门履职所需。此外，本项目属于公共财政支持范围，符合中央、地方事权支出责任划分原则。因此，立项依据充分，得4分。</w:t>
      </w:r>
    </w:p>
    <w:p w14:paraId="5B68EB11">
      <w:pPr>
        <w:spacing w:line="360" w:lineRule="auto"/>
        <w:ind w:firstLine="562"/>
        <w:rPr>
          <w:rFonts w:ascii="仿宋_GB2312"/>
          <w:szCs w:val="28"/>
        </w:rPr>
      </w:pPr>
      <w:r>
        <w:rPr>
          <w:rFonts w:hint="eastAsia" w:ascii="仿宋_GB2312"/>
          <w:b/>
          <w:bCs/>
          <w:szCs w:val="28"/>
        </w:rPr>
        <w:t>立项程序规范性</w:t>
      </w:r>
      <w:r>
        <w:rPr>
          <w:rFonts w:ascii="仿宋_GB2312"/>
          <w:b/>
          <w:bCs/>
          <w:szCs w:val="28"/>
        </w:rPr>
        <w:t>:</w:t>
      </w:r>
      <w:r>
        <w:rPr>
          <w:rFonts w:hint="eastAsia"/>
        </w:rPr>
        <w:t xml:space="preserve"> </w:t>
      </w:r>
      <w:r>
        <w:rPr>
          <w:rFonts w:hint="eastAsia" w:ascii="仿宋_GB2312"/>
          <w:szCs w:val="28"/>
        </w:rPr>
        <w:t>项目按照规定的程序申请设立，审批文件、材料符合相关要求，故立项程序规范，得4分。</w:t>
      </w:r>
    </w:p>
    <w:p w14:paraId="537C9F73">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8</w:t>
      </w:r>
      <w:r>
        <w:rPr>
          <w:rFonts w:hint="eastAsia" w:ascii="仿宋_GB2312" w:hAnsi="仿宋" w:cs="宋体"/>
          <w:b/>
          <w:kern w:val="0"/>
          <w:szCs w:val="28"/>
        </w:rPr>
        <w:t>分，得分</w:t>
      </w:r>
      <w:r>
        <w:rPr>
          <w:rFonts w:hint="eastAsia" w:ascii="仿宋_GB2312" w:hAnsi="仿宋" w:cs="宋体"/>
          <w:b/>
          <w:kern w:val="0"/>
          <w:szCs w:val="28"/>
          <w:lang w:val="en-US" w:eastAsia="zh-CN"/>
        </w:rPr>
        <w:t>8</w:t>
      </w:r>
      <w:r>
        <w:rPr>
          <w:rFonts w:hint="eastAsia" w:ascii="仿宋_GB2312" w:hAnsi="仿宋" w:cs="宋体"/>
          <w:b/>
          <w:kern w:val="0"/>
          <w:szCs w:val="28"/>
        </w:rPr>
        <w:t>分。</w:t>
      </w:r>
    </w:p>
    <w:p w14:paraId="300BA30D">
      <w:pPr>
        <w:pStyle w:val="4"/>
        <w:ind w:firstLine="643"/>
      </w:pPr>
      <w:bookmarkStart w:id="38" w:name="_Toc165277243"/>
      <w:r>
        <w:rPr>
          <w:rFonts w:hint="eastAsia"/>
        </w:rPr>
        <w:t>2</w:t>
      </w:r>
      <w:r>
        <w:t>.</w:t>
      </w:r>
      <w:r>
        <w:rPr>
          <w:rFonts w:hint="eastAsia"/>
        </w:rPr>
        <w:t>绩效目标</w:t>
      </w:r>
      <w:bookmarkEnd w:id="38"/>
    </w:p>
    <w:p w14:paraId="6FD291B5">
      <w:pPr>
        <w:spacing w:line="360" w:lineRule="auto"/>
        <w:ind w:firstLine="562"/>
        <w:rPr>
          <w:rFonts w:ascii="仿宋_GB2312"/>
          <w:szCs w:val="28"/>
        </w:rPr>
      </w:pPr>
      <w:r>
        <w:rPr>
          <w:rFonts w:hint="eastAsia" w:ascii="仿宋_GB2312"/>
          <w:b/>
          <w:bCs/>
          <w:szCs w:val="28"/>
        </w:rPr>
        <w:t>绩效目标合理性：</w:t>
      </w:r>
      <w:r>
        <w:rPr>
          <w:rFonts w:hint="eastAsia" w:ascii="仿宋_GB2312"/>
          <w:szCs w:val="28"/>
          <w:highlight w:val="none"/>
        </w:rPr>
        <w:t>本项目的绩效目标按照产出、效益和满意度构建绩效评价指标，且具</w:t>
      </w:r>
      <w:r>
        <w:rPr>
          <w:rFonts w:hint="eastAsia" w:ascii="仿宋_GB2312"/>
          <w:szCs w:val="28"/>
        </w:rPr>
        <w:t>有明确性、可衡量性、可实现性、相关性和时限性等特点，能较为全面地反映本项目的产出和效益，故绩效目标合理性指标得分</w:t>
      </w:r>
      <w:r>
        <w:rPr>
          <w:rFonts w:ascii="仿宋_GB2312"/>
          <w:szCs w:val="28"/>
        </w:rPr>
        <w:t>3</w:t>
      </w:r>
      <w:r>
        <w:rPr>
          <w:rFonts w:hint="eastAsia" w:ascii="仿宋_GB2312"/>
          <w:szCs w:val="28"/>
        </w:rPr>
        <w:t>分。</w:t>
      </w:r>
    </w:p>
    <w:p w14:paraId="6EF8F909">
      <w:pPr>
        <w:autoSpaceDE w:val="0"/>
        <w:spacing w:line="600" w:lineRule="exact"/>
        <w:ind w:firstLine="562"/>
        <w:rPr>
          <w:rFonts w:ascii="仿宋_GB2312" w:hAnsi="仿宋" w:cs="宋体"/>
          <w:kern w:val="0"/>
          <w:szCs w:val="28"/>
        </w:rPr>
      </w:pPr>
      <w:r>
        <w:rPr>
          <w:rFonts w:hint="eastAsia" w:ascii="仿宋_GB2312" w:hAnsi="仿宋" w:cs="宋体"/>
          <w:b/>
          <w:kern w:val="0"/>
          <w:szCs w:val="28"/>
        </w:rPr>
        <w:t>绩效目标明确性：</w:t>
      </w:r>
      <w:r>
        <w:rPr>
          <w:rFonts w:hint="eastAsia" w:ascii="仿宋_GB2312" w:hAnsi="仿宋" w:cs="宋体"/>
          <w:kern w:val="0"/>
          <w:szCs w:val="28"/>
        </w:rPr>
        <w:t>其中，目标已细化为具体的绩效指标专用设备购置数量</w:t>
      </w:r>
      <w:r>
        <w:rPr>
          <w:rFonts w:hint="eastAsia" w:ascii="仿宋_GB2312" w:hAnsi="仿宋" w:cs="宋体"/>
          <w:kern w:val="0"/>
          <w:szCs w:val="28"/>
          <w:lang w:eastAsia="zh-CN"/>
        </w:rPr>
        <w:t>、培训外出次数、采购设备验收合格率、差旅费、专用设备购置成本、培训费、专用材料费、劳务费</w:t>
      </w:r>
      <w:r>
        <w:rPr>
          <w:rFonts w:hint="eastAsia" w:ascii="仿宋_GB2312" w:hAnsi="仿宋" w:cs="宋体"/>
          <w:kern w:val="0"/>
          <w:szCs w:val="28"/>
          <w:lang w:val="en-US" w:eastAsia="zh-CN"/>
        </w:rPr>
        <w:t>这8条指标</w:t>
      </w:r>
      <w:r>
        <w:rPr>
          <w:rFonts w:hint="eastAsia" w:ascii="仿宋_GB2312" w:hAnsi="仿宋" w:cs="宋体"/>
          <w:kern w:val="0"/>
          <w:szCs w:val="28"/>
        </w:rPr>
        <w:t>，可通过数量指标、质量指标、时效指标和成本指标予以量化，并具有确切的评价标准，且指标设定均与目标相关。各项指标均能在现实条件下收集到相关数据进行佐证，完成中西医结合医院转型，逐步提高医院整体服务能力和运行效率，提高中医药服务可及性和依从性，强化中医药医疗质量管理，加快中西医结合人才培养速度，在三年内将医院转型为集医疗、教学、科研、预防、康复为一体的三级综合性中西医结合医院，更好地满足广大人民群众日益增长的医疗健康需求。并与当年项目年度计划相对应，故绩效目标明确性指标得分</w:t>
      </w:r>
      <w:r>
        <w:rPr>
          <w:rFonts w:ascii="仿宋_GB2312" w:hAnsi="仿宋" w:cs="宋体"/>
          <w:kern w:val="0"/>
          <w:szCs w:val="28"/>
        </w:rPr>
        <w:t>3</w:t>
      </w:r>
      <w:r>
        <w:rPr>
          <w:rFonts w:hint="eastAsia" w:ascii="仿宋_GB2312" w:hAnsi="仿宋" w:cs="宋体"/>
          <w:kern w:val="0"/>
          <w:szCs w:val="28"/>
        </w:rPr>
        <w:t>分。</w:t>
      </w:r>
    </w:p>
    <w:p w14:paraId="304BAE30">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6</w:t>
      </w:r>
      <w:r>
        <w:rPr>
          <w:rFonts w:hint="eastAsia" w:ascii="仿宋_GB2312" w:hAnsi="仿宋" w:cs="宋体"/>
          <w:b/>
          <w:kern w:val="0"/>
          <w:szCs w:val="28"/>
        </w:rPr>
        <w:t>分，得分</w:t>
      </w:r>
      <w:r>
        <w:rPr>
          <w:rFonts w:hint="eastAsia" w:ascii="仿宋_GB2312" w:hAnsi="仿宋" w:cs="宋体"/>
          <w:b/>
          <w:kern w:val="0"/>
          <w:szCs w:val="28"/>
          <w:lang w:val="en-US" w:eastAsia="zh-CN"/>
        </w:rPr>
        <w:t>6</w:t>
      </w:r>
      <w:r>
        <w:rPr>
          <w:rFonts w:hint="eastAsia" w:ascii="仿宋_GB2312" w:hAnsi="仿宋" w:cs="宋体"/>
          <w:b/>
          <w:kern w:val="0"/>
          <w:szCs w:val="28"/>
        </w:rPr>
        <w:t>分。</w:t>
      </w:r>
    </w:p>
    <w:p w14:paraId="4DF0FBF5">
      <w:pPr>
        <w:pStyle w:val="4"/>
        <w:ind w:firstLine="643"/>
      </w:pPr>
      <w:bookmarkStart w:id="39" w:name="_Toc165277244"/>
      <w:r>
        <w:rPr>
          <w:rFonts w:hint="eastAsia"/>
        </w:rPr>
        <w:t>3.资金投入</w:t>
      </w:r>
      <w:bookmarkEnd w:id="39"/>
    </w:p>
    <w:p w14:paraId="113C37DE">
      <w:pPr>
        <w:autoSpaceDE w:val="0"/>
        <w:spacing w:line="600" w:lineRule="exact"/>
        <w:ind w:firstLine="562"/>
        <w:rPr>
          <w:rFonts w:ascii="仿宋_GB2312" w:hAnsi="仿宋" w:cs="宋体"/>
          <w:bCs/>
          <w:kern w:val="0"/>
          <w:szCs w:val="28"/>
        </w:rPr>
      </w:pPr>
      <w:r>
        <w:rPr>
          <w:rFonts w:hint="eastAsia" w:ascii="仿宋_GB2312" w:hAnsi="仿宋" w:cs="宋体"/>
          <w:b/>
          <w:kern w:val="0"/>
          <w:szCs w:val="28"/>
        </w:rPr>
        <w:t>预算编制科学性：</w:t>
      </w:r>
      <w:r>
        <w:rPr>
          <w:rFonts w:hint="eastAsia" w:hAnsi="宋体" w:eastAsia="仿宋_GB2312" w:cs="宋体"/>
          <w:kern w:val="0"/>
          <w:sz w:val="30"/>
          <w:szCs w:val="30"/>
        </w:rPr>
        <w:t>本项目预算编制经过科学论证；预算内容与项目内容相匹配；预算额度测算依据充分，是按照标准编制；预算确定的项目投资额或资金量与工作任务相匹配。根据项目合同及进度支付测算资金。</w:t>
      </w:r>
      <w:r>
        <w:rPr>
          <w:rFonts w:hint="eastAsia" w:ascii="仿宋_GB2312" w:hAnsi="仿宋" w:cs="宋体"/>
          <w:kern w:val="0"/>
          <w:szCs w:val="28"/>
        </w:rPr>
        <w:t>故预算编制科学性指标得分</w:t>
      </w:r>
      <w:r>
        <w:rPr>
          <w:rFonts w:ascii="仿宋_GB2312" w:hAnsi="仿宋" w:cs="宋体"/>
          <w:kern w:val="0"/>
          <w:szCs w:val="28"/>
        </w:rPr>
        <w:t>3</w:t>
      </w:r>
      <w:r>
        <w:rPr>
          <w:rFonts w:hint="eastAsia" w:ascii="仿宋_GB2312" w:hAnsi="仿宋" w:cs="宋体"/>
          <w:kern w:val="0"/>
          <w:szCs w:val="28"/>
        </w:rPr>
        <w:t>分。</w:t>
      </w:r>
    </w:p>
    <w:p w14:paraId="30FED289">
      <w:pPr>
        <w:autoSpaceDE w:val="0"/>
        <w:spacing w:line="600" w:lineRule="exact"/>
        <w:ind w:firstLine="0" w:firstLineChars="0"/>
        <w:rPr>
          <w:rFonts w:ascii="仿宋_GB2312" w:hAnsi="仿宋" w:cs="宋体"/>
          <w:bCs/>
          <w:kern w:val="0"/>
          <w:szCs w:val="28"/>
        </w:rPr>
      </w:pPr>
    </w:p>
    <w:p w14:paraId="29210324">
      <w:pPr>
        <w:spacing w:line="360" w:lineRule="auto"/>
        <w:ind w:firstLine="562"/>
      </w:pPr>
      <w:r>
        <w:rPr>
          <w:rFonts w:hint="eastAsia"/>
          <w:b/>
          <w:bCs/>
        </w:rPr>
        <w:t>资金分配合理性</w:t>
      </w:r>
      <w:r>
        <w:rPr>
          <w:rFonts w:hint="eastAsia"/>
        </w:rPr>
        <w:t>：</w:t>
      </w:r>
      <w:r>
        <w:rPr>
          <w:rFonts w:hint="eastAsia" w:ascii="仿宋_GB2312"/>
        </w:rPr>
        <w:t>促进中医药传承创新发展</w:t>
      </w:r>
      <w:r>
        <w:rPr>
          <w:rFonts w:hint="eastAsia" w:ascii="仿宋_GB2312"/>
          <w:lang w:eastAsia="zh-CN"/>
        </w:rPr>
        <w:t>，</w:t>
      </w:r>
      <w:r>
        <w:rPr>
          <w:rFonts w:hint="eastAsia" w:ascii="仿宋_GB2312"/>
        </w:rPr>
        <w:t>进一步贯彻落实国家卫生健康委等3部委《关于进一步加强综合医院中医药工作推动中西医协同发展的意见》，借助全市大力推进综合医院中医药工作、促进综合医院中西医协同发展的机遇，在市卫生健康委的指导和支持下，根据《三级中西医结合医院基本标准》，乌鲁木齐市第一人民医院分院计划在现有诊疗体系的基础上，建立完善的中西医结合诊疗体系，在三年内将医院转型为集医疗、教学、科研、预防、康复为一体的综合性中西医结合医院。</w:t>
      </w:r>
      <w:r>
        <w:rPr>
          <w:rFonts w:hint="eastAsia" w:hAnsi="宋体" w:eastAsia="仿宋_GB2312" w:cs="宋体"/>
          <w:kern w:val="0"/>
          <w:sz w:val="30"/>
          <w:szCs w:val="30"/>
        </w:rPr>
        <w:t>按照分配比例进行分配，预算资金分配依据充分，资金分配额度合理，与项目单位实际相适应。</w:t>
      </w:r>
      <w:r>
        <w:rPr>
          <w:rFonts w:hint="eastAsia" w:ascii="仿宋_GB2312" w:hAnsi="仿宋" w:cs="宋体"/>
          <w:kern w:val="0"/>
          <w:szCs w:val="28"/>
        </w:rPr>
        <w:t>故资金分配合理性指标得分</w:t>
      </w:r>
      <w:r>
        <w:rPr>
          <w:rFonts w:ascii="仿宋_GB2312" w:hAnsi="仿宋" w:cs="宋体"/>
          <w:kern w:val="0"/>
          <w:szCs w:val="28"/>
        </w:rPr>
        <w:t>3</w:t>
      </w:r>
      <w:r>
        <w:rPr>
          <w:rFonts w:hint="eastAsia" w:ascii="仿宋_GB2312" w:hAnsi="仿宋" w:cs="宋体"/>
          <w:kern w:val="0"/>
          <w:szCs w:val="28"/>
        </w:rPr>
        <w:t>分。</w:t>
      </w:r>
    </w:p>
    <w:p w14:paraId="03249051">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6</w:t>
      </w:r>
      <w:r>
        <w:rPr>
          <w:rFonts w:hint="eastAsia" w:ascii="仿宋_GB2312" w:hAnsi="仿宋" w:cs="宋体"/>
          <w:b/>
          <w:kern w:val="0"/>
          <w:szCs w:val="28"/>
        </w:rPr>
        <w:t>分，得分</w:t>
      </w:r>
      <w:r>
        <w:rPr>
          <w:rFonts w:hint="eastAsia" w:ascii="仿宋_GB2312" w:hAnsi="仿宋" w:cs="宋体"/>
          <w:b/>
          <w:kern w:val="0"/>
          <w:szCs w:val="28"/>
          <w:lang w:val="en-US" w:eastAsia="zh-CN"/>
        </w:rPr>
        <w:t>6</w:t>
      </w:r>
      <w:r>
        <w:rPr>
          <w:rFonts w:hint="eastAsia" w:ascii="仿宋_GB2312" w:hAnsi="仿宋" w:cs="宋体"/>
          <w:b/>
          <w:kern w:val="0"/>
          <w:szCs w:val="28"/>
        </w:rPr>
        <w:t>分。</w:t>
      </w:r>
    </w:p>
    <w:p w14:paraId="101B7422">
      <w:pPr>
        <w:pStyle w:val="3"/>
        <w:ind w:firstLine="643"/>
        <w:rPr>
          <w:rFonts w:ascii="仿宋" w:hAnsi="仿宋" w:eastAsia="仿宋"/>
          <w:lang w:bidi="en-US"/>
        </w:rPr>
      </w:pPr>
      <w:bookmarkStart w:id="40" w:name="_Toc165277245"/>
      <w:bookmarkStart w:id="41" w:name="_Toc67911613"/>
      <w:r>
        <w:rPr>
          <w:rFonts w:hint="eastAsia" w:ascii="仿宋" w:hAnsi="仿宋" w:eastAsia="仿宋"/>
          <w:lang w:bidi="en-US"/>
        </w:rPr>
        <w:t>（二）项目过程情况</w:t>
      </w:r>
      <w:bookmarkEnd w:id="40"/>
      <w:bookmarkEnd w:id="41"/>
    </w:p>
    <w:p w14:paraId="0842E5B7">
      <w:pPr>
        <w:spacing w:line="360" w:lineRule="auto"/>
        <w:ind w:firstLine="560"/>
        <w:rPr>
          <w:rFonts w:ascii="仿宋_GB2312"/>
          <w:szCs w:val="28"/>
        </w:rPr>
      </w:pPr>
      <w:r>
        <w:rPr>
          <w:rFonts w:hint="eastAsia" w:ascii="仿宋_GB2312"/>
          <w:szCs w:val="28"/>
        </w:rPr>
        <w:t>项目过程指标由2个二级指标和</w:t>
      </w:r>
      <w:r>
        <w:rPr>
          <w:rFonts w:ascii="仿宋_GB2312"/>
          <w:szCs w:val="28"/>
        </w:rPr>
        <w:t>5</w:t>
      </w:r>
      <w:r>
        <w:rPr>
          <w:rFonts w:hint="eastAsia" w:ascii="仿宋_GB2312"/>
          <w:szCs w:val="28"/>
        </w:rPr>
        <w:t>个三级指标构成，权重为</w:t>
      </w:r>
      <w:r>
        <w:rPr>
          <w:rFonts w:ascii="仿宋_GB2312"/>
          <w:szCs w:val="28"/>
        </w:rPr>
        <w:t>20</w:t>
      </w:r>
      <w:r>
        <w:rPr>
          <w:rFonts w:hint="eastAsia" w:ascii="仿宋_GB2312"/>
          <w:szCs w:val="28"/>
        </w:rPr>
        <w:t>分，实际得分</w:t>
      </w:r>
      <w:r>
        <w:rPr>
          <w:rFonts w:hint="eastAsia" w:ascii="仿宋_GB2312"/>
          <w:szCs w:val="28"/>
          <w:lang w:val="en-US" w:eastAsia="zh-CN"/>
        </w:rPr>
        <w:t>20</w:t>
      </w:r>
      <w:r>
        <w:rPr>
          <w:rFonts w:hint="eastAsia" w:ascii="仿宋_GB2312"/>
          <w:szCs w:val="28"/>
        </w:rPr>
        <w:t>分。</w:t>
      </w:r>
    </w:p>
    <w:p w14:paraId="34785DC6">
      <w:pPr>
        <w:pStyle w:val="4"/>
        <w:ind w:firstLine="643"/>
      </w:pPr>
      <w:bookmarkStart w:id="42" w:name="_Toc165277246"/>
      <w:r>
        <w:t>1.</w:t>
      </w:r>
      <w:r>
        <w:rPr>
          <w:rFonts w:hint="eastAsia"/>
        </w:rPr>
        <w:t>资金管理</w:t>
      </w:r>
      <w:bookmarkEnd w:id="42"/>
    </w:p>
    <w:p w14:paraId="2708DAFF">
      <w:pPr>
        <w:spacing w:line="360" w:lineRule="auto"/>
        <w:ind w:firstLine="562"/>
        <w:rPr>
          <w:rFonts w:ascii="仿宋_GB2312"/>
          <w:szCs w:val="28"/>
        </w:rPr>
      </w:pPr>
      <w:r>
        <w:rPr>
          <w:rFonts w:hint="eastAsia" w:ascii="仿宋_GB2312"/>
          <w:b/>
          <w:bCs/>
          <w:szCs w:val="28"/>
        </w:rPr>
        <w:t>资金到位率：</w:t>
      </w:r>
      <w:r>
        <w:rPr>
          <w:rFonts w:hint="eastAsia" w:ascii="仿宋_GB2312"/>
          <w:lang w:eastAsia="zh-CN"/>
        </w:rPr>
        <w:t>该项目资金由财政拨付，在</w:t>
      </w:r>
      <w:r>
        <w:rPr>
          <w:rFonts w:hint="eastAsia" w:ascii="仿宋_GB2312"/>
          <w:lang w:val="en-US" w:eastAsia="zh-CN"/>
        </w:rPr>
        <w:t>2024年7月9日到位，资金根据支付资料直接支付到各单位或个人</w:t>
      </w:r>
      <w:r>
        <w:rPr>
          <w:rFonts w:hint="eastAsia" w:ascii="仿宋_GB2312" w:hAnsi="仿宋" w:cs="宋体"/>
          <w:kern w:val="0"/>
          <w:szCs w:val="28"/>
        </w:rPr>
        <w:t>。故资金到位率指标得分</w:t>
      </w:r>
      <w:r>
        <w:rPr>
          <w:rFonts w:hint="eastAsia" w:ascii="仿宋_GB2312" w:hAnsi="仿宋" w:cs="宋体"/>
          <w:kern w:val="0"/>
          <w:szCs w:val="28"/>
          <w:lang w:val="en-US" w:eastAsia="zh-CN"/>
        </w:rPr>
        <w:t>5</w:t>
      </w:r>
      <w:r>
        <w:rPr>
          <w:rFonts w:hint="eastAsia" w:ascii="仿宋_GB2312" w:hAnsi="仿宋" w:cs="宋体"/>
          <w:kern w:val="0"/>
          <w:szCs w:val="28"/>
        </w:rPr>
        <w:t>分。</w:t>
      </w:r>
    </w:p>
    <w:p w14:paraId="08B23167">
      <w:pPr>
        <w:spacing w:line="360" w:lineRule="auto"/>
        <w:ind w:firstLine="560"/>
        <w:rPr>
          <w:rFonts w:ascii="仿宋_GB2312"/>
          <w:szCs w:val="28"/>
        </w:rPr>
      </w:pPr>
    </w:p>
    <w:p w14:paraId="57E99D98">
      <w:pPr>
        <w:spacing w:line="360" w:lineRule="auto"/>
        <w:ind w:firstLine="562"/>
        <w:rPr>
          <w:rFonts w:ascii="仿宋_GB2312"/>
          <w:szCs w:val="28"/>
        </w:rPr>
      </w:pPr>
      <w:r>
        <w:rPr>
          <w:rFonts w:hint="eastAsia" w:ascii="仿宋_GB2312"/>
          <w:b/>
          <w:bCs/>
          <w:szCs w:val="28"/>
        </w:rPr>
        <w:t>预算执行率</w:t>
      </w:r>
      <w:r>
        <w:rPr>
          <w:rFonts w:hint="eastAsia" w:ascii="仿宋_GB2312"/>
          <w:lang w:val="en-US" w:eastAsia="zh-CN"/>
        </w:rPr>
        <w:t>：2024年该项目使用251.37万元，其中购置了医疗专用设备63台，共234.99万元，分别财政直接支付给上海灏立电子有限公司、上海启康电子有限公司等供应商；培训外出次数18次，差旅费2.06万元、培训费5.08万元，财政直接支付给孟广雨、刘英等；专用材料费9万元，财政直接支付给江苏华东医疗器械实业有限公司；劳务费0.24万元，财政直接支付给郝振华、赵艳萍；剩余金额转至2025年继续使用。</w:t>
      </w:r>
      <w:r>
        <w:rPr>
          <w:rFonts w:hint="eastAsia" w:ascii="仿宋_GB2312"/>
          <w:szCs w:val="28"/>
        </w:rPr>
        <w:t>故预算执行率得分为</w:t>
      </w:r>
      <w:r>
        <w:rPr>
          <w:rFonts w:hint="eastAsia" w:ascii="仿宋_GB2312"/>
          <w:szCs w:val="28"/>
          <w:lang w:val="en-US" w:eastAsia="zh-CN"/>
        </w:rPr>
        <w:t>5</w:t>
      </w:r>
      <w:r>
        <w:rPr>
          <w:rFonts w:hint="eastAsia" w:ascii="仿宋_GB2312"/>
          <w:szCs w:val="28"/>
        </w:rPr>
        <w:t>分。</w:t>
      </w:r>
    </w:p>
    <w:p w14:paraId="193BF88C">
      <w:pPr>
        <w:spacing w:line="360" w:lineRule="auto"/>
        <w:ind w:firstLine="562"/>
        <w:rPr>
          <w:rFonts w:ascii="仿宋_GB2312"/>
          <w:b/>
          <w:bCs/>
          <w:szCs w:val="28"/>
        </w:rPr>
      </w:pPr>
    </w:p>
    <w:p w14:paraId="5CE0E954">
      <w:pPr>
        <w:spacing w:line="360" w:lineRule="auto"/>
        <w:ind w:firstLine="562"/>
        <w:rPr>
          <w:rFonts w:ascii="仿宋_GB2312"/>
          <w:szCs w:val="28"/>
        </w:rPr>
      </w:pPr>
      <w:r>
        <w:rPr>
          <w:rFonts w:hint="eastAsia" w:ascii="仿宋_GB2312"/>
          <w:b/>
          <w:bCs/>
          <w:szCs w:val="28"/>
        </w:rPr>
        <w:t>资金使用合规性：</w:t>
      </w:r>
      <w:r>
        <w:rPr>
          <w:rFonts w:hint="eastAsia" w:ascii="仿宋_GB2312"/>
          <w:highlight w:val="none"/>
          <w:lang w:val="en-US" w:eastAsia="zh-CN"/>
        </w:rPr>
        <w:t>本项目资金的使用符合财务管理制度以及有关专项资金管理办法的规定。同时，资金的拨付有完整的审批程序和手续，符合项目预算批复或合同规定的用途，不存在截留、挤占、挪用、虚列支出等情况。</w:t>
      </w:r>
      <w:r>
        <w:rPr>
          <w:rFonts w:hint="eastAsia" w:ascii="仿宋_GB2312"/>
          <w:szCs w:val="28"/>
        </w:rPr>
        <w:t>故资金使用合规性得分为3分。</w:t>
      </w:r>
    </w:p>
    <w:p w14:paraId="3F1BAE67">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13</w:t>
      </w:r>
      <w:r>
        <w:rPr>
          <w:rFonts w:hint="eastAsia" w:ascii="仿宋_GB2312" w:hAnsi="仿宋" w:cs="宋体"/>
          <w:b/>
          <w:kern w:val="0"/>
          <w:szCs w:val="28"/>
        </w:rPr>
        <w:t>分，得分</w:t>
      </w:r>
      <w:r>
        <w:rPr>
          <w:rFonts w:hint="eastAsia" w:ascii="仿宋_GB2312" w:hAnsi="仿宋" w:cs="宋体"/>
          <w:b/>
          <w:kern w:val="0"/>
          <w:szCs w:val="28"/>
          <w:lang w:val="en-US" w:eastAsia="zh-CN"/>
        </w:rPr>
        <w:t>13</w:t>
      </w:r>
      <w:r>
        <w:rPr>
          <w:rFonts w:hint="eastAsia" w:ascii="仿宋_GB2312" w:hAnsi="仿宋" w:cs="宋体"/>
          <w:b/>
          <w:kern w:val="0"/>
          <w:szCs w:val="28"/>
        </w:rPr>
        <w:t>分。</w:t>
      </w:r>
    </w:p>
    <w:p w14:paraId="7798A677">
      <w:pPr>
        <w:pStyle w:val="4"/>
        <w:ind w:firstLine="643"/>
      </w:pPr>
      <w:bookmarkStart w:id="43" w:name="_Toc165277247"/>
      <w:r>
        <w:t>2.</w:t>
      </w:r>
      <w:r>
        <w:rPr>
          <w:rFonts w:hint="eastAsia"/>
        </w:rPr>
        <w:t>组织实施</w:t>
      </w:r>
      <w:bookmarkEnd w:id="43"/>
    </w:p>
    <w:p w14:paraId="684B1E62">
      <w:pPr>
        <w:spacing w:line="360" w:lineRule="auto"/>
        <w:ind w:firstLine="562"/>
        <w:rPr>
          <w:rFonts w:hint="eastAsia" w:ascii="仿宋_GB2312"/>
          <w:highlight w:val="none"/>
          <w:lang w:val="en-US" w:eastAsia="zh-CN"/>
        </w:rPr>
      </w:pPr>
      <w:r>
        <w:rPr>
          <w:rFonts w:hint="eastAsia" w:ascii="仿宋_GB2312"/>
          <w:b/>
          <w:bCs/>
          <w:szCs w:val="28"/>
        </w:rPr>
        <w:t>管理制度健全性</w:t>
      </w:r>
      <w:r>
        <w:rPr>
          <w:rFonts w:hint="eastAsia" w:ascii="仿宋_GB2312"/>
          <w:b/>
          <w:bCs/>
          <w:szCs w:val="28"/>
          <w:lang w:eastAsia="zh-CN"/>
        </w:rPr>
        <w:t>：</w:t>
      </w:r>
      <w:r>
        <w:rPr>
          <w:rFonts w:hint="eastAsia" w:ascii="仿宋_GB2312"/>
          <w:highlight w:val="none"/>
          <w:lang w:val="en-US" w:eastAsia="zh-CN"/>
        </w:rPr>
        <w:t>乌鲁木齐市第一人民医院（乌鲁木齐儿童医院）已制定相应的财务和业务管理制度，且制度合法、合规、完整，为项目顺利实施提供重要保障。故管理制度健全性得分为3分。</w:t>
      </w:r>
    </w:p>
    <w:p w14:paraId="78C93D26">
      <w:pPr>
        <w:spacing w:line="360" w:lineRule="auto"/>
        <w:ind w:firstLine="562"/>
        <w:rPr>
          <w:rFonts w:hint="eastAsia" w:ascii="仿宋_GB2312"/>
          <w:highlight w:val="none"/>
          <w:lang w:val="en-US" w:eastAsia="zh-CN"/>
        </w:rPr>
      </w:pPr>
      <w:r>
        <w:rPr>
          <w:rFonts w:hint="eastAsia" w:ascii="仿宋_GB2312"/>
          <w:b/>
          <w:bCs/>
          <w:szCs w:val="28"/>
        </w:rPr>
        <w:t>制度执行有效性：</w:t>
      </w:r>
      <w:r>
        <w:rPr>
          <w:rFonts w:hint="eastAsia" w:ascii="仿宋_GB2312"/>
          <w:highlight w:val="none"/>
          <w:lang w:val="en-US" w:eastAsia="zh-CN"/>
        </w:rPr>
        <w:t>根据现场调研和资料抽查情况，乌鲁木齐市第一人民医院（乌鲁木齐儿童医院）严格遵守相关法律法规和相关管理规定，项目调整及支出调整手续完备，整体管理合理有序，项目完成后，及时将会计凭证、合同、支付回单等相关资料分类归档，制度执行有效。故制度执行有效性指标得分4分。</w:t>
      </w:r>
    </w:p>
    <w:p w14:paraId="25F60068">
      <w:pPr>
        <w:autoSpaceDE w:val="0"/>
        <w:spacing w:line="600" w:lineRule="exact"/>
        <w:ind w:firstLine="562"/>
        <w:rPr>
          <w:rFonts w:ascii="仿宋_GB2312" w:hAnsi="仿宋" w:cs="宋体"/>
          <w:b/>
          <w:kern w:val="0"/>
          <w:szCs w:val="28"/>
        </w:rPr>
      </w:pPr>
      <w:bookmarkStart w:id="44" w:name="_Hlk67670213"/>
      <w:r>
        <w:rPr>
          <w:rFonts w:hint="eastAsia" w:ascii="仿宋_GB2312" w:hAnsi="仿宋" w:cs="宋体"/>
          <w:b/>
          <w:kern w:val="0"/>
          <w:szCs w:val="28"/>
        </w:rPr>
        <w:t>综上，该指标满分</w:t>
      </w:r>
      <w:r>
        <w:rPr>
          <w:rFonts w:ascii="仿宋_GB2312" w:hAnsi="仿宋" w:cs="宋体"/>
          <w:b/>
          <w:kern w:val="0"/>
          <w:szCs w:val="28"/>
        </w:rPr>
        <w:t>7</w:t>
      </w:r>
      <w:r>
        <w:rPr>
          <w:rFonts w:hint="eastAsia" w:ascii="仿宋_GB2312" w:hAnsi="仿宋" w:cs="宋体"/>
          <w:b/>
          <w:kern w:val="0"/>
          <w:szCs w:val="28"/>
        </w:rPr>
        <w:t>分，得分</w:t>
      </w:r>
      <w:r>
        <w:rPr>
          <w:rFonts w:ascii="仿宋_GB2312" w:hAnsi="仿宋" w:cs="宋体"/>
          <w:b/>
          <w:kern w:val="0"/>
          <w:szCs w:val="28"/>
        </w:rPr>
        <w:t>7</w:t>
      </w:r>
      <w:r>
        <w:rPr>
          <w:rFonts w:hint="eastAsia" w:ascii="仿宋_GB2312" w:hAnsi="仿宋" w:cs="宋体"/>
          <w:b/>
          <w:kern w:val="0"/>
          <w:szCs w:val="28"/>
        </w:rPr>
        <w:t>分。</w:t>
      </w:r>
    </w:p>
    <w:bookmarkEnd w:id="44"/>
    <w:p w14:paraId="0D904FDD">
      <w:pPr>
        <w:pStyle w:val="3"/>
        <w:ind w:firstLine="643"/>
        <w:rPr>
          <w:rFonts w:ascii="仿宋" w:hAnsi="仿宋" w:eastAsia="仿宋"/>
          <w:lang w:bidi="en-US"/>
        </w:rPr>
      </w:pPr>
      <w:bookmarkStart w:id="45" w:name="_Toc67911614"/>
      <w:bookmarkStart w:id="46" w:name="_Toc165277248"/>
      <w:r>
        <w:rPr>
          <w:rFonts w:hint="eastAsia" w:ascii="仿宋" w:hAnsi="仿宋" w:eastAsia="仿宋"/>
          <w:lang w:bidi="en-US"/>
        </w:rPr>
        <w:t>（三）项目产出情况</w:t>
      </w:r>
      <w:bookmarkEnd w:id="45"/>
      <w:bookmarkEnd w:id="46"/>
    </w:p>
    <w:p w14:paraId="6A0B77C9">
      <w:pPr>
        <w:spacing w:line="360" w:lineRule="auto"/>
        <w:ind w:firstLine="560"/>
        <w:rPr>
          <w:rFonts w:ascii="仿宋_GB2312"/>
          <w:szCs w:val="28"/>
        </w:rPr>
      </w:pPr>
      <w:r>
        <w:rPr>
          <w:rFonts w:hint="eastAsia" w:ascii="仿宋_GB2312"/>
          <w:szCs w:val="28"/>
        </w:rPr>
        <w:t>项目产出指标由</w:t>
      </w:r>
      <w:r>
        <w:rPr>
          <w:rFonts w:ascii="仿宋_GB2312"/>
          <w:szCs w:val="28"/>
        </w:rPr>
        <w:t>4</w:t>
      </w:r>
      <w:r>
        <w:rPr>
          <w:rFonts w:hint="eastAsia" w:ascii="仿宋_GB2312"/>
          <w:szCs w:val="28"/>
        </w:rPr>
        <w:t>个二级指标和</w:t>
      </w:r>
      <w:r>
        <w:rPr>
          <w:rFonts w:ascii="仿宋_GB2312"/>
          <w:szCs w:val="28"/>
        </w:rPr>
        <w:t>4</w:t>
      </w:r>
      <w:r>
        <w:rPr>
          <w:rFonts w:hint="eastAsia" w:ascii="仿宋_GB2312"/>
          <w:szCs w:val="28"/>
        </w:rPr>
        <w:t>个三级指标构成，权重为</w:t>
      </w:r>
      <w:r>
        <w:rPr>
          <w:rFonts w:ascii="仿宋_GB2312"/>
          <w:szCs w:val="28"/>
        </w:rPr>
        <w:t>40</w:t>
      </w:r>
      <w:r>
        <w:rPr>
          <w:rFonts w:hint="eastAsia" w:ascii="仿宋_GB2312"/>
          <w:szCs w:val="28"/>
        </w:rPr>
        <w:t>分，实际得分</w:t>
      </w:r>
      <w:r>
        <w:rPr>
          <w:rFonts w:hint="eastAsia" w:ascii="仿宋_GB2312"/>
          <w:szCs w:val="28"/>
          <w:lang w:val="en-US" w:eastAsia="zh-CN"/>
        </w:rPr>
        <w:t>37</w:t>
      </w:r>
      <w:r>
        <w:rPr>
          <w:rFonts w:hint="eastAsia" w:ascii="仿宋_GB2312"/>
          <w:szCs w:val="28"/>
        </w:rPr>
        <w:t>分。</w:t>
      </w:r>
    </w:p>
    <w:p w14:paraId="3E26B831">
      <w:pPr>
        <w:pStyle w:val="4"/>
        <w:ind w:firstLine="643"/>
      </w:pPr>
      <w:bookmarkStart w:id="47" w:name="_Toc165277249"/>
      <w:r>
        <w:rPr>
          <w:rFonts w:hint="eastAsia"/>
        </w:rPr>
        <w:t>1</w:t>
      </w:r>
      <w:r>
        <w:t>.</w:t>
      </w:r>
      <w:r>
        <w:rPr>
          <w:rFonts w:hint="eastAsia"/>
        </w:rPr>
        <w:t>产出数量</w:t>
      </w:r>
      <w:bookmarkEnd w:id="47"/>
    </w:p>
    <w:p w14:paraId="49B31859">
      <w:pPr>
        <w:spacing w:line="360" w:lineRule="auto"/>
        <w:ind w:firstLine="560"/>
        <w:rPr>
          <w:rFonts w:ascii="仿宋_GB2312"/>
          <w:szCs w:val="28"/>
        </w:rPr>
      </w:pPr>
      <w:r>
        <w:rPr>
          <w:rFonts w:hint="eastAsia" w:ascii="仿宋_GB2312"/>
          <w:bCs/>
          <w:szCs w:val="28"/>
        </w:rPr>
        <w:t>数量指标 “专用设备购置数量”的目标值是</w:t>
      </w:r>
      <w:r>
        <w:rPr>
          <w:rFonts w:hint="eastAsia" w:ascii="仿宋_GB2312"/>
          <w:bCs/>
          <w:szCs w:val="28"/>
          <w:lang w:val="en-US" w:eastAsia="zh-CN"/>
        </w:rPr>
        <w:t>76</w:t>
      </w:r>
      <w:r>
        <w:rPr>
          <w:rFonts w:hint="eastAsia" w:ascii="仿宋_GB2312"/>
          <w:bCs/>
          <w:szCs w:val="28"/>
        </w:rPr>
        <w:t>个，2024</w:t>
      </w:r>
      <w:r>
        <w:rPr>
          <w:rFonts w:ascii="仿宋_GB2312"/>
          <w:bCs/>
          <w:szCs w:val="28"/>
        </w:rPr>
        <w:t>年度我单位实际完成</w:t>
      </w:r>
      <w:r>
        <w:rPr>
          <w:rFonts w:hint="eastAsia" w:ascii="仿宋_GB2312"/>
          <w:bCs/>
          <w:szCs w:val="28"/>
          <w:lang w:val="en-US" w:eastAsia="zh-CN"/>
        </w:rPr>
        <w:t>63</w:t>
      </w:r>
      <w:r>
        <w:rPr>
          <w:rFonts w:hint="eastAsia" w:ascii="仿宋_GB2312"/>
          <w:bCs/>
          <w:szCs w:val="28"/>
        </w:rPr>
        <w:t>个，原因是</w:t>
      </w:r>
      <w:r>
        <w:rPr>
          <w:rFonts w:hint="eastAsia" w:ascii="仿宋_GB2312"/>
          <w:bCs/>
          <w:szCs w:val="28"/>
          <w:lang w:val="en-US" w:eastAsia="zh-CN"/>
        </w:rPr>
        <w:t>有个别项因金额过低被流标，导致未采购成功</w:t>
      </w:r>
      <w:r>
        <w:rPr>
          <w:rFonts w:hint="eastAsia" w:ascii="仿宋_GB2312"/>
          <w:bCs/>
          <w:szCs w:val="28"/>
        </w:rPr>
        <w:t>，</w:t>
      </w:r>
      <w:r>
        <w:rPr>
          <w:rFonts w:hint="eastAsia" w:ascii="仿宋_GB2312"/>
          <w:b/>
          <w:bCs/>
          <w:szCs w:val="28"/>
        </w:rPr>
        <w:t>实际完成率：</w:t>
      </w:r>
      <w:r>
        <w:rPr>
          <w:rFonts w:hint="eastAsia" w:ascii="仿宋_GB2312"/>
          <w:szCs w:val="28"/>
          <w:lang w:val="en-US" w:eastAsia="zh-CN"/>
        </w:rPr>
        <w:t>83%</w:t>
      </w:r>
      <w:r>
        <w:rPr>
          <w:rFonts w:hint="eastAsia" w:ascii="仿宋_GB2312"/>
          <w:szCs w:val="28"/>
        </w:rPr>
        <w:t>，故实际完成率得分为</w:t>
      </w:r>
      <w:r>
        <w:rPr>
          <w:rFonts w:hint="eastAsia" w:ascii="仿宋_GB2312"/>
          <w:szCs w:val="28"/>
          <w:lang w:val="en-US" w:eastAsia="zh-CN"/>
        </w:rPr>
        <w:t>4</w:t>
      </w:r>
      <w:r>
        <w:rPr>
          <w:rFonts w:hint="eastAsia" w:ascii="仿宋_GB2312"/>
          <w:szCs w:val="28"/>
        </w:rPr>
        <w:t>分。故实际完成率得分为</w:t>
      </w:r>
      <w:r>
        <w:rPr>
          <w:rFonts w:hint="eastAsia" w:ascii="仿宋_GB2312"/>
          <w:szCs w:val="28"/>
          <w:lang w:val="en-US" w:eastAsia="zh-CN"/>
        </w:rPr>
        <w:t>4</w:t>
      </w:r>
      <w:r>
        <w:rPr>
          <w:rFonts w:hint="eastAsia" w:ascii="仿宋_GB2312"/>
          <w:szCs w:val="28"/>
        </w:rPr>
        <w:t>分。</w:t>
      </w:r>
    </w:p>
    <w:p w14:paraId="76B9E6F8">
      <w:pPr>
        <w:spacing w:line="360" w:lineRule="auto"/>
        <w:ind w:firstLine="560"/>
        <w:rPr>
          <w:rFonts w:ascii="仿宋_GB2312"/>
          <w:bCs/>
          <w:szCs w:val="28"/>
        </w:rPr>
      </w:pPr>
      <w:r>
        <w:rPr>
          <w:rFonts w:hint="eastAsia" w:ascii="仿宋_GB2312"/>
          <w:bCs/>
          <w:szCs w:val="28"/>
        </w:rPr>
        <w:t>数量指标“培训外出次数”的目标值是</w:t>
      </w:r>
      <w:r>
        <w:rPr>
          <w:rFonts w:hint="eastAsia" w:ascii="仿宋_GB2312"/>
          <w:bCs/>
          <w:szCs w:val="28"/>
          <w:lang w:val="en-US" w:eastAsia="zh-CN"/>
        </w:rPr>
        <w:t>18次</w:t>
      </w:r>
      <w:r>
        <w:rPr>
          <w:rFonts w:hint="eastAsia" w:ascii="仿宋_GB2312"/>
          <w:bCs/>
          <w:szCs w:val="28"/>
        </w:rPr>
        <w:t>，</w:t>
      </w:r>
      <w:r>
        <w:rPr>
          <w:rFonts w:ascii="仿宋_GB2312"/>
          <w:bCs/>
          <w:szCs w:val="28"/>
        </w:rPr>
        <w:t>2024年度我单位我单位实际完成</w:t>
      </w:r>
      <w:r>
        <w:rPr>
          <w:rFonts w:hint="eastAsia" w:ascii="仿宋_GB2312"/>
          <w:bCs/>
          <w:szCs w:val="28"/>
          <w:lang w:val="en-US" w:eastAsia="zh-CN"/>
        </w:rPr>
        <w:t>6次</w:t>
      </w:r>
      <w:r>
        <w:rPr>
          <w:rFonts w:hint="eastAsia" w:ascii="仿宋_GB2312"/>
          <w:bCs/>
          <w:szCs w:val="28"/>
          <w:lang w:eastAsia="zh-CN"/>
        </w:rPr>
        <w:t>，</w:t>
      </w:r>
      <w:r>
        <w:rPr>
          <w:rFonts w:hint="eastAsia" w:ascii="仿宋_GB2312"/>
          <w:b/>
          <w:bCs/>
          <w:szCs w:val="28"/>
        </w:rPr>
        <w:t>实际完成率：</w:t>
      </w:r>
      <w:r>
        <w:rPr>
          <w:rFonts w:hint="eastAsia" w:ascii="仿宋_GB2312"/>
          <w:szCs w:val="28"/>
          <w:lang w:val="en-US" w:eastAsia="zh-CN"/>
        </w:rPr>
        <w:t>33.33%</w:t>
      </w:r>
      <w:r>
        <w:rPr>
          <w:rFonts w:hint="eastAsia" w:ascii="仿宋_GB2312"/>
          <w:szCs w:val="28"/>
        </w:rPr>
        <w:t>，故实际完成率得分为</w:t>
      </w:r>
      <w:r>
        <w:rPr>
          <w:rFonts w:hint="eastAsia" w:ascii="仿宋_GB2312"/>
          <w:szCs w:val="28"/>
          <w:lang w:val="en-US" w:eastAsia="zh-CN"/>
        </w:rPr>
        <w:t>3</w:t>
      </w:r>
      <w:r>
        <w:rPr>
          <w:rFonts w:hint="eastAsia" w:ascii="仿宋_GB2312"/>
          <w:szCs w:val="28"/>
        </w:rPr>
        <w:t>分。故实际完成率得分为</w:t>
      </w:r>
      <w:r>
        <w:rPr>
          <w:rFonts w:hint="eastAsia" w:ascii="仿宋_GB2312"/>
          <w:szCs w:val="28"/>
          <w:lang w:val="en-US" w:eastAsia="zh-CN"/>
        </w:rPr>
        <w:t>3</w:t>
      </w:r>
      <w:r>
        <w:rPr>
          <w:rFonts w:hint="eastAsia" w:ascii="仿宋_GB2312"/>
          <w:szCs w:val="28"/>
        </w:rPr>
        <w:t>分。</w:t>
      </w:r>
    </w:p>
    <w:p w14:paraId="3AAB0FF0">
      <w:pPr>
        <w:spacing w:line="360" w:lineRule="auto"/>
        <w:ind w:firstLine="560"/>
        <w:rPr>
          <w:rFonts w:ascii="仿宋_GB2312"/>
          <w:bCs/>
          <w:szCs w:val="28"/>
        </w:rPr>
      </w:pPr>
      <w:r>
        <w:rPr>
          <w:rFonts w:ascii="仿宋_GB2312"/>
          <w:szCs w:val="28"/>
        </w:rPr>
        <w:t>综上，数量指标得分为</w:t>
      </w:r>
      <w:r>
        <w:rPr>
          <w:rFonts w:hint="eastAsia" w:ascii="仿宋_GB2312"/>
          <w:szCs w:val="28"/>
          <w:lang w:val="en-US" w:eastAsia="zh-CN"/>
        </w:rPr>
        <w:t>7</w:t>
      </w:r>
      <w:r>
        <w:rPr>
          <w:rFonts w:ascii="仿宋_GB2312"/>
          <w:szCs w:val="28"/>
        </w:rPr>
        <w:t>分。</w:t>
      </w:r>
    </w:p>
    <w:p w14:paraId="387189CF">
      <w:pPr>
        <w:pStyle w:val="4"/>
        <w:ind w:firstLine="643"/>
      </w:pPr>
      <w:bookmarkStart w:id="48" w:name="_Toc165277250"/>
      <w:r>
        <w:rPr>
          <w:rFonts w:hint="eastAsia"/>
        </w:rPr>
        <w:t>2</w:t>
      </w:r>
      <w:r>
        <w:t>.</w:t>
      </w:r>
      <w:r>
        <w:rPr>
          <w:rFonts w:hint="eastAsia"/>
        </w:rPr>
        <w:t>产出质量</w:t>
      </w:r>
      <w:bookmarkEnd w:id="48"/>
    </w:p>
    <w:p w14:paraId="53EBA78E">
      <w:pPr>
        <w:spacing w:line="360" w:lineRule="auto"/>
        <w:ind w:firstLine="562"/>
        <w:rPr>
          <w:rFonts w:ascii="仿宋_GB2312"/>
          <w:szCs w:val="28"/>
        </w:rPr>
      </w:pPr>
      <w:r>
        <w:rPr>
          <w:rFonts w:hint="eastAsia" w:ascii="仿宋_GB2312"/>
          <w:b/>
          <w:bCs/>
          <w:szCs w:val="28"/>
        </w:rPr>
        <w:t>采购设备验收合格率：</w:t>
      </w:r>
      <w:r>
        <w:rPr>
          <w:rFonts w:hint="eastAsia" w:ascii="仿宋_GB2312"/>
          <w:szCs w:val="28"/>
        </w:rPr>
        <w:t>质量达标率得分为</w:t>
      </w:r>
      <w:r>
        <w:rPr>
          <w:rFonts w:hint="eastAsia" w:ascii="仿宋_GB2312"/>
          <w:szCs w:val="28"/>
          <w:lang w:val="en-US" w:eastAsia="zh-CN"/>
        </w:rPr>
        <w:t>20</w:t>
      </w:r>
      <w:r>
        <w:rPr>
          <w:rFonts w:hint="eastAsia" w:ascii="仿宋_GB2312"/>
          <w:szCs w:val="28"/>
        </w:rPr>
        <w:t>分。</w:t>
      </w:r>
    </w:p>
    <w:p w14:paraId="76A8886E">
      <w:pPr>
        <w:pStyle w:val="3"/>
        <w:ind w:firstLine="643"/>
        <w:rPr>
          <w:rFonts w:hint="eastAsia" w:ascii="仿宋" w:hAnsi="仿宋" w:eastAsia="仿宋"/>
          <w:lang w:bidi="en-US"/>
        </w:rPr>
      </w:pPr>
      <w:bookmarkStart w:id="49" w:name="_Toc67911615"/>
      <w:bookmarkStart w:id="50" w:name="_Toc165277253"/>
      <w:r>
        <w:rPr>
          <w:rFonts w:hint="eastAsia" w:ascii="仿宋" w:hAnsi="仿宋" w:eastAsia="仿宋"/>
          <w:lang w:bidi="en-US"/>
        </w:rPr>
        <w:t>（四）产出成本情况</w:t>
      </w:r>
      <w:bookmarkEnd w:id="49"/>
      <w:bookmarkEnd w:id="50"/>
    </w:p>
    <w:p w14:paraId="2C3746EF">
      <w:pPr>
        <w:spacing w:line="360" w:lineRule="auto"/>
        <w:ind w:firstLine="560"/>
        <w:rPr>
          <w:rFonts w:ascii="仿宋_GB2312"/>
          <w:szCs w:val="28"/>
        </w:rPr>
      </w:pPr>
      <w:r>
        <w:rPr>
          <w:rFonts w:hint="eastAsia" w:ascii="仿宋_GB2312"/>
          <w:szCs w:val="28"/>
        </w:rPr>
        <w:t>项目产出成本由</w:t>
      </w:r>
      <w:r>
        <w:rPr>
          <w:rFonts w:hint="eastAsia" w:ascii="仿宋_GB2312"/>
          <w:szCs w:val="28"/>
          <w:lang w:val="en-US" w:eastAsia="zh-CN"/>
        </w:rPr>
        <w:t>5</w:t>
      </w:r>
      <w:r>
        <w:rPr>
          <w:rFonts w:hint="eastAsia" w:ascii="仿宋_GB2312"/>
          <w:szCs w:val="28"/>
        </w:rPr>
        <w:t>个三级指标构成，权重为</w:t>
      </w:r>
      <w:r>
        <w:rPr>
          <w:rFonts w:hint="eastAsia" w:ascii="仿宋_GB2312"/>
          <w:szCs w:val="28"/>
          <w:lang w:val="en-US" w:eastAsia="zh-CN"/>
        </w:rPr>
        <w:t>10</w:t>
      </w:r>
      <w:r>
        <w:rPr>
          <w:rFonts w:hint="eastAsia" w:ascii="仿宋_GB2312"/>
          <w:szCs w:val="28"/>
        </w:rPr>
        <w:t>分，实际得分</w:t>
      </w:r>
      <w:r>
        <w:rPr>
          <w:rFonts w:hint="eastAsia" w:ascii="仿宋_GB2312"/>
          <w:szCs w:val="28"/>
          <w:lang w:val="en-US" w:eastAsia="zh-CN"/>
        </w:rPr>
        <w:t>10</w:t>
      </w:r>
      <w:r>
        <w:rPr>
          <w:rFonts w:hint="eastAsia" w:ascii="仿宋_GB2312"/>
          <w:szCs w:val="28"/>
        </w:rPr>
        <w:t>分。</w:t>
      </w:r>
    </w:p>
    <w:p w14:paraId="704643DB">
      <w:pPr>
        <w:pStyle w:val="4"/>
        <w:ind w:firstLine="643"/>
      </w:pPr>
      <w:bookmarkStart w:id="51" w:name="_Toc165277252"/>
      <w:r>
        <w:rPr>
          <w:rFonts w:hint="eastAsia"/>
        </w:rPr>
        <w:t>1．经济成本</w:t>
      </w:r>
      <w:bookmarkEnd w:id="51"/>
    </w:p>
    <w:p w14:paraId="52A61D85">
      <w:pPr>
        <w:spacing w:line="360" w:lineRule="auto"/>
        <w:ind w:firstLine="562"/>
        <w:rPr>
          <w:rFonts w:ascii="仿宋_GB2312"/>
          <w:bCs/>
          <w:szCs w:val="28"/>
        </w:rPr>
      </w:pPr>
      <w:r>
        <w:rPr>
          <w:rFonts w:hint="eastAsia" w:ascii="仿宋_GB2312"/>
          <w:b/>
          <w:bCs/>
          <w:szCs w:val="28"/>
        </w:rPr>
        <w:t>差旅费：</w:t>
      </w:r>
      <w:r>
        <w:rPr>
          <w:rFonts w:hint="eastAsia" w:ascii="仿宋_GB2312"/>
          <w:bCs/>
          <w:szCs w:val="28"/>
        </w:rPr>
        <w:t>本项目实际支出</w:t>
      </w:r>
      <w:r>
        <w:rPr>
          <w:rFonts w:hint="eastAsia" w:ascii="仿宋_GB2312"/>
          <w:bCs/>
          <w:szCs w:val="28"/>
          <w:lang w:val="en-US" w:eastAsia="zh-CN"/>
        </w:rPr>
        <w:t>2.06</w:t>
      </w:r>
      <w:r>
        <w:rPr>
          <w:rFonts w:hint="eastAsia" w:ascii="仿宋_GB2312"/>
          <w:bCs/>
          <w:szCs w:val="28"/>
        </w:rPr>
        <w:t>万元，无超支情况，项目资金全部完成，得分为</w:t>
      </w:r>
      <w:r>
        <w:rPr>
          <w:rFonts w:hint="eastAsia" w:ascii="仿宋_GB2312"/>
          <w:bCs/>
          <w:szCs w:val="28"/>
          <w:lang w:val="en-US" w:eastAsia="zh-CN"/>
        </w:rPr>
        <w:t>2分</w:t>
      </w:r>
      <w:r>
        <w:rPr>
          <w:rFonts w:ascii="仿宋_GB2312"/>
          <w:bCs/>
          <w:szCs w:val="28"/>
        </w:rPr>
        <w:t>。</w:t>
      </w:r>
    </w:p>
    <w:p w14:paraId="6B8297A7">
      <w:pPr>
        <w:spacing w:line="360" w:lineRule="auto"/>
        <w:ind w:firstLine="562"/>
        <w:rPr>
          <w:rFonts w:ascii="仿宋_GB2312"/>
          <w:bCs/>
          <w:szCs w:val="28"/>
        </w:rPr>
      </w:pPr>
      <w:r>
        <w:rPr>
          <w:rFonts w:hint="eastAsia" w:ascii="仿宋_GB2312"/>
          <w:b/>
          <w:bCs/>
          <w:szCs w:val="28"/>
        </w:rPr>
        <w:t>专用设备购置成本：</w:t>
      </w:r>
      <w:r>
        <w:rPr>
          <w:rFonts w:hint="eastAsia" w:ascii="仿宋_GB2312"/>
          <w:bCs/>
          <w:szCs w:val="28"/>
        </w:rPr>
        <w:t>本项目实际支出</w:t>
      </w:r>
      <w:r>
        <w:rPr>
          <w:rFonts w:hint="eastAsia" w:ascii="仿宋_GB2312"/>
          <w:bCs/>
          <w:szCs w:val="28"/>
          <w:lang w:val="en-US" w:eastAsia="zh-CN"/>
        </w:rPr>
        <w:t>234.99</w:t>
      </w:r>
      <w:r>
        <w:rPr>
          <w:rFonts w:hint="eastAsia" w:ascii="仿宋_GB2312"/>
          <w:bCs/>
          <w:szCs w:val="28"/>
        </w:rPr>
        <w:t>万元，无超支情况，项目资金全部完成，得分为</w:t>
      </w:r>
      <w:r>
        <w:rPr>
          <w:rFonts w:hint="eastAsia" w:ascii="仿宋_GB2312"/>
          <w:bCs/>
          <w:szCs w:val="28"/>
          <w:lang w:val="en-US" w:eastAsia="zh-CN"/>
        </w:rPr>
        <w:t>2分</w:t>
      </w:r>
      <w:r>
        <w:rPr>
          <w:rFonts w:ascii="仿宋_GB2312"/>
          <w:bCs/>
          <w:szCs w:val="28"/>
        </w:rPr>
        <w:t>。</w:t>
      </w:r>
    </w:p>
    <w:p w14:paraId="44BD6636">
      <w:pPr>
        <w:spacing w:line="360" w:lineRule="auto"/>
        <w:ind w:firstLine="562"/>
        <w:rPr>
          <w:rFonts w:ascii="仿宋_GB2312"/>
          <w:bCs/>
          <w:szCs w:val="28"/>
        </w:rPr>
      </w:pPr>
      <w:r>
        <w:rPr>
          <w:rFonts w:hint="eastAsia" w:ascii="仿宋_GB2312"/>
          <w:b/>
          <w:bCs/>
          <w:szCs w:val="28"/>
        </w:rPr>
        <w:t>培训费：</w:t>
      </w:r>
      <w:r>
        <w:rPr>
          <w:rFonts w:hint="eastAsia" w:ascii="仿宋_GB2312"/>
          <w:bCs/>
          <w:szCs w:val="28"/>
        </w:rPr>
        <w:t>本项目实际支出</w:t>
      </w:r>
      <w:r>
        <w:rPr>
          <w:rFonts w:hint="eastAsia" w:ascii="仿宋_GB2312"/>
          <w:bCs/>
          <w:szCs w:val="28"/>
          <w:lang w:val="en-US" w:eastAsia="zh-CN"/>
        </w:rPr>
        <w:t>5.08</w:t>
      </w:r>
      <w:r>
        <w:rPr>
          <w:rFonts w:hint="eastAsia" w:ascii="仿宋_GB2312"/>
          <w:bCs/>
          <w:szCs w:val="28"/>
        </w:rPr>
        <w:t>万元，无超支情况，项目资金全部完成，得分为</w:t>
      </w:r>
      <w:r>
        <w:rPr>
          <w:rFonts w:hint="eastAsia" w:ascii="仿宋_GB2312"/>
          <w:bCs/>
          <w:szCs w:val="28"/>
          <w:lang w:val="en-US" w:eastAsia="zh-CN"/>
        </w:rPr>
        <w:t>2分</w:t>
      </w:r>
      <w:r>
        <w:rPr>
          <w:rFonts w:ascii="仿宋_GB2312"/>
          <w:bCs/>
          <w:szCs w:val="28"/>
        </w:rPr>
        <w:t>。</w:t>
      </w:r>
    </w:p>
    <w:p w14:paraId="7C811411">
      <w:pPr>
        <w:spacing w:line="360" w:lineRule="auto"/>
        <w:ind w:firstLine="562"/>
        <w:rPr>
          <w:rFonts w:ascii="仿宋_GB2312"/>
          <w:bCs/>
          <w:szCs w:val="28"/>
        </w:rPr>
      </w:pPr>
      <w:r>
        <w:rPr>
          <w:rFonts w:hint="eastAsia" w:ascii="仿宋_GB2312"/>
          <w:b/>
          <w:bCs/>
          <w:szCs w:val="28"/>
        </w:rPr>
        <w:t>专用材料费：</w:t>
      </w:r>
      <w:r>
        <w:rPr>
          <w:rFonts w:hint="eastAsia" w:ascii="仿宋_GB2312"/>
          <w:bCs/>
          <w:szCs w:val="28"/>
        </w:rPr>
        <w:t>本项目实际支出</w:t>
      </w:r>
      <w:r>
        <w:rPr>
          <w:rFonts w:hint="eastAsia" w:ascii="仿宋_GB2312"/>
          <w:bCs/>
          <w:szCs w:val="28"/>
          <w:lang w:val="en-US" w:eastAsia="zh-CN"/>
        </w:rPr>
        <w:t>9</w:t>
      </w:r>
      <w:r>
        <w:rPr>
          <w:rFonts w:hint="eastAsia" w:ascii="仿宋_GB2312"/>
          <w:bCs/>
          <w:szCs w:val="28"/>
        </w:rPr>
        <w:t>万元，无超支情况，项目资金全部完成，得分为</w:t>
      </w:r>
      <w:r>
        <w:rPr>
          <w:rFonts w:hint="eastAsia" w:ascii="仿宋_GB2312"/>
          <w:bCs/>
          <w:szCs w:val="28"/>
          <w:lang w:val="en-US" w:eastAsia="zh-CN"/>
        </w:rPr>
        <w:t>2分</w:t>
      </w:r>
      <w:r>
        <w:rPr>
          <w:rFonts w:ascii="仿宋_GB2312"/>
          <w:bCs/>
          <w:szCs w:val="28"/>
        </w:rPr>
        <w:t>。</w:t>
      </w:r>
    </w:p>
    <w:p w14:paraId="09843E10">
      <w:pPr>
        <w:spacing w:line="360" w:lineRule="auto"/>
        <w:ind w:firstLine="562"/>
        <w:rPr>
          <w:rFonts w:ascii="仿宋_GB2312"/>
          <w:bCs/>
          <w:szCs w:val="28"/>
        </w:rPr>
      </w:pPr>
      <w:r>
        <w:rPr>
          <w:rFonts w:hint="eastAsia" w:ascii="仿宋_GB2312"/>
          <w:b/>
          <w:bCs/>
          <w:szCs w:val="28"/>
        </w:rPr>
        <w:t>劳务费：</w:t>
      </w:r>
      <w:r>
        <w:rPr>
          <w:rFonts w:hint="eastAsia" w:ascii="仿宋_GB2312"/>
          <w:bCs/>
          <w:szCs w:val="28"/>
        </w:rPr>
        <w:t>本项目实际支出</w:t>
      </w:r>
      <w:r>
        <w:rPr>
          <w:rFonts w:hint="eastAsia" w:ascii="仿宋_GB2312"/>
          <w:bCs/>
          <w:szCs w:val="28"/>
          <w:lang w:val="en-US" w:eastAsia="zh-CN"/>
        </w:rPr>
        <w:t>0.24</w:t>
      </w:r>
      <w:r>
        <w:rPr>
          <w:rFonts w:hint="eastAsia" w:ascii="仿宋_GB2312"/>
          <w:bCs/>
          <w:szCs w:val="28"/>
        </w:rPr>
        <w:t>万元，无超支情况，项目资金全部完成，得分为</w:t>
      </w:r>
      <w:r>
        <w:rPr>
          <w:rFonts w:hint="eastAsia" w:ascii="仿宋_GB2312"/>
          <w:bCs/>
          <w:szCs w:val="28"/>
          <w:lang w:val="en-US" w:eastAsia="zh-CN"/>
        </w:rPr>
        <w:t>2分</w:t>
      </w:r>
      <w:r>
        <w:rPr>
          <w:rFonts w:ascii="仿宋_GB2312"/>
          <w:bCs/>
          <w:szCs w:val="28"/>
        </w:rPr>
        <w:t>。</w:t>
      </w:r>
    </w:p>
    <w:p w14:paraId="4C263183">
      <w:pPr>
        <w:pStyle w:val="3"/>
        <w:ind w:firstLine="643"/>
        <w:rPr>
          <w:rFonts w:ascii="仿宋" w:hAnsi="仿宋" w:eastAsia="仿宋"/>
          <w:lang w:bidi="en-US"/>
        </w:rPr>
      </w:pPr>
      <w:r>
        <w:rPr>
          <w:rFonts w:ascii="仿宋" w:hAnsi="仿宋" w:eastAsia="仿宋"/>
          <w:lang w:bidi="en-US"/>
        </w:rPr>
        <w:t>（五）项目效益</w:t>
      </w:r>
    </w:p>
    <w:p w14:paraId="189BDA92">
      <w:pPr>
        <w:spacing w:line="360" w:lineRule="auto"/>
        <w:ind w:firstLine="560"/>
        <w:rPr>
          <w:rFonts w:ascii="仿宋_GB2312"/>
          <w:szCs w:val="28"/>
        </w:rPr>
      </w:pPr>
      <w:r>
        <w:rPr>
          <w:rFonts w:hint="eastAsia" w:ascii="仿宋_GB2312"/>
          <w:szCs w:val="28"/>
        </w:rPr>
        <w:t>项目效益指标由</w:t>
      </w:r>
      <w:r>
        <w:rPr>
          <w:rFonts w:ascii="仿宋_GB2312"/>
          <w:szCs w:val="28"/>
        </w:rPr>
        <w:t>1</w:t>
      </w:r>
      <w:r>
        <w:rPr>
          <w:rFonts w:hint="eastAsia" w:ascii="仿宋_GB2312"/>
          <w:szCs w:val="28"/>
        </w:rPr>
        <w:t>个三级指标构成，权重为</w:t>
      </w:r>
      <w:r>
        <w:rPr>
          <w:rFonts w:hint="eastAsia" w:ascii="仿宋_GB2312"/>
          <w:szCs w:val="28"/>
          <w:lang w:val="en-US" w:eastAsia="zh-CN"/>
        </w:rPr>
        <w:t>1</w:t>
      </w:r>
      <w:r>
        <w:rPr>
          <w:rFonts w:ascii="仿宋_GB2312"/>
          <w:szCs w:val="28"/>
        </w:rPr>
        <w:t>0</w:t>
      </w:r>
      <w:r>
        <w:rPr>
          <w:rFonts w:hint="eastAsia" w:ascii="仿宋_GB2312"/>
          <w:szCs w:val="28"/>
        </w:rPr>
        <w:t>分，实际得分</w:t>
      </w:r>
      <w:r>
        <w:rPr>
          <w:rFonts w:hint="eastAsia" w:ascii="仿宋_GB2312"/>
          <w:szCs w:val="28"/>
          <w:lang w:val="en-US" w:eastAsia="zh-CN"/>
        </w:rPr>
        <w:t>10</w:t>
      </w:r>
      <w:r>
        <w:rPr>
          <w:rFonts w:hint="eastAsia" w:ascii="仿宋_GB2312"/>
          <w:szCs w:val="28"/>
        </w:rPr>
        <w:t>分。</w:t>
      </w:r>
      <w:r>
        <w:rPr>
          <w:rFonts w:ascii="仿宋_GB2312"/>
          <w:szCs w:val="28"/>
        </w:rPr>
        <w:t xml:space="preserve"> </w:t>
      </w:r>
    </w:p>
    <w:p w14:paraId="4DAF2284">
      <w:pPr>
        <w:spacing w:line="360" w:lineRule="auto"/>
        <w:ind w:firstLine="562"/>
        <w:rPr>
          <w:rFonts w:ascii="仿宋_GB2312"/>
          <w:b/>
          <w:bCs/>
          <w:szCs w:val="28"/>
        </w:rPr>
      </w:pPr>
      <w:r>
        <w:rPr>
          <w:rFonts w:hint="eastAsia" w:ascii="仿宋_GB2312"/>
          <w:b/>
          <w:bCs/>
          <w:szCs w:val="28"/>
        </w:rPr>
        <w:t>（1）实施效益</w:t>
      </w:r>
    </w:p>
    <w:p w14:paraId="64D993A9">
      <w:pPr>
        <w:spacing w:line="360" w:lineRule="auto"/>
        <w:ind w:firstLine="562"/>
        <w:rPr>
          <w:rFonts w:ascii="仿宋_GB2312"/>
          <w:szCs w:val="28"/>
        </w:rPr>
      </w:pPr>
      <w:r>
        <w:rPr>
          <w:rFonts w:hint="eastAsia" w:ascii="仿宋_GB2312"/>
          <w:b/>
          <w:bCs/>
          <w:szCs w:val="28"/>
        </w:rPr>
        <w:t>经济效益指标：</w:t>
      </w:r>
      <w:r>
        <w:rPr>
          <w:rFonts w:hint="eastAsia" w:ascii="仿宋_GB2312"/>
          <w:szCs w:val="28"/>
        </w:rPr>
        <w:t>不适用。</w:t>
      </w:r>
      <w:r>
        <w:rPr>
          <w:rFonts w:ascii="仿宋_GB2312"/>
          <w:szCs w:val="28"/>
        </w:rPr>
        <w:t xml:space="preserve"> </w:t>
      </w:r>
    </w:p>
    <w:p w14:paraId="7A599C73">
      <w:pPr>
        <w:spacing w:line="360" w:lineRule="auto"/>
        <w:ind w:firstLine="562"/>
        <w:rPr>
          <w:rFonts w:hint="eastAsia" w:ascii="仿宋_GB2312"/>
          <w:szCs w:val="28"/>
        </w:rPr>
      </w:pPr>
      <w:r>
        <w:rPr>
          <w:rFonts w:hint="eastAsia" w:ascii="仿宋_GB2312"/>
          <w:b/>
          <w:bCs/>
          <w:szCs w:val="28"/>
        </w:rPr>
        <w:t>社会效益指标</w:t>
      </w:r>
      <w:r>
        <w:rPr>
          <w:rFonts w:hint="eastAsia" w:ascii="仿宋_GB2312"/>
          <w:szCs w:val="28"/>
        </w:rPr>
        <w:t>：评价指标“提升我院中医药诊疗服务能力”，指标值：</w:t>
      </w:r>
      <w:r>
        <w:rPr>
          <w:rFonts w:hint="eastAsia" w:ascii="仿宋_GB2312"/>
          <w:szCs w:val="28"/>
          <w:lang w:val="en-US" w:eastAsia="zh-CN"/>
        </w:rPr>
        <w:t>逐年提升</w:t>
      </w:r>
      <w:r>
        <w:rPr>
          <w:rFonts w:hint="eastAsia" w:ascii="仿宋_GB2312"/>
          <w:szCs w:val="28"/>
        </w:rPr>
        <w:t>，实际完成值：达成年度指标。本项目的实施提高中医药服务可及性和依从性，强化中医药医疗质量管理，加快中西医结合人才培养速度，更好地满足广大人民群众日益增长的医疗健康需求。</w:t>
      </w:r>
    </w:p>
    <w:p w14:paraId="708D1219">
      <w:pPr>
        <w:spacing w:line="360" w:lineRule="auto"/>
        <w:ind w:firstLine="562"/>
        <w:rPr>
          <w:rFonts w:ascii="仿宋_GB2312"/>
          <w:szCs w:val="28"/>
        </w:rPr>
      </w:pPr>
      <w:r>
        <w:rPr>
          <w:rFonts w:hint="eastAsia" w:ascii="仿宋_GB2312"/>
          <w:b/>
          <w:bCs/>
          <w:szCs w:val="28"/>
        </w:rPr>
        <w:t>生态效益指标</w:t>
      </w:r>
      <w:r>
        <w:rPr>
          <w:rFonts w:hint="eastAsia" w:ascii="仿宋_GB2312"/>
          <w:szCs w:val="28"/>
        </w:rPr>
        <w:t>：不适用。</w:t>
      </w:r>
    </w:p>
    <w:p w14:paraId="4534794C">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hint="eastAsia" w:ascii="仿宋_GB2312" w:hAnsi="仿宋" w:cs="宋体"/>
          <w:b/>
          <w:kern w:val="0"/>
          <w:szCs w:val="28"/>
          <w:lang w:val="en-US" w:eastAsia="zh-CN"/>
        </w:rPr>
        <w:t>2</w:t>
      </w:r>
      <w:r>
        <w:rPr>
          <w:rFonts w:ascii="仿宋_GB2312" w:hAnsi="仿宋" w:cs="宋体"/>
          <w:b/>
          <w:kern w:val="0"/>
          <w:szCs w:val="28"/>
        </w:rPr>
        <w:t>0</w:t>
      </w:r>
      <w:r>
        <w:rPr>
          <w:rFonts w:hint="eastAsia" w:ascii="仿宋_GB2312" w:hAnsi="仿宋" w:cs="宋体"/>
          <w:b/>
          <w:kern w:val="0"/>
          <w:szCs w:val="28"/>
        </w:rPr>
        <w:t>分，得分</w:t>
      </w:r>
      <w:r>
        <w:rPr>
          <w:rFonts w:hint="eastAsia" w:ascii="仿宋_GB2312" w:hAnsi="仿宋" w:cs="宋体"/>
          <w:b/>
          <w:kern w:val="0"/>
          <w:szCs w:val="28"/>
          <w:lang w:val="en-US" w:eastAsia="zh-CN"/>
        </w:rPr>
        <w:t>20</w:t>
      </w:r>
      <w:r>
        <w:rPr>
          <w:rFonts w:hint="eastAsia" w:ascii="仿宋_GB2312" w:hAnsi="仿宋" w:cs="宋体"/>
          <w:b/>
          <w:kern w:val="0"/>
          <w:szCs w:val="28"/>
        </w:rPr>
        <w:t>分。</w:t>
      </w:r>
    </w:p>
    <w:p w14:paraId="32347CFE">
      <w:pPr>
        <w:pStyle w:val="3"/>
        <w:ind w:firstLine="643"/>
        <w:rPr>
          <w:rFonts w:ascii="仿宋" w:hAnsi="仿宋" w:eastAsia="仿宋"/>
          <w:lang w:bidi="en-US"/>
        </w:rPr>
      </w:pPr>
      <w:bookmarkStart w:id="52" w:name="_Toc165277255"/>
      <w:r>
        <w:rPr>
          <w:rFonts w:hint="eastAsia" w:ascii="仿宋" w:hAnsi="仿宋" w:eastAsia="仿宋"/>
          <w:lang w:bidi="en-US"/>
        </w:rPr>
        <w:t>（六）</w:t>
      </w:r>
      <w:r>
        <w:rPr>
          <w:rFonts w:ascii="仿宋" w:hAnsi="仿宋" w:eastAsia="仿宋"/>
          <w:lang w:bidi="en-US"/>
        </w:rPr>
        <w:t>满意度指标完成情况分析</w:t>
      </w:r>
      <w:bookmarkEnd w:id="52"/>
    </w:p>
    <w:p w14:paraId="628A75EE">
      <w:pPr>
        <w:spacing w:line="360" w:lineRule="auto"/>
        <w:ind w:firstLine="562"/>
        <w:rPr>
          <w:rFonts w:ascii="仿宋_GB2312"/>
          <w:b/>
          <w:bCs/>
          <w:szCs w:val="28"/>
        </w:rPr>
      </w:pPr>
      <w:r>
        <w:rPr>
          <w:rFonts w:hint="eastAsia" w:ascii="仿宋_GB2312"/>
          <w:b/>
          <w:bCs/>
          <w:szCs w:val="28"/>
        </w:rPr>
        <w:t>（</w:t>
      </w:r>
      <w:r>
        <w:rPr>
          <w:rFonts w:ascii="仿宋_GB2312"/>
          <w:b/>
          <w:bCs/>
          <w:szCs w:val="28"/>
        </w:rPr>
        <w:t>1</w:t>
      </w:r>
      <w:r>
        <w:rPr>
          <w:rFonts w:hint="eastAsia" w:ascii="仿宋_GB2312"/>
          <w:b/>
          <w:bCs/>
          <w:szCs w:val="28"/>
        </w:rPr>
        <w:t>）满意度指标</w:t>
      </w:r>
    </w:p>
    <w:p w14:paraId="088C7198">
      <w:pPr>
        <w:spacing w:line="360" w:lineRule="auto"/>
        <w:ind w:firstLine="562"/>
        <w:rPr>
          <w:rFonts w:ascii="仿宋_GB2312"/>
          <w:szCs w:val="28"/>
        </w:rPr>
      </w:pPr>
      <w:r>
        <w:rPr>
          <w:rFonts w:hint="eastAsia" w:ascii="仿宋_GB2312"/>
          <w:b/>
          <w:bCs/>
          <w:szCs w:val="28"/>
          <w:lang w:val="en-US" w:eastAsia="zh-CN"/>
        </w:rPr>
        <w:t>患者</w:t>
      </w:r>
      <w:r>
        <w:rPr>
          <w:rFonts w:hint="eastAsia" w:ascii="仿宋_GB2312"/>
          <w:b/>
          <w:bCs/>
          <w:szCs w:val="28"/>
        </w:rPr>
        <w:t>满意度：</w:t>
      </w:r>
      <w:r>
        <w:rPr>
          <w:rFonts w:hint="eastAsia" w:ascii="仿宋_GB2312"/>
          <w:szCs w:val="28"/>
        </w:rPr>
        <w:t>评价指标“</w:t>
      </w:r>
      <w:r>
        <w:rPr>
          <w:rFonts w:hint="eastAsia" w:ascii="仿宋_GB2312"/>
          <w:szCs w:val="28"/>
          <w:lang w:val="en-US" w:eastAsia="zh-CN"/>
        </w:rPr>
        <w:t>患者满意度</w:t>
      </w:r>
      <w:r>
        <w:rPr>
          <w:rFonts w:hint="eastAsia" w:ascii="仿宋_GB2312"/>
          <w:szCs w:val="28"/>
        </w:rPr>
        <w:t>”，指标值：</w:t>
      </w:r>
      <w:r>
        <w:rPr>
          <w:rFonts w:hint="eastAsia" w:ascii="华文宋体" w:hAnsi="华文宋体" w:eastAsia="华文宋体"/>
          <w:szCs w:val="28"/>
        </w:rPr>
        <w:t>≥</w:t>
      </w:r>
      <w:r>
        <w:rPr>
          <w:rFonts w:hint="eastAsia" w:ascii="仿宋_GB2312" w:eastAsia="华文宋体"/>
          <w:szCs w:val="28"/>
          <w:lang w:val="en-US" w:eastAsia="zh-CN"/>
        </w:rPr>
        <w:t>95</w:t>
      </w:r>
      <w:r>
        <w:rPr>
          <w:rFonts w:hint="eastAsia" w:ascii="仿宋_GB2312"/>
          <w:szCs w:val="28"/>
        </w:rPr>
        <w:t>%，实际完成值：</w:t>
      </w:r>
      <w:r>
        <w:rPr>
          <w:rFonts w:hint="eastAsia" w:ascii="华文宋体" w:hAnsi="华文宋体" w:eastAsia="华文宋体"/>
          <w:szCs w:val="28"/>
        </w:rPr>
        <w:t>≥</w:t>
      </w:r>
      <w:r>
        <w:rPr>
          <w:rFonts w:hint="eastAsia" w:ascii="仿宋_GB2312" w:eastAsia="华文宋体"/>
          <w:szCs w:val="28"/>
          <w:lang w:val="en-US" w:eastAsia="zh-CN"/>
        </w:rPr>
        <w:t>100</w:t>
      </w:r>
      <w:r>
        <w:rPr>
          <w:rFonts w:hint="eastAsia" w:ascii="仿宋_GB2312"/>
          <w:szCs w:val="28"/>
        </w:rPr>
        <w:t>%。通过设置问卷调查的方式进行考评评</w:t>
      </w:r>
      <w:r>
        <w:rPr>
          <w:rFonts w:hint="eastAsia" w:ascii="仿宋_GB2312"/>
          <w:szCs w:val="28"/>
          <w:highlight w:val="none"/>
        </w:rPr>
        <w:t>价，共计调查样本总量为</w:t>
      </w:r>
      <w:r>
        <w:rPr>
          <w:rFonts w:hint="eastAsia" w:ascii="仿宋_GB2312"/>
          <w:szCs w:val="28"/>
          <w:highlight w:val="none"/>
          <w:lang w:val="en-US" w:eastAsia="zh-CN"/>
        </w:rPr>
        <w:t>20</w:t>
      </w:r>
      <w:r>
        <w:rPr>
          <w:rFonts w:hint="eastAsia" w:ascii="仿宋_GB2312"/>
          <w:szCs w:val="28"/>
          <w:highlight w:val="none"/>
        </w:rPr>
        <w:t>个样本，有效调查问卷</w:t>
      </w:r>
      <w:r>
        <w:rPr>
          <w:rFonts w:hint="eastAsia" w:ascii="仿宋_GB2312"/>
          <w:szCs w:val="28"/>
          <w:highlight w:val="none"/>
          <w:lang w:val="en-US" w:eastAsia="zh-CN"/>
        </w:rPr>
        <w:t>20</w:t>
      </w:r>
      <w:r>
        <w:rPr>
          <w:rFonts w:hint="eastAsia" w:ascii="仿宋_GB2312"/>
          <w:szCs w:val="28"/>
          <w:highlight w:val="none"/>
        </w:rPr>
        <w:t>份。故满意度指</w:t>
      </w:r>
      <w:r>
        <w:rPr>
          <w:rFonts w:hint="eastAsia" w:ascii="仿宋_GB2312"/>
          <w:szCs w:val="28"/>
        </w:rPr>
        <w:t>标得分为</w:t>
      </w:r>
      <w:r>
        <w:rPr>
          <w:rFonts w:hint="eastAsia" w:ascii="仿宋_GB2312"/>
          <w:szCs w:val="28"/>
          <w:lang w:val="en-US" w:eastAsia="zh-CN"/>
        </w:rPr>
        <w:t>10</w:t>
      </w:r>
      <w:r>
        <w:rPr>
          <w:rFonts w:hint="eastAsia" w:ascii="仿宋_GB2312"/>
          <w:szCs w:val="28"/>
        </w:rPr>
        <w:t>分。</w:t>
      </w:r>
    </w:p>
    <w:p w14:paraId="393AF822">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10</w:t>
      </w:r>
      <w:r>
        <w:rPr>
          <w:rFonts w:hint="eastAsia" w:ascii="仿宋_GB2312" w:hAnsi="仿宋" w:cs="宋体"/>
          <w:b/>
          <w:kern w:val="0"/>
          <w:szCs w:val="28"/>
        </w:rPr>
        <w:t>分，得分</w:t>
      </w:r>
      <w:r>
        <w:rPr>
          <w:rFonts w:hint="eastAsia" w:ascii="仿宋_GB2312" w:hAnsi="仿宋" w:cs="宋体"/>
          <w:b/>
          <w:kern w:val="0"/>
          <w:szCs w:val="28"/>
          <w:lang w:val="en-US" w:eastAsia="zh-CN"/>
        </w:rPr>
        <w:t>10</w:t>
      </w:r>
      <w:r>
        <w:rPr>
          <w:rFonts w:hint="eastAsia" w:ascii="仿宋_GB2312" w:hAnsi="仿宋" w:cs="宋体"/>
          <w:b/>
          <w:kern w:val="0"/>
          <w:szCs w:val="28"/>
        </w:rPr>
        <w:t>分。</w:t>
      </w:r>
    </w:p>
    <w:p w14:paraId="17DED1CF">
      <w:pPr>
        <w:pStyle w:val="2"/>
        <w:ind w:firstLine="0" w:firstLineChars="0"/>
        <w:jc w:val="left"/>
        <w:rPr>
          <w:rFonts w:ascii="仿宋" w:hAnsi="仿宋" w:eastAsia="仿宋"/>
          <w:sz w:val="36"/>
          <w:szCs w:val="36"/>
          <w:lang w:bidi="en-US"/>
        </w:rPr>
      </w:pPr>
      <w:bookmarkStart w:id="53" w:name="_Toc67911617"/>
      <w:bookmarkStart w:id="54" w:name="_Toc165277256"/>
      <w:r>
        <w:rPr>
          <w:rFonts w:hint="eastAsia" w:ascii="仿宋" w:hAnsi="仿宋" w:eastAsia="仿宋"/>
          <w:sz w:val="36"/>
          <w:szCs w:val="36"/>
          <w:lang w:bidi="en-US"/>
        </w:rPr>
        <w:t>五、主要经验及做法、存在的问题及原因分析</w:t>
      </w:r>
      <w:bookmarkEnd w:id="53"/>
      <w:bookmarkEnd w:id="54"/>
    </w:p>
    <w:p w14:paraId="6E9BF1A2">
      <w:pPr>
        <w:pStyle w:val="3"/>
        <w:ind w:firstLine="643"/>
        <w:rPr>
          <w:rFonts w:ascii="仿宋" w:hAnsi="仿宋" w:eastAsia="仿宋"/>
          <w:lang w:bidi="en-US"/>
        </w:rPr>
      </w:pPr>
      <w:bookmarkStart w:id="55" w:name="_Toc67911618"/>
      <w:bookmarkStart w:id="56" w:name="_Toc165277257"/>
      <w:r>
        <w:rPr>
          <w:rFonts w:hint="eastAsia" w:ascii="仿宋" w:hAnsi="仿宋" w:eastAsia="仿宋"/>
          <w:lang w:bidi="en-US"/>
        </w:rPr>
        <w:t>（一）主要经验及做法</w:t>
      </w:r>
      <w:bookmarkEnd w:id="55"/>
      <w:bookmarkEnd w:id="56"/>
    </w:p>
    <w:p w14:paraId="1852BB9E">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eastAsia" w:ascii="仿宋_GB2312" w:hAnsi="Calibri" w:eastAsia="仿宋_GB2312" w:cs="黑体"/>
          <w:b w:val="0"/>
          <w:bCs w:val="0"/>
          <w:kern w:val="2"/>
          <w:sz w:val="28"/>
          <w:szCs w:val="28"/>
          <w:lang w:val="en-US" w:eastAsia="zh-CN" w:bidi="ar-SA"/>
        </w:rPr>
      </w:pPr>
      <w:bookmarkStart w:id="57" w:name="_Toc165277258"/>
      <w:r>
        <w:rPr>
          <w:rFonts w:hint="eastAsia" w:ascii="仿宋_GB2312" w:hAnsi="Calibri" w:eastAsia="仿宋_GB2312" w:cs="黑体"/>
          <w:b w:val="0"/>
          <w:bCs w:val="0"/>
          <w:kern w:val="2"/>
          <w:sz w:val="28"/>
          <w:szCs w:val="28"/>
          <w:lang w:val="en-US" w:eastAsia="zh-CN" w:bidi="ar-SA"/>
        </w:rPr>
        <w:t>（1）从项目决策来看，本项目的实施符合发展政策和公共财政支持的方向和重点，绩效目标的设置也较为完整、明确、合理。</w:t>
      </w:r>
    </w:p>
    <w:p w14:paraId="0DE5253F">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eastAsia" w:ascii="仿宋_GB2312" w:hAnsi="Calibri" w:eastAsia="仿宋_GB2312" w:cs="黑体"/>
          <w:b w:val="0"/>
          <w:bCs w:val="0"/>
          <w:kern w:val="2"/>
          <w:sz w:val="28"/>
          <w:szCs w:val="28"/>
          <w:lang w:val="en-US" w:eastAsia="zh-CN" w:bidi="ar-SA"/>
        </w:rPr>
      </w:pPr>
      <w:r>
        <w:rPr>
          <w:rFonts w:hint="eastAsia" w:ascii="仿宋_GB2312" w:hAnsi="Calibri" w:eastAsia="仿宋_GB2312" w:cs="黑体"/>
          <w:b w:val="0"/>
          <w:bCs w:val="0"/>
          <w:kern w:val="2"/>
          <w:sz w:val="28"/>
          <w:szCs w:val="28"/>
          <w:lang w:val="en-US" w:eastAsia="zh-CN" w:bidi="ar-SA"/>
        </w:rPr>
        <w:t>（2）从项目管理来看，本项目资金使用合理、合规，不存在 挤占、挪用、截留等情况。提高资金使用效益建立健全有利于中医药传承创新发展的管理和运行机制，强化目标管理责任，明确细化试点任务牵头单位，压实项目实施责任主体，建立项目长效运营机制，确保项目实施取得明显成效。加强工作进度和质量监督考核、跟踪督导，推动各项试点任务实施强化成果推广。加强与上级主管部门的沟通对接，及时上报试点任务工作总结、成果经验、需要解决的问题等。积极配合上级主管部门的监督、检查及评估工作。</w:t>
      </w:r>
    </w:p>
    <w:p w14:paraId="349B4114">
      <w:pPr>
        <w:spacing w:line="360" w:lineRule="auto"/>
        <w:ind w:left="0" w:leftChars="0" w:firstLine="560" w:firstLineChars="200"/>
        <w:rPr>
          <w:rFonts w:hint="eastAsia" w:ascii="仿宋_GB2312" w:hAnsi="Calibri" w:eastAsia="仿宋_GB2312" w:cs="黑体"/>
          <w:b w:val="0"/>
          <w:bCs w:val="0"/>
          <w:kern w:val="2"/>
          <w:sz w:val="28"/>
          <w:szCs w:val="28"/>
          <w:highlight w:val="none"/>
          <w:lang w:val="en-US" w:eastAsia="zh-CN" w:bidi="ar-SA"/>
        </w:rPr>
      </w:pPr>
      <w:r>
        <w:rPr>
          <w:rFonts w:hint="eastAsia" w:ascii="仿宋_GB2312" w:hAnsi="Calibri" w:eastAsia="仿宋_GB2312" w:cs="黑体"/>
          <w:b w:val="0"/>
          <w:bCs w:val="0"/>
          <w:kern w:val="2"/>
          <w:sz w:val="28"/>
          <w:szCs w:val="28"/>
          <w:lang w:val="en-US" w:eastAsia="zh-CN" w:bidi="ar-SA"/>
        </w:rPr>
        <w:t>（3）从项目绩效来看，</w:t>
      </w:r>
      <w:r>
        <w:rPr>
          <w:rFonts w:hint="eastAsia" w:ascii="仿宋_GB2312"/>
          <w:highlight w:val="none"/>
          <w:lang w:eastAsia="zh-CN"/>
        </w:rPr>
        <w:t>加强项目资金预算管理和全过程绩效管理，严格执行资金使用规定，严肃财经纪律，严禁虚报、挤占、挪用和截留项目资金。切实加强绩效评价结果应用，绩效评价结果将作为中期评估和期末验收的组成部分，并作为中央财政补助</w:t>
      </w:r>
      <w:r>
        <w:rPr>
          <w:rFonts w:hint="eastAsia" w:ascii="仿宋_GB2312"/>
          <w:highlight w:val="none"/>
          <w:lang w:val="en-US" w:eastAsia="zh-CN"/>
        </w:rPr>
        <w:t>资金中</w:t>
      </w:r>
      <w:r>
        <w:rPr>
          <w:rFonts w:hint="eastAsia" w:ascii="仿宋_GB2312"/>
          <w:highlight w:val="none"/>
          <w:lang w:eastAsia="zh-CN"/>
        </w:rPr>
        <w:t>绩效奖补资金分配的重要依据。</w:t>
      </w:r>
    </w:p>
    <w:p w14:paraId="057E8A97">
      <w:pPr>
        <w:pStyle w:val="3"/>
        <w:ind w:firstLine="643"/>
        <w:rPr>
          <w:rFonts w:ascii="仿宋" w:hAnsi="仿宋" w:eastAsia="仿宋"/>
          <w:lang w:bidi="en-US"/>
        </w:rPr>
      </w:pPr>
      <w:r>
        <w:rPr>
          <w:rFonts w:hint="eastAsia" w:ascii="仿宋" w:hAnsi="仿宋" w:eastAsia="仿宋"/>
          <w:lang w:bidi="en-US"/>
        </w:rPr>
        <w:t>（二）存在的问题及原因分析</w:t>
      </w:r>
      <w:bookmarkEnd w:id="57"/>
    </w:p>
    <w:p w14:paraId="2A20948B">
      <w:pPr>
        <w:spacing w:line="360" w:lineRule="auto"/>
        <w:ind w:left="0" w:leftChars="0" w:firstLine="560" w:firstLineChars="200"/>
        <w:rPr>
          <w:rFonts w:hint="default" w:ascii="仿宋_GB2312"/>
          <w:bCs/>
          <w:szCs w:val="28"/>
          <w:lang w:val="en-US" w:eastAsia="zh-CN"/>
        </w:rPr>
      </w:pPr>
      <w:bookmarkStart w:id="58" w:name="_Toc67911620"/>
      <w:bookmarkStart w:id="59" w:name="_Toc165277259"/>
      <w:bookmarkStart w:id="60" w:name="_Toc67911619"/>
      <w:r>
        <w:rPr>
          <w:rFonts w:hint="eastAsia" w:ascii="仿宋_GB2312"/>
          <w:bCs/>
          <w:szCs w:val="28"/>
          <w:lang w:val="en-US" w:eastAsia="zh-CN"/>
        </w:rPr>
        <w:t>本项目存在的问题是资金分配不合理，个别采购项目因询价和型号问题导致流标，增加了采购时间，采购流程管理不合理；未考虑主任医师的排班问题，因工作业务量繁重，导致无法按预期计划外出参加培训，资金有剩余，绩效目标设定不合理。</w:t>
      </w:r>
    </w:p>
    <w:p w14:paraId="1A405C34">
      <w:pPr>
        <w:pStyle w:val="2"/>
        <w:numPr>
          <w:ilvl w:val="0"/>
          <w:numId w:val="1"/>
        </w:numPr>
        <w:ind w:firstLine="0" w:firstLineChars="0"/>
        <w:jc w:val="left"/>
        <w:rPr>
          <w:rFonts w:ascii="仿宋" w:hAnsi="仿宋" w:eastAsia="仿宋"/>
          <w:sz w:val="36"/>
          <w:szCs w:val="36"/>
          <w:lang w:bidi="en-US"/>
        </w:rPr>
      </w:pPr>
      <w:r>
        <w:rPr>
          <w:rFonts w:hint="eastAsia" w:ascii="仿宋" w:hAnsi="仿宋" w:eastAsia="仿宋"/>
          <w:sz w:val="36"/>
          <w:szCs w:val="36"/>
          <w:lang w:bidi="en-US"/>
        </w:rPr>
        <w:t>有关建议</w:t>
      </w:r>
      <w:bookmarkEnd w:id="58"/>
      <w:bookmarkEnd w:id="59"/>
    </w:p>
    <w:p w14:paraId="5825C3D8">
      <w:pPr>
        <w:spacing w:line="560" w:lineRule="exact"/>
        <w:ind w:firstLine="560" w:firstLineChars="200"/>
        <w:rPr>
          <w:rFonts w:hint="eastAsia" w:ascii="仿宋_GB2312" w:hAnsi="Calibri" w:eastAsia="仿宋_GB2312" w:cs="黑体"/>
          <w:b w:val="0"/>
          <w:bCs w:val="0"/>
          <w:kern w:val="2"/>
          <w:sz w:val="28"/>
          <w:szCs w:val="28"/>
          <w:lang w:val="en-US" w:eastAsia="zh-Hans" w:bidi="ar-SA"/>
        </w:rPr>
      </w:pPr>
      <w:r>
        <w:rPr>
          <w:rFonts w:hint="eastAsia" w:ascii="仿宋_GB2312" w:hAnsi="Calibri" w:eastAsia="仿宋_GB2312" w:cs="黑体"/>
          <w:b w:val="0"/>
          <w:bCs w:val="0"/>
          <w:kern w:val="2"/>
          <w:sz w:val="28"/>
          <w:szCs w:val="28"/>
          <w:lang w:val="en-US" w:eastAsia="zh-Hans" w:bidi="ar-SA"/>
        </w:rPr>
        <w:t>1</w:t>
      </w:r>
      <w:r>
        <w:rPr>
          <w:rFonts w:hint="eastAsia" w:ascii="仿宋_GB2312" w:hAnsi="Calibri" w:eastAsia="仿宋_GB2312" w:cs="黑体"/>
          <w:b w:val="0"/>
          <w:bCs w:val="0"/>
          <w:kern w:val="2"/>
          <w:sz w:val="28"/>
          <w:szCs w:val="28"/>
          <w:lang w:val="en-US" w:eastAsia="zh-CN" w:bidi="ar-SA"/>
        </w:rPr>
        <w:t>.</w:t>
      </w:r>
      <w:r>
        <w:rPr>
          <w:rFonts w:hint="eastAsia" w:ascii="仿宋_GB2312" w:hAnsi="Calibri" w:eastAsia="仿宋_GB2312" w:cs="黑体"/>
          <w:b w:val="0"/>
          <w:bCs w:val="0"/>
          <w:kern w:val="2"/>
          <w:sz w:val="28"/>
          <w:szCs w:val="28"/>
          <w:lang w:val="en-US" w:eastAsia="zh-Hans" w:bidi="ar-SA"/>
        </w:rPr>
        <w:t>建章立制，强化专项资金的监督。要对项目实施和资金使用进行全程跟踪监督，督促项目实施 部门加强管理，定期报告资金使用情况和项目实施情况，增加项目资金使用的透明度。同时，要建立 长期有效的专项资金监督管理新体系，确保专项资金用到实处，实现效益最大化。</w:t>
      </w:r>
      <w:r>
        <w:rPr>
          <w:rFonts w:hint="eastAsia" w:ascii="仿宋_GB2312" w:hAnsi="Calibri" w:eastAsia="仿宋_GB2312" w:cs="黑体"/>
          <w:b w:val="0"/>
          <w:bCs w:val="0"/>
          <w:kern w:val="2"/>
          <w:sz w:val="28"/>
          <w:szCs w:val="28"/>
          <w:lang w:val="en-US" w:eastAsia="zh-Hans" w:bidi="ar-SA"/>
        </w:rPr>
        <w:br w:type="textWrapping"/>
      </w:r>
      <w:r>
        <w:rPr>
          <w:rFonts w:hint="eastAsia" w:ascii="仿宋_GB2312" w:hAnsi="Calibri" w:eastAsia="仿宋_GB2312" w:cs="黑体"/>
          <w:b w:val="0"/>
          <w:bCs w:val="0"/>
          <w:kern w:val="2"/>
          <w:sz w:val="28"/>
          <w:szCs w:val="28"/>
          <w:lang w:val="en-US" w:eastAsia="zh-CN" w:bidi="ar-SA"/>
        </w:rPr>
        <w:t xml:space="preserve">    </w:t>
      </w:r>
      <w:r>
        <w:rPr>
          <w:rFonts w:hint="eastAsia" w:ascii="仿宋_GB2312" w:hAnsi="Calibri" w:eastAsia="仿宋_GB2312" w:cs="黑体"/>
          <w:b w:val="0"/>
          <w:bCs w:val="0"/>
          <w:kern w:val="2"/>
          <w:sz w:val="28"/>
          <w:szCs w:val="28"/>
          <w:lang w:val="en-US" w:eastAsia="zh-Hans" w:bidi="ar-SA"/>
        </w:rPr>
        <w:t>2</w:t>
      </w:r>
      <w:r>
        <w:rPr>
          <w:rFonts w:hint="eastAsia" w:ascii="仿宋_GB2312" w:hAnsi="Calibri" w:eastAsia="仿宋_GB2312" w:cs="黑体"/>
          <w:b w:val="0"/>
          <w:bCs w:val="0"/>
          <w:kern w:val="2"/>
          <w:sz w:val="28"/>
          <w:szCs w:val="28"/>
          <w:lang w:val="en-US" w:eastAsia="zh-CN" w:bidi="ar-SA"/>
        </w:rPr>
        <w:t>.</w:t>
      </w:r>
      <w:r>
        <w:rPr>
          <w:rFonts w:hint="eastAsia" w:ascii="仿宋_GB2312" w:hAnsi="Calibri" w:eastAsia="仿宋_GB2312" w:cs="黑体"/>
          <w:b w:val="0"/>
          <w:bCs w:val="0"/>
          <w:kern w:val="2"/>
          <w:sz w:val="28"/>
          <w:szCs w:val="28"/>
          <w:lang w:val="en-US" w:eastAsia="zh-Hans" w:bidi="ar-SA"/>
        </w:rPr>
        <w:t>制定项目实施方案。明确相关科室在专项资金使用、管理中的分工，建立项目申报、招投标、 实施、采购、验收，评价等一系列实施流程，并严格执行。所有项目资金从分配到使用都要明确，做 到资金、项目、文号对应，归档备查，以明确资金流向和使用情况，防止截留、挪用现象的发生。</w:t>
      </w:r>
      <w:r>
        <w:rPr>
          <w:rFonts w:hint="eastAsia" w:ascii="仿宋_GB2312" w:hAnsi="Calibri" w:eastAsia="仿宋_GB2312" w:cs="黑体"/>
          <w:b w:val="0"/>
          <w:bCs w:val="0"/>
          <w:kern w:val="2"/>
          <w:sz w:val="28"/>
          <w:szCs w:val="28"/>
          <w:lang w:val="en-US" w:eastAsia="zh-Hans" w:bidi="ar-SA"/>
        </w:rPr>
        <w:cr/>
      </w:r>
      <w:r>
        <w:rPr>
          <w:rFonts w:hint="eastAsia" w:ascii="仿宋_GB2312" w:hAnsi="Calibri" w:eastAsia="仿宋_GB2312" w:cs="黑体"/>
          <w:b w:val="0"/>
          <w:bCs w:val="0"/>
          <w:kern w:val="2"/>
          <w:sz w:val="28"/>
          <w:szCs w:val="28"/>
          <w:lang w:val="en-US" w:eastAsia="zh-CN" w:bidi="ar-SA"/>
        </w:rPr>
        <w:t xml:space="preserve">    </w:t>
      </w:r>
      <w:r>
        <w:rPr>
          <w:rFonts w:hint="eastAsia" w:ascii="仿宋_GB2312" w:hAnsi="Calibri" w:eastAsia="仿宋_GB2312" w:cs="黑体"/>
          <w:b w:val="0"/>
          <w:bCs w:val="0"/>
          <w:kern w:val="2"/>
          <w:sz w:val="28"/>
          <w:szCs w:val="28"/>
          <w:lang w:val="en-US" w:eastAsia="zh-Hans" w:bidi="ar-SA"/>
        </w:rPr>
        <w:t>3.要对专项资金项目投入、产出进行公正和客观的评价，需要全面、综合地衡量上述指标。评价科要对相关数量指标进行详细的定量计算，并根据统一计算方法对专项资金支出情况进行分析。对专项资金项目评价目标进行分解，综合运用各类指标、权值、基础性数据及参考标准值等科学要素设计指标体系，尽量使评价结果能够满足全面性和真实性。建立绩效评价长效监督机制，对内部评价和独立外评进行监督和管理，正确行使评价科权利和义务，实现评价工作的客观性。正确选择绩效评估分析工具，并重视评估结果的反馈，对建立健全绩效评估机制产生推动作用。建立健全预算管理控制制度，加大评价力度，保证各项工作有序执行。而实践经验证实，将全面预算管理应用在实际绩效考核工作中，可以使绩效评价工作更加完善，并对考核机制和目标产生约束作用。</w:t>
      </w:r>
    </w:p>
    <w:p w14:paraId="23654AFF">
      <w:pPr>
        <w:spacing w:line="560" w:lineRule="exact"/>
        <w:ind w:firstLine="560" w:firstLineChars="200"/>
      </w:pPr>
      <w:r>
        <w:rPr>
          <w:rFonts w:hint="eastAsia" w:ascii="仿宋_GB2312" w:hAnsi="Calibri" w:eastAsia="仿宋_GB2312" w:cs="黑体"/>
          <w:b w:val="0"/>
          <w:bCs w:val="0"/>
          <w:kern w:val="2"/>
          <w:sz w:val="28"/>
          <w:szCs w:val="28"/>
          <w:lang w:val="en-US" w:eastAsia="zh-Hans" w:bidi="ar-SA"/>
        </w:rPr>
        <w:t>进一步加强对绩效管理工作的组织领导，提高对预算绩效管理工作重要性的认识，总结经验查找问题，抓紧研究制定更全面更完善的绩效评价管理办法。结合绩效工作考核制度，加大全局对全面实施预算绩效管理和绩效管理工作的学习力度，让“花钱必问效，无效必问责”的理念深入工作每个环节。</w:t>
      </w:r>
    </w:p>
    <w:p w14:paraId="6C1E8289">
      <w:pPr>
        <w:pStyle w:val="2"/>
        <w:ind w:firstLine="0" w:firstLineChars="0"/>
        <w:jc w:val="left"/>
        <w:rPr>
          <w:rFonts w:ascii="仿宋" w:hAnsi="仿宋" w:eastAsia="仿宋"/>
          <w:sz w:val="36"/>
          <w:szCs w:val="36"/>
          <w:lang w:bidi="en-US"/>
        </w:rPr>
      </w:pPr>
      <w:bookmarkStart w:id="61" w:name="_Toc165277260"/>
      <w:r>
        <w:rPr>
          <w:rFonts w:hint="eastAsia" w:ascii="仿宋" w:hAnsi="仿宋" w:eastAsia="仿宋"/>
          <w:sz w:val="36"/>
          <w:szCs w:val="36"/>
          <w:lang w:bidi="en-US"/>
        </w:rPr>
        <w:t>七、其他需要说明的问题</w:t>
      </w:r>
      <w:bookmarkEnd w:id="60"/>
      <w:bookmarkEnd w:id="61"/>
    </w:p>
    <w:p w14:paraId="31428C30">
      <w:pPr>
        <w:spacing w:line="360" w:lineRule="auto"/>
        <w:ind w:firstLine="560"/>
        <w:rPr>
          <w:rFonts w:ascii="仿宋_GB2312"/>
          <w:szCs w:val="28"/>
        </w:rPr>
      </w:pPr>
      <w:r>
        <w:rPr>
          <w:rFonts w:hint="eastAsia" w:ascii="仿宋_GB2312"/>
          <w:szCs w:val="28"/>
        </w:rPr>
        <w:t>1</w:t>
      </w:r>
      <w:r>
        <w:rPr>
          <w:rFonts w:ascii="仿宋_GB2312"/>
          <w:szCs w:val="28"/>
        </w:rPr>
        <w:t>.</w:t>
      </w:r>
      <w:r>
        <w:rPr>
          <w:rFonts w:hint="eastAsia" w:ascii="仿宋_GB2312"/>
          <w:szCs w:val="28"/>
        </w:rPr>
        <w:t>项目支出政策和路径设计科学，符合实际需要；</w:t>
      </w:r>
    </w:p>
    <w:p w14:paraId="1FC76872">
      <w:pPr>
        <w:spacing w:line="360" w:lineRule="auto"/>
        <w:ind w:firstLine="560"/>
        <w:rPr>
          <w:rFonts w:ascii="仿宋_GB2312"/>
          <w:szCs w:val="28"/>
        </w:rPr>
      </w:pPr>
      <w:r>
        <w:rPr>
          <w:rFonts w:ascii="仿宋_GB2312"/>
          <w:szCs w:val="28"/>
        </w:rPr>
        <w:t>2.</w:t>
      </w:r>
      <w:r>
        <w:rPr>
          <w:rFonts w:hint="eastAsia" w:ascii="仿宋_GB2312"/>
          <w:szCs w:val="28"/>
        </w:rPr>
        <w:t>项目安排准确，未发现背离项目立项初衷的情况；</w:t>
      </w:r>
    </w:p>
    <w:p w14:paraId="3FFEAA84">
      <w:pPr>
        <w:spacing w:line="360" w:lineRule="auto"/>
        <w:ind w:firstLine="560"/>
        <w:rPr>
          <w:rFonts w:ascii="仿宋_GB2312"/>
          <w:szCs w:val="28"/>
        </w:rPr>
      </w:pPr>
      <w:r>
        <w:rPr>
          <w:rFonts w:ascii="仿宋_GB2312"/>
          <w:szCs w:val="28"/>
        </w:rPr>
        <w:t>3.</w:t>
      </w:r>
      <w:r>
        <w:rPr>
          <w:rFonts w:hint="eastAsia" w:ascii="仿宋_GB2312"/>
          <w:szCs w:val="28"/>
        </w:rPr>
        <w:t>项目的申报、审核机制完善；</w:t>
      </w:r>
    </w:p>
    <w:p w14:paraId="0D61E8B9">
      <w:pPr>
        <w:spacing w:line="360" w:lineRule="auto"/>
        <w:ind w:firstLine="560"/>
        <w:rPr>
          <w:rFonts w:ascii="仿宋_GB2312"/>
          <w:szCs w:val="28"/>
        </w:rPr>
      </w:pPr>
      <w:r>
        <w:rPr>
          <w:rFonts w:ascii="仿宋_GB2312"/>
          <w:szCs w:val="28"/>
        </w:rPr>
        <w:t>4.</w:t>
      </w:r>
      <w:r>
        <w:rPr>
          <w:rFonts w:hint="eastAsia" w:ascii="仿宋_GB2312"/>
          <w:szCs w:val="28"/>
        </w:rPr>
        <w:t>未发现虚假行为和骗取财政资金的问题。</w:t>
      </w:r>
    </w:p>
    <w:p w14:paraId="7545F1D9">
      <w:pPr>
        <w:spacing w:line="360" w:lineRule="auto"/>
        <w:ind w:firstLine="560"/>
        <w:rPr>
          <w:rFonts w:ascii="仿宋_GB2312"/>
          <w:szCs w:val="28"/>
        </w:rPr>
      </w:pPr>
    </w:p>
    <w:sectPr>
      <w:headerReference r:id="rId13" w:type="default"/>
      <w:footerReference r:id="rId14"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Gungsuh">
    <w:altName w:val="Malgun Gothic"/>
    <w:panose1 w:val="02030600000101010101"/>
    <w:charset w:val="81"/>
    <w:family w:val="roman"/>
    <w:pitch w:val="default"/>
    <w:sig w:usb0="00000000" w:usb1="00000000" w:usb2="00000030" w:usb3="00000000" w:csb0="0008009F" w:csb1="00000000"/>
  </w:font>
  <w:font w:name="Malgun Gothic">
    <w:panose1 w:val="020B0503020000020004"/>
    <w:charset w:val="81"/>
    <w:family w:val="auto"/>
    <w:pitch w:val="default"/>
    <w:sig w:usb0="9000002F" w:usb1="29D77CFB" w:usb2="00000012" w:usb3="00000000" w:csb0="00080001" w:csb1="00000000"/>
  </w:font>
  <w:font w:name="华文宋体">
    <w:altName w:val="宋体"/>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E5BBC3">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570380">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00502C">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6182009"/>
      <w:docPartObj>
        <w:docPartGallery w:val="autotext"/>
      </w:docPartObj>
    </w:sdtPr>
    <w:sdtEndPr>
      <w:rPr>
        <w:rFonts w:hint="eastAsia" w:ascii="仿宋_GB2312" w:eastAsia="仿宋_GB2312"/>
        <w:sz w:val="21"/>
        <w:szCs w:val="21"/>
      </w:rPr>
    </w:sdtEndPr>
    <w:sdtContent>
      <w:p w14:paraId="58815224">
        <w:pPr>
          <w:pStyle w:val="9"/>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11</w:t>
        </w:r>
        <w:r>
          <w:rPr>
            <w:rFonts w:hint="eastAsia" w:ascii="仿宋_GB2312" w:eastAsia="仿宋_GB2312"/>
            <w:sz w:val="21"/>
            <w:szCs w:val="21"/>
          </w:rPr>
          <w:fldChar w:fldCharType="end"/>
        </w:r>
      </w:p>
    </w:sdtContent>
  </w:sdt>
  <w:p w14:paraId="41D4AB79">
    <w:pPr>
      <w:pStyle w:val="9"/>
      <w:rPr>
        <w:rFonts w:ascii="仿宋_GB2312" w:eastAsia="仿宋_GB2312"/>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1836155"/>
      <w:docPartObj>
        <w:docPartGallery w:val="autotext"/>
      </w:docPartObj>
    </w:sdtPr>
    <w:sdtEndPr>
      <w:rPr>
        <w:rFonts w:hint="eastAsia" w:ascii="仿宋_GB2312" w:eastAsia="仿宋_GB2312"/>
        <w:sz w:val="21"/>
        <w:szCs w:val="21"/>
      </w:rPr>
    </w:sdtEndPr>
    <w:sdtContent>
      <w:p w14:paraId="4A9662CB">
        <w:pPr>
          <w:pStyle w:val="9"/>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18</w:t>
        </w:r>
        <w:r>
          <w:rPr>
            <w:rFonts w:hint="eastAsia" w:ascii="仿宋_GB2312" w:eastAsia="仿宋_GB2312"/>
            <w:sz w:val="21"/>
            <w:szCs w:val="21"/>
          </w:rPr>
          <w:fldChar w:fldCharType="end"/>
        </w:r>
      </w:p>
    </w:sdtContent>
  </w:sdt>
  <w:p w14:paraId="0658D207">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14:paraId="43B86CCD">
      <w:pPr>
        <w:pStyle w:val="12"/>
        <w:ind w:firstLine="0" w:firstLineChars="0"/>
        <w:jc w:val="both"/>
        <w:rPr>
          <w:rFonts w:ascii="仿宋_GB2312"/>
        </w:rPr>
      </w:pPr>
      <w:r>
        <w:rPr>
          <w:rStyle w:val="20"/>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14:paraId="34A39AA1">
      <w:pPr>
        <w:pStyle w:val="12"/>
        <w:ind w:firstLine="0" w:firstLineChars="0"/>
        <w:jc w:val="both"/>
        <w:rPr>
          <w:rFonts w:ascii="仿宋_GB2312"/>
        </w:rPr>
      </w:pPr>
      <w:r>
        <w:rPr>
          <w:rFonts w:hint="eastAsia" w:ascii="仿宋_GB2312"/>
        </w:rPr>
        <w:t>本次绩效评价结果实施百分制和四级分类，其中90（含）-100分为优、80（含）-90分为良、</w:t>
      </w:r>
      <w:r>
        <w:rPr>
          <w:rFonts w:ascii="仿宋_GB2312"/>
        </w:rPr>
        <w:t>7</w:t>
      </w:r>
      <w:r>
        <w:rPr>
          <w:rFonts w:hint="eastAsia" w:ascii="仿宋_GB2312"/>
        </w:rPr>
        <w:t>0（含）-80分为中、</w:t>
      </w:r>
      <w:r>
        <w:rPr>
          <w:rFonts w:ascii="仿宋_GB2312"/>
        </w:rPr>
        <w:t>7</w:t>
      </w:r>
      <w:r>
        <w:rPr>
          <w:rFonts w:hint="eastAsia" w:ascii="仿宋_GB2312"/>
        </w:rPr>
        <w:t>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0BB83E">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0A2F43">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5321E2">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08D22E">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7F764F">
    <w:pPr>
      <w:pStyle w:val="10"/>
      <w:ind w:firstLine="560"/>
      <w:jc w:val="right"/>
      <w:rPr>
        <w:rFonts w:ascii="仿宋_GB2312" w:eastAsia="仿宋_GB2312"/>
        <w:sz w:val="21"/>
        <w:szCs w:val="21"/>
      </w:rPr>
    </w:pPr>
    <w:r>
      <w:rPr>
        <w:rFonts w:hint="eastAsia" w:ascii="仿宋_GB2312" w:eastAsia="仿宋_GB2312"/>
        <w:sz w:val="21"/>
        <w:szCs w:val="21"/>
      </w:rPr>
      <w:t>部门项目报告模板</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637086"/>
    <w:multiLevelType w:val="singleLevel"/>
    <w:tmpl w:val="D5637086"/>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A0A"/>
    <w:rsid w:val="00031A7F"/>
    <w:rsid w:val="00042151"/>
    <w:rsid w:val="000438A0"/>
    <w:rsid w:val="0007002C"/>
    <w:rsid w:val="00071C0F"/>
    <w:rsid w:val="00086724"/>
    <w:rsid w:val="000A2B58"/>
    <w:rsid w:val="000A43E8"/>
    <w:rsid w:val="000B520E"/>
    <w:rsid w:val="000B6FA0"/>
    <w:rsid w:val="000C22A1"/>
    <w:rsid w:val="000C720A"/>
    <w:rsid w:val="000C77D3"/>
    <w:rsid w:val="000D5D41"/>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2817"/>
    <w:rsid w:val="00213964"/>
    <w:rsid w:val="00220DC6"/>
    <w:rsid w:val="0022245F"/>
    <w:rsid w:val="0022294C"/>
    <w:rsid w:val="00225A82"/>
    <w:rsid w:val="00247354"/>
    <w:rsid w:val="00250131"/>
    <w:rsid w:val="00261F2F"/>
    <w:rsid w:val="00262533"/>
    <w:rsid w:val="00262B75"/>
    <w:rsid w:val="002767C9"/>
    <w:rsid w:val="002810AA"/>
    <w:rsid w:val="002A6E59"/>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611E"/>
    <w:rsid w:val="003D74DE"/>
    <w:rsid w:val="00404C10"/>
    <w:rsid w:val="004249EE"/>
    <w:rsid w:val="00425C1F"/>
    <w:rsid w:val="00437C39"/>
    <w:rsid w:val="00453D4B"/>
    <w:rsid w:val="004925F6"/>
    <w:rsid w:val="004957B3"/>
    <w:rsid w:val="004B12BE"/>
    <w:rsid w:val="004B5A40"/>
    <w:rsid w:val="004D4759"/>
    <w:rsid w:val="004E0DF3"/>
    <w:rsid w:val="004F17C9"/>
    <w:rsid w:val="004F66E9"/>
    <w:rsid w:val="00502EC2"/>
    <w:rsid w:val="00504B4B"/>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A76A5"/>
    <w:rsid w:val="005B7A28"/>
    <w:rsid w:val="005D02D3"/>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063A"/>
    <w:rsid w:val="00783118"/>
    <w:rsid w:val="00794639"/>
    <w:rsid w:val="007A772C"/>
    <w:rsid w:val="007C3F63"/>
    <w:rsid w:val="007F185A"/>
    <w:rsid w:val="007F6051"/>
    <w:rsid w:val="007F6745"/>
    <w:rsid w:val="007F77F3"/>
    <w:rsid w:val="008123C5"/>
    <w:rsid w:val="00831695"/>
    <w:rsid w:val="008327EB"/>
    <w:rsid w:val="00835535"/>
    <w:rsid w:val="00845BE2"/>
    <w:rsid w:val="00863F65"/>
    <w:rsid w:val="00866FB0"/>
    <w:rsid w:val="00873A95"/>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1224"/>
    <w:rsid w:val="009F55B0"/>
    <w:rsid w:val="00A00443"/>
    <w:rsid w:val="00A106CE"/>
    <w:rsid w:val="00A2064E"/>
    <w:rsid w:val="00A22963"/>
    <w:rsid w:val="00A425B1"/>
    <w:rsid w:val="00A43A0A"/>
    <w:rsid w:val="00A52E6C"/>
    <w:rsid w:val="00A52E72"/>
    <w:rsid w:val="00A675F9"/>
    <w:rsid w:val="00A92F9F"/>
    <w:rsid w:val="00AB7184"/>
    <w:rsid w:val="00AD5430"/>
    <w:rsid w:val="00AE1DCD"/>
    <w:rsid w:val="00AE6C31"/>
    <w:rsid w:val="00B22F6F"/>
    <w:rsid w:val="00B4167E"/>
    <w:rsid w:val="00B56B1B"/>
    <w:rsid w:val="00B72218"/>
    <w:rsid w:val="00B90BA4"/>
    <w:rsid w:val="00B928FF"/>
    <w:rsid w:val="00B962E0"/>
    <w:rsid w:val="00BA0A35"/>
    <w:rsid w:val="00BA10B1"/>
    <w:rsid w:val="00BA13B7"/>
    <w:rsid w:val="00BA65B8"/>
    <w:rsid w:val="00BA76B5"/>
    <w:rsid w:val="00BC5C63"/>
    <w:rsid w:val="00BD263E"/>
    <w:rsid w:val="00BF1766"/>
    <w:rsid w:val="00C00DA2"/>
    <w:rsid w:val="00C10C79"/>
    <w:rsid w:val="00C20C51"/>
    <w:rsid w:val="00C409B9"/>
    <w:rsid w:val="00C634EC"/>
    <w:rsid w:val="00C66545"/>
    <w:rsid w:val="00C8191C"/>
    <w:rsid w:val="00C927D9"/>
    <w:rsid w:val="00CA74C5"/>
    <w:rsid w:val="00CB3785"/>
    <w:rsid w:val="00CB3DFC"/>
    <w:rsid w:val="00CB6D38"/>
    <w:rsid w:val="00CE6337"/>
    <w:rsid w:val="00CF640C"/>
    <w:rsid w:val="00D04E2D"/>
    <w:rsid w:val="00D152B1"/>
    <w:rsid w:val="00D23DCB"/>
    <w:rsid w:val="00D3320C"/>
    <w:rsid w:val="00D435A3"/>
    <w:rsid w:val="00D4562E"/>
    <w:rsid w:val="00D84293"/>
    <w:rsid w:val="00D9228E"/>
    <w:rsid w:val="00DA4BA7"/>
    <w:rsid w:val="00DB316E"/>
    <w:rsid w:val="00DC1EA8"/>
    <w:rsid w:val="00DD54BF"/>
    <w:rsid w:val="00DF643F"/>
    <w:rsid w:val="00E00B28"/>
    <w:rsid w:val="00E014DB"/>
    <w:rsid w:val="00E04EC2"/>
    <w:rsid w:val="00E066C3"/>
    <w:rsid w:val="00E14FE5"/>
    <w:rsid w:val="00E24ACA"/>
    <w:rsid w:val="00E26770"/>
    <w:rsid w:val="00E30B1D"/>
    <w:rsid w:val="00E526C7"/>
    <w:rsid w:val="00E73F9C"/>
    <w:rsid w:val="00E75E83"/>
    <w:rsid w:val="00EA63EF"/>
    <w:rsid w:val="00EA7E72"/>
    <w:rsid w:val="00EB0442"/>
    <w:rsid w:val="00EC5F03"/>
    <w:rsid w:val="00ED6231"/>
    <w:rsid w:val="00EE20A2"/>
    <w:rsid w:val="00EF3B51"/>
    <w:rsid w:val="00F06D23"/>
    <w:rsid w:val="00F36E98"/>
    <w:rsid w:val="00F52C6D"/>
    <w:rsid w:val="00F55451"/>
    <w:rsid w:val="00F73710"/>
    <w:rsid w:val="00F872E7"/>
    <w:rsid w:val="00FA4373"/>
    <w:rsid w:val="00FB09C6"/>
    <w:rsid w:val="00FB2BBD"/>
    <w:rsid w:val="00FC51EE"/>
    <w:rsid w:val="00FD7A36"/>
    <w:rsid w:val="00FD7C5F"/>
    <w:rsid w:val="00FE193C"/>
    <w:rsid w:val="00FE7DCA"/>
    <w:rsid w:val="00FF0452"/>
    <w:rsid w:val="012F41F1"/>
    <w:rsid w:val="087A716B"/>
    <w:rsid w:val="0AB8680D"/>
    <w:rsid w:val="0D892EDB"/>
    <w:rsid w:val="0EC3241C"/>
    <w:rsid w:val="0FE12B5A"/>
    <w:rsid w:val="11DD55A3"/>
    <w:rsid w:val="1468384A"/>
    <w:rsid w:val="16E66CA8"/>
    <w:rsid w:val="18422604"/>
    <w:rsid w:val="19810F0A"/>
    <w:rsid w:val="199C7AF2"/>
    <w:rsid w:val="1B124510"/>
    <w:rsid w:val="1E576B09"/>
    <w:rsid w:val="1FAD2A59"/>
    <w:rsid w:val="239674A8"/>
    <w:rsid w:val="2677791D"/>
    <w:rsid w:val="2936586D"/>
    <w:rsid w:val="2F942A1D"/>
    <w:rsid w:val="300D4E4E"/>
    <w:rsid w:val="31563F8A"/>
    <w:rsid w:val="3308111F"/>
    <w:rsid w:val="352C3FC8"/>
    <w:rsid w:val="37DA5F5D"/>
    <w:rsid w:val="3AA840F1"/>
    <w:rsid w:val="3BEB698B"/>
    <w:rsid w:val="3F6F51DD"/>
    <w:rsid w:val="404148C4"/>
    <w:rsid w:val="406E7B8B"/>
    <w:rsid w:val="42A6069F"/>
    <w:rsid w:val="4400531C"/>
    <w:rsid w:val="45717F01"/>
    <w:rsid w:val="47F6649C"/>
    <w:rsid w:val="48943F06"/>
    <w:rsid w:val="493C0826"/>
    <w:rsid w:val="49B74350"/>
    <w:rsid w:val="4B045373"/>
    <w:rsid w:val="4F6603AB"/>
    <w:rsid w:val="50C8299F"/>
    <w:rsid w:val="538911B5"/>
    <w:rsid w:val="54183C3E"/>
    <w:rsid w:val="57FC4B74"/>
    <w:rsid w:val="58AB6B4F"/>
    <w:rsid w:val="5D377F8B"/>
    <w:rsid w:val="5D720862"/>
    <w:rsid w:val="5D92680F"/>
    <w:rsid w:val="5DA87DE0"/>
    <w:rsid w:val="5EA26F25"/>
    <w:rsid w:val="5EB57DD4"/>
    <w:rsid w:val="5F4A0A51"/>
    <w:rsid w:val="631B2E02"/>
    <w:rsid w:val="64805613"/>
    <w:rsid w:val="67842BD4"/>
    <w:rsid w:val="68E41ED9"/>
    <w:rsid w:val="6EDF387E"/>
    <w:rsid w:val="72402885"/>
    <w:rsid w:val="73810469"/>
    <w:rsid w:val="747A5E3E"/>
    <w:rsid w:val="74E67714"/>
    <w:rsid w:val="74F6100E"/>
    <w:rsid w:val="760E3B60"/>
    <w:rsid w:val="77C11D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8"/>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3"/>
    <w:unhideWhenUsed/>
    <w:qFormat/>
    <w:uiPriority w:val="9"/>
    <w:pPr>
      <w:keepNext/>
      <w:keepLines/>
      <w:spacing w:before="260" w:after="260" w:line="416" w:lineRule="auto"/>
      <w:outlineLvl w:val="2"/>
    </w:pPr>
    <w:rPr>
      <w:b/>
      <w:bCs/>
      <w:sz w:val="32"/>
      <w:szCs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0"/>
    <w:unhideWhenUsed/>
    <w:qFormat/>
    <w:uiPriority w:val="99"/>
    <w:pPr>
      <w:jc w:val="left"/>
    </w:pPr>
  </w:style>
  <w:style w:type="paragraph" w:styleId="6">
    <w:name w:val="toc 3"/>
    <w:basedOn w:val="1"/>
    <w:next w:val="1"/>
    <w:autoRedefine/>
    <w:unhideWhenUsed/>
    <w:qFormat/>
    <w:uiPriority w:val="39"/>
    <w:pPr>
      <w:ind w:left="840" w:leftChars="400"/>
    </w:pPr>
  </w:style>
  <w:style w:type="paragraph" w:styleId="7">
    <w:name w:val="Date"/>
    <w:basedOn w:val="1"/>
    <w:next w:val="1"/>
    <w:link w:val="23"/>
    <w:semiHidden/>
    <w:unhideWhenUsed/>
    <w:qFormat/>
    <w:uiPriority w:val="99"/>
    <w:pPr>
      <w:ind w:left="100" w:leftChars="2500"/>
    </w:pPr>
  </w:style>
  <w:style w:type="paragraph" w:styleId="8">
    <w:name w:val="Balloon Text"/>
    <w:basedOn w:val="1"/>
    <w:link w:val="32"/>
    <w:semiHidden/>
    <w:unhideWhenUsed/>
    <w:qFormat/>
    <w:uiPriority w:val="99"/>
    <w:rPr>
      <w:sz w:val="18"/>
      <w:szCs w:val="18"/>
    </w:rPr>
  </w:style>
  <w:style w:type="paragraph" w:styleId="9">
    <w:name w:val="footer"/>
    <w:basedOn w:val="1"/>
    <w:link w:val="22"/>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1"/>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autoRedefine/>
    <w:unhideWhenUsed/>
    <w:qFormat/>
    <w:uiPriority w:val="39"/>
  </w:style>
  <w:style w:type="paragraph" w:styleId="12">
    <w:name w:val="footnote text"/>
    <w:basedOn w:val="1"/>
    <w:link w:val="25"/>
    <w:semiHidden/>
    <w:unhideWhenUsed/>
    <w:qFormat/>
    <w:uiPriority w:val="99"/>
    <w:pPr>
      <w:snapToGrid w:val="0"/>
      <w:jc w:val="left"/>
    </w:pPr>
    <w:rPr>
      <w:sz w:val="18"/>
      <w:szCs w:val="18"/>
    </w:rPr>
  </w:style>
  <w:style w:type="paragraph" w:styleId="13">
    <w:name w:val="toc 2"/>
    <w:basedOn w:val="1"/>
    <w:next w:val="1"/>
    <w:autoRedefine/>
    <w:unhideWhenUsed/>
    <w:qFormat/>
    <w:uiPriority w:val="39"/>
    <w:pPr>
      <w:ind w:left="420" w:leftChars="200"/>
    </w:pPr>
  </w:style>
  <w:style w:type="paragraph" w:styleId="14">
    <w:name w:val="annotation subject"/>
    <w:basedOn w:val="5"/>
    <w:next w:val="5"/>
    <w:link w:val="31"/>
    <w:semiHidden/>
    <w:unhideWhenUsed/>
    <w:qFormat/>
    <w:uiPriority w:val="99"/>
    <w:rPr>
      <w:b/>
      <w:bCs/>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Hyperlink"/>
    <w:basedOn w:val="17"/>
    <w:unhideWhenUsed/>
    <w:qFormat/>
    <w:uiPriority w:val="99"/>
    <w:rPr>
      <w:color w:val="0563C1" w:themeColor="hyperlink"/>
      <w:u w:val="single"/>
      <w14:textFill>
        <w14:solidFill>
          <w14:schemeClr w14:val="hlink"/>
        </w14:solidFill>
      </w14:textFill>
    </w:rPr>
  </w:style>
  <w:style w:type="character" w:styleId="19">
    <w:name w:val="annotation reference"/>
    <w:basedOn w:val="17"/>
    <w:semiHidden/>
    <w:unhideWhenUsed/>
    <w:qFormat/>
    <w:uiPriority w:val="99"/>
    <w:rPr>
      <w:sz w:val="21"/>
      <w:szCs w:val="21"/>
    </w:rPr>
  </w:style>
  <w:style w:type="character" w:styleId="20">
    <w:name w:val="footnote reference"/>
    <w:basedOn w:val="17"/>
    <w:semiHidden/>
    <w:unhideWhenUsed/>
    <w:qFormat/>
    <w:uiPriority w:val="99"/>
    <w:rPr>
      <w:vertAlign w:val="superscript"/>
    </w:rPr>
  </w:style>
  <w:style w:type="character" w:customStyle="1" w:styleId="21">
    <w:name w:val="页眉 Char"/>
    <w:basedOn w:val="17"/>
    <w:link w:val="10"/>
    <w:qFormat/>
    <w:uiPriority w:val="99"/>
    <w:rPr>
      <w:sz w:val="18"/>
      <w:szCs w:val="18"/>
    </w:rPr>
  </w:style>
  <w:style w:type="character" w:customStyle="1" w:styleId="22">
    <w:name w:val="页脚 Char"/>
    <w:basedOn w:val="17"/>
    <w:link w:val="9"/>
    <w:qFormat/>
    <w:uiPriority w:val="99"/>
    <w:rPr>
      <w:sz w:val="18"/>
      <w:szCs w:val="18"/>
    </w:rPr>
  </w:style>
  <w:style w:type="character" w:customStyle="1" w:styleId="23">
    <w:name w:val="日期 Char"/>
    <w:basedOn w:val="17"/>
    <w:link w:val="7"/>
    <w:semiHidden/>
    <w:qFormat/>
    <w:uiPriority w:val="99"/>
    <w:rPr>
      <w:rFonts w:ascii="Calibri" w:hAnsi="Calibri" w:eastAsia="仿宋_GB2312" w:cs="黑体"/>
      <w:sz w:val="28"/>
    </w:rPr>
  </w:style>
  <w:style w:type="character" w:customStyle="1" w:styleId="24">
    <w:name w:val="标题 2 Char"/>
    <w:basedOn w:val="17"/>
    <w:link w:val="3"/>
    <w:qFormat/>
    <w:uiPriority w:val="9"/>
    <w:rPr>
      <w:rFonts w:asciiTheme="majorHAnsi" w:hAnsiTheme="majorHAnsi" w:eastAsiaTheme="majorEastAsia" w:cstheme="majorBidi"/>
      <w:b/>
      <w:bCs/>
      <w:sz w:val="32"/>
      <w:szCs w:val="32"/>
    </w:rPr>
  </w:style>
  <w:style w:type="character" w:customStyle="1" w:styleId="25">
    <w:name w:val="脚注文本 Char"/>
    <w:basedOn w:val="17"/>
    <w:link w:val="12"/>
    <w:semiHidden/>
    <w:qFormat/>
    <w:uiPriority w:val="99"/>
    <w:rPr>
      <w:rFonts w:ascii="Calibri" w:hAnsi="Calibri" w:eastAsia="仿宋_GB2312" w:cs="黑体"/>
      <w:sz w:val="18"/>
      <w:szCs w:val="18"/>
    </w:rPr>
  </w:style>
  <w:style w:type="paragraph" w:styleId="26">
    <w:name w:val="List Paragraph"/>
    <w:basedOn w:val="1"/>
    <w:qFormat/>
    <w:uiPriority w:val="34"/>
    <w:pPr>
      <w:ind w:firstLine="420"/>
    </w:pPr>
  </w:style>
  <w:style w:type="table" w:customStyle="1" w:styleId="27">
    <w:name w:val="网格型1"/>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8">
    <w:name w:val="标题 1 Char"/>
    <w:basedOn w:val="17"/>
    <w:link w:val="2"/>
    <w:qFormat/>
    <w:uiPriority w:val="9"/>
    <w:rPr>
      <w:rFonts w:ascii="Calibri" w:hAnsi="Calibri" w:eastAsia="仿宋_GB2312" w:cs="黑体"/>
      <w:b/>
      <w:bCs/>
      <w:kern w:val="44"/>
      <w:sz w:val="44"/>
      <w:szCs w:val="44"/>
    </w:rPr>
  </w:style>
  <w:style w:type="paragraph" w:customStyle="1" w:styleId="29">
    <w:name w:val="TOC Heading"/>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0">
    <w:name w:val="批注文字 Char"/>
    <w:basedOn w:val="17"/>
    <w:link w:val="5"/>
    <w:qFormat/>
    <w:uiPriority w:val="99"/>
    <w:rPr>
      <w:rFonts w:ascii="Calibri" w:hAnsi="Calibri" w:eastAsia="仿宋_GB2312" w:cs="黑体"/>
      <w:sz w:val="28"/>
    </w:rPr>
  </w:style>
  <w:style w:type="character" w:customStyle="1" w:styleId="31">
    <w:name w:val="批注主题 Char"/>
    <w:basedOn w:val="30"/>
    <w:link w:val="14"/>
    <w:semiHidden/>
    <w:qFormat/>
    <w:uiPriority w:val="99"/>
    <w:rPr>
      <w:rFonts w:ascii="Calibri" w:hAnsi="Calibri" w:eastAsia="仿宋_GB2312" w:cs="黑体"/>
      <w:b/>
      <w:bCs/>
      <w:sz w:val="28"/>
    </w:rPr>
  </w:style>
  <w:style w:type="character" w:customStyle="1" w:styleId="32">
    <w:name w:val="批注框文本 Char"/>
    <w:basedOn w:val="17"/>
    <w:link w:val="8"/>
    <w:semiHidden/>
    <w:qFormat/>
    <w:uiPriority w:val="99"/>
    <w:rPr>
      <w:rFonts w:ascii="Calibri" w:hAnsi="Calibri" w:eastAsia="仿宋_GB2312" w:cs="黑体"/>
      <w:sz w:val="18"/>
      <w:szCs w:val="18"/>
    </w:rPr>
  </w:style>
  <w:style w:type="character" w:customStyle="1" w:styleId="33">
    <w:name w:val="标题 3 Char"/>
    <w:basedOn w:val="17"/>
    <w:link w:val="4"/>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numbering" Target="numbering.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DC64C6-6D82-4509-A38E-7086C5C6E9CC}">
  <ds:schemaRefs/>
</ds:datastoreItem>
</file>

<file path=docProps/app.xml><?xml version="1.0" encoding="utf-8"?>
<Properties xmlns="http://schemas.openxmlformats.org/officeDocument/2006/extended-properties" xmlns:vt="http://schemas.openxmlformats.org/officeDocument/2006/docPropsVTypes">
  <Template>Normal</Template>
  <Pages>30</Pages>
  <Words>12171</Words>
  <Characters>12561</Characters>
  <Lines>82</Lines>
  <Paragraphs>23</Paragraphs>
  <TotalTime>11</TotalTime>
  <ScaleCrop>false</ScaleCrop>
  <LinksUpToDate>false</LinksUpToDate>
  <CharactersWithSpaces>12633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2024-04-12T07:46:00Z</dcterms:created>
  <dc:creator>张 宇</dc:creator>
  <cp:lastModifiedBy>章鱼儿。</cp:lastModifiedBy>
  <cp:lastPrinted>2023-04-11T02:57:00Z</cp:lastPrinted>
  <dcterms:modified xsi:type="dcterms:W3CDTF">2025-09-08T09:14:19Z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eyJoZGlkIjoiYTdkOTAxYzVlZGEzZTdiMmFmZjJjYTMzYjhlOTJkMTciLCJ1c2VySWQiOiIzNzMxNjM2NTYifQ==</vt:lpwstr>
  </property>
  <property fmtid="{D5CDD505-2E9C-101B-9397-08002B2CF9AE}" pid="3" name="KSOProductBuildVer">
    <vt:lpwstr>2052-12.1.0.22529</vt:lpwstr>
  </property>
  <property fmtid="{D5CDD505-2E9C-101B-9397-08002B2CF9AE}" pid="4" name="ICV">
    <vt:lpwstr>1BD70F42BA294DAFA807F339017E2D97_12</vt:lpwstr>
  </property>
</Properties>
</file>