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ascii="仿宋_GB2312" w:hAnsi="Arial"/>
          <w:b/>
          <w:color w:val="auto"/>
          <w:sz w:val="44"/>
          <w:szCs w:val="44"/>
          <w:highlight w:val="none"/>
        </w:rPr>
      </w:pPr>
      <w:r>
        <w:rPr>
          <w:rFonts w:hint="eastAsia" w:ascii="仿宋_GB2312" w:hAnsi="Arial"/>
          <w:b/>
          <w:color w:val="auto"/>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仿宋_GB2312" w:hAnsi="Times New Roman" w:cs="Times New Roman"/>
          <w:color w:val="auto"/>
          <w:kern w:val="0"/>
          <w:sz w:val="30"/>
          <w:szCs w:val="30"/>
          <w:highlight w:val="none"/>
          <w:lang w:bidi="en-US"/>
        </w:rPr>
      </w:pPr>
    </w:p>
    <w:p>
      <w:pPr>
        <w:spacing w:line="480" w:lineRule="auto"/>
        <w:ind w:firstLine="1411" w:firstLineChars="441"/>
        <w:jc w:val="left"/>
        <w:rPr>
          <w:rFonts w:hint="eastAsia"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项目名称：2023年血透方舱建设项目</w:t>
      </w:r>
      <w:r>
        <w:rPr>
          <w:rFonts w:hint="eastAsia" w:ascii="仿宋_GB2312" w:hAnsi="Times New Roman" w:cs="Times New Roman"/>
          <w:color w:val="auto"/>
          <w:kern w:val="0"/>
          <w:sz w:val="32"/>
          <w:szCs w:val="32"/>
          <w:highlight w:val="none"/>
          <w:lang w:eastAsia="zh-CN" w:bidi="en-US"/>
        </w:rPr>
        <w:t>（</w:t>
      </w:r>
      <w:r>
        <w:rPr>
          <w:rFonts w:hint="eastAsia" w:ascii="仿宋_GB2312" w:hAnsi="Times New Roman" w:cs="Times New Roman"/>
          <w:color w:val="auto"/>
          <w:kern w:val="0"/>
          <w:sz w:val="32"/>
          <w:szCs w:val="32"/>
          <w:highlight w:val="none"/>
          <w:lang w:bidi="en-US"/>
        </w:rPr>
        <w:t>上年结转资金</w:t>
      </w:r>
      <w:r>
        <w:rPr>
          <w:rFonts w:hint="eastAsia" w:ascii="仿宋_GB2312" w:hAnsi="Times New Roman" w:cs="Times New Roman"/>
          <w:color w:val="auto"/>
          <w:kern w:val="0"/>
          <w:sz w:val="32"/>
          <w:szCs w:val="32"/>
          <w:highlight w:val="none"/>
          <w:lang w:eastAsia="zh-CN" w:bidi="en-US"/>
        </w:rPr>
        <w:t>）</w:t>
      </w:r>
    </w:p>
    <w:p>
      <w:pPr>
        <w:spacing w:line="480" w:lineRule="auto"/>
        <w:ind w:left="280" w:leftChars="100" w:firstLine="1091" w:firstLineChars="341"/>
        <w:jc w:val="left"/>
        <w:rPr>
          <w:rFonts w:hint="eastAsia" w:ascii="仿宋_GB2312" w:hAnsi="Times New Roman" w:eastAsia="仿宋_GB2312" w:cs="Times New Roman"/>
          <w:color w:val="auto"/>
          <w:kern w:val="0"/>
          <w:sz w:val="32"/>
          <w:szCs w:val="32"/>
          <w:highlight w:val="none"/>
          <w:lang w:val="en-US" w:eastAsia="zh-CN" w:bidi="en-US"/>
        </w:rPr>
      </w:pPr>
      <w:r>
        <w:rPr>
          <w:rFonts w:hint="eastAsia" w:ascii="仿宋_GB2312" w:hAnsi="Times New Roman" w:cs="Times New Roman"/>
          <w:color w:val="auto"/>
          <w:kern w:val="0"/>
          <w:sz w:val="32"/>
          <w:szCs w:val="32"/>
          <w:highlight w:val="none"/>
          <w:lang w:bidi="en-US"/>
        </w:rPr>
        <w:t>项目单位：</w:t>
      </w:r>
      <w:r>
        <w:rPr>
          <w:rFonts w:hint="eastAsia" w:ascii="仿宋_GB2312" w:hAnsi="Times New Roman" w:cs="Times New Roman"/>
          <w:color w:val="auto"/>
          <w:kern w:val="0"/>
          <w:sz w:val="32"/>
          <w:szCs w:val="32"/>
          <w:highlight w:val="none"/>
          <w:lang w:eastAsia="zh-CN" w:bidi="en-US"/>
        </w:rPr>
        <w:t>乌鲁木齐国际医院</w:t>
      </w:r>
    </w:p>
    <w:p>
      <w:pPr>
        <w:spacing w:line="480" w:lineRule="auto"/>
        <w:ind w:left="280" w:leftChars="100" w:firstLine="1091" w:firstLineChars="341"/>
        <w:jc w:val="left"/>
        <w:rPr>
          <w:rFonts w:hint="eastAsia" w:ascii="仿宋_GB2312" w:hAnsi="Times New Roman" w:cs="Times New Roman"/>
          <w:color w:val="auto"/>
          <w:kern w:val="0"/>
          <w:sz w:val="32"/>
          <w:szCs w:val="32"/>
          <w:highlight w:val="none"/>
          <w:lang w:eastAsia="zh-CN" w:bidi="en-US"/>
        </w:rPr>
      </w:pPr>
      <w:r>
        <w:rPr>
          <w:rFonts w:hint="eastAsia" w:ascii="仿宋_GB2312" w:hAnsi="Times New Roman" w:cs="Times New Roman"/>
          <w:color w:val="auto"/>
          <w:kern w:val="0"/>
          <w:sz w:val="32"/>
          <w:szCs w:val="32"/>
          <w:highlight w:val="none"/>
          <w:lang w:bidi="en-US"/>
        </w:rPr>
        <w:t>主管部门：</w:t>
      </w:r>
      <w:r>
        <w:rPr>
          <w:rFonts w:hint="eastAsia" w:ascii="仿宋_GB2312" w:hAnsi="Times New Roman" w:cs="Times New Roman"/>
          <w:color w:val="auto"/>
          <w:kern w:val="0"/>
          <w:sz w:val="32"/>
          <w:szCs w:val="32"/>
          <w:highlight w:val="none"/>
          <w:lang w:eastAsia="zh-CN" w:bidi="en-US"/>
        </w:rPr>
        <w:t>乌鲁木齐市卫生健康委员会</w:t>
      </w:r>
    </w:p>
    <w:p>
      <w:pPr>
        <w:spacing w:line="480" w:lineRule="auto"/>
        <w:ind w:left="280" w:leftChars="100" w:firstLine="1091" w:firstLineChars="341"/>
        <w:jc w:val="left"/>
        <w:rPr>
          <w:rFonts w:hint="eastAsia" w:ascii="仿宋_GB2312" w:hAnsi="Times New Roman" w:cs="Times New Roman"/>
          <w:color w:val="auto"/>
          <w:kern w:val="0"/>
          <w:sz w:val="32"/>
          <w:szCs w:val="32"/>
          <w:highlight w:val="none"/>
          <w:lang w:eastAsia="zh-CN" w:bidi="en-US"/>
        </w:rPr>
      </w:pPr>
    </w:p>
    <w:p>
      <w:pPr>
        <w:spacing w:line="480" w:lineRule="auto"/>
        <w:ind w:firstLine="1411" w:firstLineChars="441"/>
        <w:jc w:val="left"/>
        <w:rPr>
          <w:rFonts w:ascii="仿宋_GB2312" w:hAnsi="Times New Roman" w:cs="Times New Roman"/>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jc w:val="center"/>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eastAsia="zh-CN" w:bidi="en-US"/>
        </w:rPr>
        <w:t>2024年4月</w:t>
      </w:r>
    </w:p>
    <w:p>
      <w:pPr>
        <w:spacing w:line="480" w:lineRule="auto"/>
        <w:ind w:firstLine="0" w:firstLineChars="0"/>
        <w:jc w:val="center"/>
        <w:rPr>
          <w:rFonts w:ascii="仿宋_GB2312" w:hAnsi="Times New Roman" w:cs="Times New Roman"/>
          <w:color w:val="auto"/>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auto"/>
          <w:kern w:val="0"/>
          <w:sz w:val="32"/>
          <w:szCs w:val="32"/>
          <w:highlight w:val="none"/>
          <w:lang w:bidi="en-US"/>
        </w:rPr>
      </w:pPr>
      <w:r>
        <w:rPr>
          <w:rFonts w:ascii="仿宋_GB2312" w:hAnsi="Times New Roman" w:cs="Times New Roman"/>
          <w:color w:val="auto"/>
          <w:kern w:val="0"/>
          <w:sz w:val="32"/>
          <w:szCs w:val="32"/>
          <w:highlight w:val="none"/>
          <w:lang w:bidi="en-US"/>
        </w:rPr>
        <w:tab/>
      </w:r>
    </w:p>
    <w:p>
      <w:pPr>
        <w:ind w:firstLine="640"/>
        <w:rPr>
          <w:rFonts w:ascii="仿宋_GB2312" w:hAnsi="Times New Roman" w:cs="Times New Roman"/>
          <w:color w:val="auto"/>
          <w:kern w:val="0"/>
          <w:sz w:val="32"/>
          <w:szCs w:val="32"/>
          <w:highlight w:val="none"/>
          <w:lang w:bidi="en-US"/>
        </w:rPr>
      </w:pPr>
    </w:p>
    <w:sdt>
      <w:sdtPr>
        <w:rPr>
          <w:rFonts w:ascii="Calibri" w:hAnsi="Calibri" w:eastAsia="仿宋_GB2312" w:cs="黑体"/>
          <w:color w:val="auto"/>
          <w:kern w:val="2"/>
          <w:sz w:val="28"/>
          <w:szCs w:val="22"/>
          <w:highlight w:val="none"/>
          <w:lang w:val="zh-CN"/>
        </w:rPr>
        <w:id w:val="-1"/>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31"/>
            <w:ind w:firstLine="560"/>
            <w:jc w:val="center"/>
            <w:rPr>
              <w:color w:val="auto"/>
              <w:highlight w:val="none"/>
            </w:rPr>
          </w:pPr>
          <w:r>
            <w:rPr>
              <w:color w:val="auto"/>
              <w:highlight w:val="none"/>
              <w:lang w:val="zh-CN"/>
            </w:rPr>
            <w:t>目录</w:t>
          </w:r>
        </w:p>
        <w:p>
          <w:pPr>
            <w:pStyle w:val="11"/>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TOC \o "1-3" \h \z \u</w:instrText>
          </w:r>
          <w:r>
            <w:rPr>
              <w:color w:val="auto"/>
              <w:highlight w:val="none"/>
            </w:rPr>
            <w:fldChar w:fldCharType="separate"/>
          </w:r>
          <w:r>
            <w:fldChar w:fldCharType="begin"/>
          </w:r>
          <w:r>
            <w:instrText xml:space="preserve"> HYPERLINK \l "_Toc165277220"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一、基本情况</w:t>
          </w:r>
          <w:r>
            <w:rPr>
              <w:color w:val="auto"/>
              <w:highlight w:val="none"/>
            </w:rPr>
            <w:tab/>
          </w:r>
          <w:r>
            <w:rPr>
              <w:color w:val="auto"/>
              <w:highlight w:val="none"/>
            </w:rPr>
            <w:fldChar w:fldCharType="begin"/>
          </w:r>
          <w:r>
            <w:rPr>
              <w:color w:val="auto"/>
              <w:highlight w:val="none"/>
            </w:rPr>
            <w:instrText xml:space="preserve"> PAGEREF _Toc165277220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"_Toc165277221"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（一）项目概况：</w:t>
          </w:r>
          <w:r>
            <w:rPr>
              <w:color w:val="auto"/>
              <w:highlight w:val="none"/>
            </w:rPr>
            <w:tab/>
          </w:r>
          <w:r>
            <w:rPr>
              <w:color w:val="auto"/>
              <w:highlight w:val="none"/>
            </w:rPr>
            <w:fldChar w:fldCharType="begin"/>
          </w:r>
          <w:r>
            <w:rPr>
              <w:color w:val="auto"/>
              <w:highlight w:val="none"/>
            </w:rPr>
            <w:instrText xml:space="preserve"> PAGEREF _Toc165277221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"_Toc165277222"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．项目背景、主要内容及实施情况</w:t>
          </w:r>
          <w:r>
            <w:rPr>
              <w:color w:val="auto"/>
              <w:highlight w:val="none"/>
            </w:rPr>
            <w:tab/>
          </w:r>
          <w:r>
            <w:rPr>
              <w:color w:val="auto"/>
              <w:highlight w:val="none"/>
            </w:rPr>
            <w:fldChar w:fldCharType="begin"/>
          </w:r>
          <w:r>
            <w:rPr>
              <w:color w:val="auto"/>
              <w:highlight w:val="none"/>
            </w:rPr>
            <w:instrText xml:space="preserve"> PAGEREF _Toc165277222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"_Toc165277223"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资金投入和使用情况</w:t>
          </w:r>
          <w:r>
            <w:rPr>
              <w:color w:val="auto"/>
              <w:highlight w:val="none"/>
            </w:rPr>
            <w:tab/>
          </w:r>
          <w:r>
            <w:rPr>
              <w:color w:val="auto"/>
              <w:highlight w:val="none"/>
            </w:rPr>
            <w:fldChar w:fldCharType="begin"/>
          </w:r>
          <w:r>
            <w:rPr>
              <w:color w:val="auto"/>
              <w:highlight w:val="none"/>
            </w:rPr>
            <w:instrText xml:space="preserve"> PAGEREF _Toc165277223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"_Toc165277224"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（二）项目绩效目标：</w:t>
          </w:r>
          <w:r>
            <w:rPr>
              <w:color w:val="auto"/>
              <w:highlight w:val="none"/>
            </w:rPr>
            <w:tab/>
          </w:r>
          <w:r>
            <w:rPr>
              <w:color w:val="auto"/>
              <w:highlight w:val="none"/>
            </w:rPr>
            <w:fldChar w:fldCharType="begin"/>
          </w:r>
          <w:r>
            <w:rPr>
              <w:color w:val="auto"/>
              <w:highlight w:val="none"/>
            </w:rPr>
            <w:instrText xml:space="preserve"> PAGEREF _Toc165277224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"_Toc165277225"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二、绩效评价工作开展情况</w:t>
          </w:r>
          <w:r>
            <w:rPr>
              <w:color w:val="auto"/>
              <w:highlight w:val="none"/>
            </w:rPr>
            <w:tab/>
          </w:r>
          <w:r>
            <w:rPr>
              <w:color w:val="auto"/>
              <w:highlight w:val="none"/>
            </w:rPr>
            <w:fldChar w:fldCharType="begin"/>
          </w:r>
          <w:r>
            <w:rPr>
              <w:color w:val="auto"/>
              <w:highlight w:val="none"/>
            </w:rPr>
            <w:instrText xml:space="preserve"> PAGEREF _Toc165277225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"_Toc165277226"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（一）绩效评价目的、对象和范围</w:t>
          </w:r>
          <w:r>
            <w:rPr>
              <w:color w:val="auto"/>
              <w:highlight w:val="none"/>
            </w:rPr>
            <w:tab/>
          </w:r>
          <w:r>
            <w:rPr>
              <w:color w:val="auto"/>
              <w:highlight w:val="none"/>
            </w:rPr>
            <w:fldChar w:fldCharType="begin"/>
          </w:r>
          <w:r>
            <w:rPr>
              <w:color w:val="auto"/>
              <w:highlight w:val="none"/>
            </w:rPr>
            <w:instrText xml:space="preserve"> PAGEREF _Toc165277226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"_Toc165277227"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绩效评价完整性</w:t>
          </w:r>
          <w:r>
            <w:rPr>
              <w:color w:val="auto"/>
              <w:highlight w:val="none"/>
            </w:rPr>
            <w:tab/>
          </w:r>
          <w:r>
            <w:rPr>
              <w:color w:val="auto"/>
              <w:highlight w:val="none"/>
            </w:rPr>
            <w:fldChar w:fldCharType="begin"/>
          </w:r>
          <w:r>
            <w:rPr>
              <w:color w:val="auto"/>
              <w:highlight w:val="none"/>
            </w:rPr>
            <w:instrText xml:space="preserve"> PAGEREF _Toc165277227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"_Toc165277228"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评价目的</w:t>
          </w:r>
          <w:r>
            <w:rPr>
              <w:color w:val="auto"/>
              <w:highlight w:val="none"/>
            </w:rPr>
            <w:tab/>
          </w:r>
          <w:r>
            <w:rPr>
              <w:color w:val="auto"/>
              <w:highlight w:val="none"/>
            </w:rPr>
            <w:fldChar w:fldCharType="begin"/>
          </w:r>
          <w:r>
            <w:rPr>
              <w:color w:val="auto"/>
              <w:highlight w:val="none"/>
            </w:rPr>
            <w:instrText xml:space="preserve"> PAGEREF _Toc165277228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"_Toc165277229" </w:instrText>
          </w:r>
          <w:r>
            <w:fldChar w:fldCharType="separate"/>
          </w:r>
          <w:r>
            <w:rPr>
              <w:rStyle w:val="18"/>
              <w:color w:val="0563C1" w:themeColor="hyperlink"/>
              <w:highlight w:val="none"/>
              <w14:textFill>
                <w14:solidFill>
                  <w14:schemeClr w14:val="hlink"/>
                </w14:solidFill>
              </w14:textFill>
            </w:rPr>
            <w:t>3.</w:t>
          </w:r>
          <w:r>
            <w:rPr>
              <w:rStyle w:val="18"/>
              <w:rFonts w:hint="eastAsia"/>
              <w:color w:val="0563C1" w:themeColor="hyperlink"/>
              <w:highlight w:val="none"/>
              <w14:textFill>
                <w14:solidFill>
                  <w14:schemeClr w14:val="hlink"/>
                </w14:solidFill>
              </w14:textFill>
            </w:rPr>
            <w:t>评价对象</w:t>
          </w:r>
          <w:r>
            <w:rPr>
              <w:color w:val="auto"/>
              <w:highlight w:val="none"/>
            </w:rPr>
            <w:tab/>
          </w:r>
          <w:r>
            <w:rPr>
              <w:color w:val="auto"/>
              <w:highlight w:val="none"/>
            </w:rPr>
            <w:fldChar w:fldCharType="begin"/>
          </w:r>
          <w:r>
            <w:rPr>
              <w:color w:val="auto"/>
              <w:highlight w:val="none"/>
            </w:rPr>
            <w:instrText xml:space="preserve"> PAGEREF _Toc165277229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"_Toc165277230" </w:instrText>
          </w:r>
          <w:r>
            <w:fldChar w:fldCharType="separate"/>
          </w:r>
          <w:r>
            <w:rPr>
              <w:rStyle w:val="18"/>
              <w:color w:val="0563C1" w:themeColor="hyperlink"/>
              <w:highlight w:val="none"/>
              <w14:textFill>
                <w14:solidFill>
                  <w14:schemeClr w14:val="hlink"/>
                </w14:solidFill>
              </w14:textFill>
            </w:rPr>
            <w:t>4.</w:t>
          </w:r>
          <w:r>
            <w:rPr>
              <w:rStyle w:val="18"/>
              <w:rFonts w:hint="eastAsia"/>
              <w:color w:val="0563C1" w:themeColor="hyperlink"/>
              <w:highlight w:val="none"/>
              <w14:textFill>
                <w14:solidFill>
                  <w14:schemeClr w14:val="hlink"/>
                </w14:solidFill>
              </w14:textFill>
            </w:rPr>
            <w:t>绩效评价范围</w:t>
          </w:r>
          <w:r>
            <w:rPr>
              <w:color w:val="auto"/>
              <w:highlight w:val="none"/>
            </w:rPr>
            <w:tab/>
          </w:r>
          <w:r>
            <w:rPr>
              <w:color w:val="auto"/>
              <w:highlight w:val="none"/>
            </w:rPr>
            <w:fldChar w:fldCharType="begin"/>
          </w:r>
          <w:r>
            <w:rPr>
              <w:color w:val="auto"/>
              <w:highlight w:val="none"/>
            </w:rPr>
            <w:instrText xml:space="preserve"> PAGEREF _Toc165277230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"_Toc165277231"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（二）绩效评价原则、指标体系、方法及标准</w:t>
          </w:r>
          <w:r>
            <w:rPr>
              <w:color w:val="auto"/>
              <w:highlight w:val="none"/>
            </w:rPr>
            <w:tab/>
          </w:r>
          <w:r>
            <w:rPr>
              <w:color w:val="auto"/>
              <w:highlight w:val="none"/>
            </w:rPr>
            <w:fldChar w:fldCharType="begin"/>
          </w:r>
          <w:r>
            <w:rPr>
              <w:color w:val="auto"/>
              <w:highlight w:val="none"/>
            </w:rPr>
            <w:instrText xml:space="preserve"> PAGEREF _Toc165277231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"_Toc165277232"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评价原则</w:t>
          </w:r>
          <w:r>
            <w:rPr>
              <w:color w:val="auto"/>
              <w:highlight w:val="none"/>
            </w:rPr>
            <w:tab/>
          </w:r>
          <w:r>
            <w:rPr>
              <w:color w:val="auto"/>
              <w:highlight w:val="none"/>
            </w:rPr>
            <w:fldChar w:fldCharType="begin"/>
          </w:r>
          <w:r>
            <w:rPr>
              <w:color w:val="auto"/>
              <w:highlight w:val="none"/>
            </w:rPr>
            <w:instrText xml:space="preserve"> PAGEREF _Toc165277232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"_Toc165277233"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评价指标体系</w:t>
          </w:r>
          <w:r>
            <w:rPr>
              <w:color w:val="auto"/>
              <w:highlight w:val="none"/>
            </w:rPr>
            <w:tab/>
          </w:r>
          <w:r>
            <w:rPr>
              <w:color w:val="auto"/>
              <w:highlight w:val="none"/>
            </w:rPr>
            <w:fldChar w:fldCharType="begin"/>
          </w:r>
          <w:r>
            <w:rPr>
              <w:color w:val="auto"/>
              <w:highlight w:val="none"/>
            </w:rPr>
            <w:instrText xml:space="preserve"> PAGEREF _Toc165277233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"_Toc165277234" </w:instrText>
          </w:r>
          <w:r>
            <w:fldChar w:fldCharType="separate"/>
          </w:r>
          <w:r>
            <w:rPr>
              <w:rStyle w:val="18"/>
              <w:color w:val="0563C1" w:themeColor="hyperlink"/>
              <w:highlight w:val="none"/>
              <w14:textFill>
                <w14:solidFill>
                  <w14:schemeClr w14:val="hlink"/>
                </w14:solidFill>
              </w14:textFill>
            </w:rPr>
            <w:t>3.</w:t>
          </w:r>
          <w:r>
            <w:rPr>
              <w:rStyle w:val="18"/>
              <w:rFonts w:hint="eastAsia"/>
              <w:color w:val="0563C1" w:themeColor="hyperlink"/>
              <w:highlight w:val="none"/>
              <w14:textFill>
                <w14:solidFill>
                  <w14:schemeClr w14:val="hlink"/>
                </w14:solidFill>
              </w14:textFill>
            </w:rPr>
            <w:t>评价方法</w:t>
          </w:r>
          <w:r>
            <w:rPr>
              <w:color w:val="auto"/>
              <w:highlight w:val="none"/>
            </w:rPr>
            <w:tab/>
          </w:r>
          <w:r>
            <w:rPr>
              <w:color w:val="auto"/>
              <w:highlight w:val="none"/>
            </w:rPr>
            <w:fldChar w:fldCharType="begin"/>
          </w:r>
          <w:r>
            <w:rPr>
              <w:color w:val="auto"/>
              <w:highlight w:val="none"/>
            </w:rPr>
            <w:instrText xml:space="preserve"> PAGEREF _Toc165277234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"_Toc165277235" </w:instrText>
          </w:r>
          <w:r>
            <w:fldChar w:fldCharType="separate"/>
          </w:r>
          <w:r>
            <w:rPr>
              <w:rStyle w:val="18"/>
              <w:color w:val="0563C1" w:themeColor="hyperlink"/>
              <w:highlight w:val="none"/>
              <w14:textFill>
                <w14:solidFill>
                  <w14:schemeClr w14:val="hlink"/>
                </w14:solidFill>
              </w14:textFill>
            </w:rPr>
            <w:t>4.</w:t>
          </w:r>
          <w:r>
            <w:rPr>
              <w:rStyle w:val="18"/>
              <w:rFonts w:hint="eastAsia"/>
              <w:color w:val="0563C1" w:themeColor="hyperlink"/>
              <w:highlight w:val="none"/>
              <w14:textFill>
                <w14:solidFill>
                  <w14:schemeClr w14:val="hlink"/>
                </w14:solidFill>
              </w14:textFill>
            </w:rPr>
            <w:t>评价标准</w:t>
          </w:r>
          <w:r>
            <w:rPr>
              <w:color w:val="auto"/>
              <w:highlight w:val="none"/>
            </w:rPr>
            <w:tab/>
          </w:r>
          <w:r>
            <w:rPr>
              <w:color w:val="auto"/>
              <w:highlight w:val="none"/>
            </w:rPr>
            <w:fldChar w:fldCharType="begin"/>
          </w:r>
          <w:r>
            <w:rPr>
              <w:color w:val="auto"/>
              <w:highlight w:val="none"/>
            </w:rPr>
            <w:instrText xml:space="preserve"> PAGEREF _Toc165277235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"_Toc165277236"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（三）绩效评价工作过程</w:t>
          </w:r>
          <w:r>
            <w:rPr>
              <w:color w:val="auto"/>
              <w:highlight w:val="none"/>
            </w:rPr>
            <w:tab/>
          </w:r>
          <w:r>
            <w:rPr>
              <w:color w:val="auto"/>
              <w:highlight w:val="none"/>
            </w:rPr>
            <w:fldChar w:fldCharType="begin"/>
          </w:r>
          <w:r>
            <w:rPr>
              <w:color w:val="auto"/>
              <w:highlight w:val="none"/>
            </w:rPr>
            <w:instrText xml:space="preserve"> PAGEREF _Toc165277236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"_Toc165277237"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三、综合评价情况及评价结论</w:t>
          </w:r>
          <w:r>
            <w:rPr>
              <w:color w:val="auto"/>
              <w:highlight w:val="none"/>
            </w:rPr>
            <w:tab/>
          </w:r>
          <w:r>
            <w:rPr>
              <w:color w:val="auto"/>
              <w:highlight w:val="none"/>
            </w:rPr>
            <w:fldChar w:fldCharType="begin"/>
          </w:r>
          <w:r>
            <w:rPr>
              <w:color w:val="auto"/>
              <w:highlight w:val="none"/>
            </w:rPr>
            <w:instrText xml:space="preserve"> PAGEREF _Toc165277237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"_Toc165277238"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（一）评价结论</w:t>
          </w:r>
          <w:r>
            <w:rPr>
              <w:color w:val="auto"/>
              <w:highlight w:val="none"/>
            </w:rPr>
            <w:tab/>
          </w:r>
          <w:r>
            <w:rPr>
              <w:color w:val="auto"/>
              <w:highlight w:val="none"/>
            </w:rPr>
            <w:fldChar w:fldCharType="begin"/>
          </w:r>
          <w:r>
            <w:rPr>
              <w:color w:val="auto"/>
              <w:highlight w:val="none"/>
            </w:rPr>
            <w:instrText xml:space="preserve"> PAGEREF _Toc165277238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"_Toc165277239"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（二）主要绩效</w:t>
          </w:r>
          <w:r>
            <w:rPr>
              <w:color w:val="auto"/>
              <w:highlight w:val="none"/>
            </w:rPr>
            <w:tab/>
          </w:r>
          <w:r>
            <w:rPr>
              <w:color w:val="auto"/>
              <w:highlight w:val="none"/>
            </w:rPr>
            <w:fldChar w:fldCharType="begin"/>
          </w:r>
          <w:r>
            <w:rPr>
              <w:color w:val="auto"/>
              <w:highlight w:val="none"/>
            </w:rPr>
            <w:instrText xml:space="preserve"> PAGEREF _Toc165277239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"_Toc165277240"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四、绩效评价指标分析</w:t>
          </w:r>
          <w:r>
            <w:rPr>
              <w:color w:val="auto"/>
              <w:highlight w:val="none"/>
            </w:rPr>
            <w:tab/>
          </w:r>
          <w:r>
            <w:rPr>
              <w:color w:val="auto"/>
              <w:highlight w:val="none"/>
            </w:rPr>
            <w:fldChar w:fldCharType="begin"/>
          </w:r>
          <w:r>
            <w:rPr>
              <w:color w:val="auto"/>
              <w:highlight w:val="none"/>
            </w:rPr>
            <w:instrText xml:space="preserve"> PAGEREF _Toc165277240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"_Toc165277241"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（一）项目决策情况</w:t>
          </w:r>
          <w:r>
            <w:rPr>
              <w:color w:val="auto"/>
              <w:highlight w:val="none"/>
            </w:rPr>
            <w:tab/>
          </w:r>
          <w:r>
            <w:rPr>
              <w:color w:val="auto"/>
              <w:highlight w:val="none"/>
            </w:rPr>
            <w:fldChar w:fldCharType="begin"/>
          </w:r>
          <w:r>
            <w:rPr>
              <w:color w:val="auto"/>
              <w:highlight w:val="none"/>
            </w:rPr>
            <w:instrText xml:space="preserve"> PAGEREF _Toc165277241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"_Toc165277242"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项目立项</w:t>
          </w:r>
          <w:r>
            <w:rPr>
              <w:color w:val="auto"/>
              <w:highlight w:val="none"/>
            </w:rPr>
            <w:tab/>
          </w:r>
          <w:r>
            <w:rPr>
              <w:color w:val="auto"/>
              <w:highlight w:val="none"/>
            </w:rPr>
            <w:fldChar w:fldCharType="begin"/>
          </w:r>
          <w:r>
            <w:rPr>
              <w:color w:val="auto"/>
              <w:highlight w:val="none"/>
            </w:rPr>
            <w:instrText xml:space="preserve"> PAGEREF _Toc165277242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"_Toc165277243"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绩效目标</w:t>
          </w:r>
          <w:r>
            <w:rPr>
              <w:color w:val="auto"/>
              <w:highlight w:val="none"/>
            </w:rPr>
            <w:tab/>
          </w:r>
          <w:r>
            <w:rPr>
              <w:color w:val="auto"/>
              <w:highlight w:val="none"/>
            </w:rPr>
            <w:fldChar w:fldCharType="begin"/>
          </w:r>
          <w:r>
            <w:rPr>
              <w:color w:val="auto"/>
              <w:highlight w:val="none"/>
            </w:rPr>
            <w:instrText xml:space="preserve"> PAGEREF _Toc165277243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"_Toc165277244" </w:instrText>
          </w:r>
          <w:r>
            <w:fldChar w:fldCharType="separate"/>
          </w:r>
          <w:r>
            <w:rPr>
              <w:rStyle w:val="18"/>
              <w:color w:val="0563C1" w:themeColor="hyperlink"/>
              <w:highlight w:val="none"/>
              <w14:textFill>
                <w14:solidFill>
                  <w14:schemeClr w14:val="hlink"/>
                </w14:solidFill>
              </w14:textFill>
            </w:rPr>
            <w:t>3.</w:t>
          </w:r>
          <w:r>
            <w:rPr>
              <w:rStyle w:val="18"/>
              <w:rFonts w:hint="eastAsia"/>
              <w:color w:val="0563C1" w:themeColor="hyperlink"/>
              <w:highlight w:val="none"/>
              <w14:textFill>
                <w14:solidFill>
                  <w14:schemeClr w14:val="hlink"/>
                </w14:solidFill>
              </w14:textFill>
            </w:rPr>
            <w:t>资金投入</w:t>
          </w:r>
          <w:r>
            <w:rPr>
              <w:color w:val="auto"/>
              <w:highlight w:val="none"/>
            </w:rPr>
            <w:tab/>
          </w:r>
          <w:r>
            <w:rPr>
              <w:color w:val="auto"/>
              <w:highlight w:val="none"/>
            </w:rPr>
            <w:fldChar w:fldCharType="begin"/>
          </w:r>
          <w:r>
            <w:rPr>
              <w:color w:val="auto"/>
              <w:highlight w:val="none"/>
            </w:rPr>
            <w:instrText xml:space="preserve"> PAGEREF _Toc165277244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"_Toc165277245"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（二）项目过程情况</w:t>
          </w:r>
          <w:r>
            <w:rPr>
              <w:color w:val="auto"/>
              <w:highlight w:val="none"/>
            </w:rPr>
            <w:tab/>
          </w:r>
          <w:r>
            <w:rPr>
              <w:color w:val="auto"/>
              <w:highlight w:val="none"/>
            </w:rPr>
            <w:fldChar w:fldCharType="begin"/>
          </w:r>
          <w:r>
            <w:rPr>
              <w:color w:val="auto"/>
              <w:highlight w:val="none"/>
            </w:rPr>
            <w:instrText xml:space="preserve"> PAGEREF _Toc165277245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"_Toc165277246"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资金管理</w:t>
          </w:r>
          <w:r>
            <w:rPr>
              <w:color w:val="auto"/>
              <w:highlight w:val="none"/>
            </w:rPr>
            <w:tab/>
          </w:r>
          <w:r>
            <w:rPr>
              <w:color w:val="auto"/>
              <w:highlight w:val="none"/>
            </w:rPr>
            <w:fldChar w:fldCharType="begin"/>
          </w:r>
          <w:r>
            <w:rPr>
              <w:color w:val="auto"/>
              <w:highlight w:val="none"/>
            </w:rPr>
            <w:instrText xml:space="preserve"> PAGEREF _Toc165277246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"_Toc165277247"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组织实施</w:t>
          </w:r>
          <w:r>
            <w:rPr>
              <w:color w:val="auto"/>
              <w:highlight w:val="none"/>
            </w:rPr>
            <w:tab/>
          </w:r>
          <w:r>
            <w:rPr>
              <w:color w:val="auto"/>
              <w:highlight w:val="none"/>
            </w:rPr>
            <w:fldChar w:fldCharType="begin"/>
          </w:r>
          <w:r>
            <w:rPr>
              <w:color w:val="auto"/>
              <w:highlight w:val="none"/>
            </w:rPr>
            <w:instrText xml:space="preserve"> PAGEREF _Toc165277247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"_Toc165277248"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（三）项目产出情况</w:t>
          </w:r>
          <w:r>
            <w:rPr>
              <w:color w:val="auto"/>
              <w:highlight w:val="none"/>
            </w:rPr>
            <w:tab/>
          </w:r>
          <w:r>
            <w:rPr>
              <w:color w:val="auto"/>
              <w:highlight w:val="none"/>
            </w:rPr>
            <w:fldChar w:fldCharType="begin"/>
          </w:r>
          <w:r>
            <w:rPr>
              <w:color w:val="auto"/>
              <w:highlight w:val="none"/>
            </w:rPr>
            <w:instrText xml:space="preserve"> PAGEREF _Toc165277248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"_Toc165277249"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产出数量</w:t>
          </w:r>
          <w:r>
            <w:rPr>
              <w:color w:val="auto"/>
              <w:highlight w:val="none"/>
            </w:rPr>
            <w:tab/>
          </w:r>
          <w:r>
            <w:rPr>
              <w:color w:val="auto"/>
              <w:highlight w:val="none"/>
            </w:rPr>
            <w:fldChar w:fldCharType="begin"/>
          </w:r>
          <w:r>
            <w:rPr>
              <w:color w:val="auto"/>
              <w:highlight w:val="none"/>
            </w:rPr>
            <w:instrText xml:space="preserve"> PAGEREF _Toc165277249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"_Toc165277250" </w:instrText>
          </w:r>
          <w:r>
            <w:fldChar w:fldCharType="separate"/>
          </w:r>
          <w:r>
            <w:rPr>
              <w:rStyle w:val="18"/>
              <w:color w:val="0563C1" w:themeColor="hyperlink"/>
              <w:highlight w:val="none"/>
              <w14:textFill>
                <w14:solidFill>
                  <w14:schemeClr w14:val="hlink"/>
                </w14:solidFill>
              </w14:textFill>
            </w:rPr>
            <w:t>2.</w:t>
          </w:r>
          <w:r>
            <w:rPr>
              <w:rStyle w:val="18"/>
              <w:rFonts w:hint="eastAsia"/>
              <w:color w:val="0563C1" w:themeColor="hyperlink"/>
              <w:highlight w:val="none"/>
              <w14:textFill>
                <w14:solidFill>
                  <w14:schemeClr w14:val="hlink"/>
                </w14:solidFill>
              </w14:textFill>
            </w:rPr>
            <w:t>产出质量</w:t>
          </w:r>
          <w:r>
            <w:rPr>
              <w:color w:val="auto"/>
              <w:highlight w:val="none"/>
            </w:rPr>
            <w:tab/>
          </w:r>
          <w:r>
            <w:rPr>
              <w:color w:val="auto"/>
              <w:highlight w:val="none"/>
            </w:rPr>
            <w:fldChar w:fldCharType="begin"/>
          </w:r>
          <w:r>
            <w:rPr>
              <w:color w:val="auto"/>
              <w:highlight w:val="none"/>
            </w:rPr>
            <w:instrText xml:space="preserve"> PAGEREF _Toc165277250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"_Toc165277251" </w:instrText>
          </w:r>
          <w:r>
            <w:fldChar w:fldCharType="separate"/>
          </w:r>
          <w:r>
            <w:rPr>
              <w:rStyle w:val="18"/>
              <w:color w:val="0563C1" w:themeColor="hyperlink"/>
              <w:highlight w:val="none"/>
              <w14:textFill>
                <w14:solidFill>
                  <w14:schemeClr w14:val="hlink"/>
                </w14:solidFill>
              </w14:textFill>
            </w:rPr>
            <w:t>3.</w:t>
          </w:r>
          <w:r>
            <w:rPr>
              <w:rStyle w:val="18"/>
              <w:rFonts w:hint="eastAsia"/>
              <w:color w:val="0563C1" w:themeColor="hyperlink"/>
              <w:highlight w:val="none"/>
              <w14:textFill>
                <w14:solidFill>
                  <w14:schemeClr w14:val="hlink"/>
                </w14:solidFill>
              </w14:textFill>
            </w:rPr>
            <w:t>产出时效</w:t>
          </w:r>
          <w:r>
            <w:rPr>
              <w:color w:val="auto"/>
              <w:highlight w:val="none"/>
            </w:rPr>
            <w:tab/>
          </w:r>
          <w:r>
            <w:rPr>
              <w:color w:val="auto"/>
              <w:highlight w:val="none"/>
            </w:rPr>
            <w:fldChar w:fldCharType="begin"/>
          </w:r>
          <w:r>
            <w:rPr>
              <w:color w:val="auto"/>
              <w:highlight w:val="none"/>
            </w:rPr>
            <w:instrText xml:space="preserve"> PAGEREF _Toc165277251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"_Toc165277252" </w:instrText>
          </w:r>
          <w:r>
            <w:fldChar w:fldCharType="separate"/>
          </w:r>
          <w:r>
            <w:rPr>
              <w:rStyle w:val="18"/>
              <w:color w:val="0563C1" w:themeColor="hyperlink"/>
              <w:highlight w:val="none"/>
              <w14:textFill>
                <w14:solidFill>
                  <w14:schemeClr w14:val="hlink"/>
                </w14:solidFill>
              </w14:textFill>
            </w:rPr>
            <w:t>4.</w:t>
          </w:r>
          <w:r>
            <w:rPr>
              <w:rStyle w:val="18"/>
              <w:rFonts w:hint="eastAsia"/>
              <w:color w:val="0563C1" w:themeColor="hyperlink"/>
              <w:highlight w:val="none"/>
              <w14:textFill>
                <w14:solidFill>
                  <w14:schemeClr w14:val="hlink"/>
                </w14:solidFill>
              </w14:textFill>
            </w:rPr>
            <w:t>产出成本</w:t>
          </w:r>
          <w:r>
            <w:rPr>
              <w:color w:val="auto"/>
              <w:highlight w:val="none"/>
            </w:rPr>
            <w:tab/>
          </w:r>
          <w:r>
            <w:rPr>
              <w:color w:val="auto"/>
              <w:highlight w:val="none"/>
            </w:rPr>
            <w:fldChar w:fldCharType="begin"/>
          </w:r>
          <w:r>
            <w:rPr>
              <w:color w:val="auto"/>
              <w:highlight w:val="none"/>
            </w:rPr>
            <w:instrText xml:space="preserve"> PAGEREF _Toc165277252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"_Toc165277253"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（四）项目效益情况</w:t>
          </w:r>
          <w:r>
            <w:rPr>
              <w:color w:val="auto"/>
              <w:highlight w:val="none"/>
            </w:rPr>
            <w:tab/>
          </w:r>
          <w:r>
            <w:rPr>
              <w:color w:val="auto"/>
              <w:highlight w:val="none"/>
            </w:rPr>
            <w:fldChar w:fldCharType="begin"/>
          </w:r>
          <w:r>
            <w:rPr>
              <w:color w:val="auto"/>
              <w:highlight w:val="none"/>
            </w:rPr>
            <w:instrText xml:space="preserve"> PAGEREF _Toc165277253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"_Toc165277254" </w:instrText>
          </w:r>
          <w:r>
            <w:fldChar w:fldCharType="separate"/>
          </w:r>
          <w:r>
            <w:rPr>
              <w:rStyle w:val="18"/>
              <w:color w:val="0563C1" w:themeColor="hyperlink"/>
              <w:highlight w:val="none"/>
              <w14:textFill>
                <w14:solidFill>
                  <w14:schemeClr w14:val="hlink"/>
                </w14:solidFill>
              </w14:textFill>
            </w:rPr>
            <w:t>1.</w:t>
          </w:r>
          <w:r>
            <w:rPr>
              <w:rStyle w:val="18"/>
              <w:rFonts w:hint="eastAsia"/>
              <w:color w:val="0563C1" w:themeColor="hyperlink"/>
              <w:highlight w:val="none"/>
              <w14:textFill>
                <w14:solidFill>
                  <w14:schemeClr w14:val="hlink"/>
                </w14:solidFill>
              </w14:textFill>
            </w:rPr>
            <w:t>项目效益</w:t>
          </w:r>
          <w:r>
            <w:rPr>
              <w:color w:val="auto"/>
              <w:highlight w:val="none"/>
            </w:rPr>
            <w:tab/>
          </w:r>
          <w:r>
            <w:rPr>
              <w:color w:val="auto"/>
              <w:highlight w:val="none"/>
            </w:rPr>
            <w:fldChar w:fldCharType="begin"/>
          </w:r>
          <w:r>
            <w:rPr>
              <w:color w:val="auto"/>
              <w:highlight w:val="none"/>
            </w:rPr>
            <w:instrText xml:space="preserve"> PAGEREF _Toc165277254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6"/>
            <w:tabs>
              <w:tab w:val="right" w:leader="dot" w:pos="8296"/>
            </w:tabs>
            <w:ind w:left="1120" w:firstLine="560"/>
            <w:rPr>
              <w:rFonts w:asciiTheme="minorHAnsi" w:hAnsiTheme="minorHAnsi" w:eastAsiaTheme="minorEastAsia" w:cstheme="minorBidi"/>
              <w:color w:val="auto"/>
              <w:sz w:val="21"/>
              <w:highlight w:val="none"/>
            </w:rPr>
          </w:pPr>
          <w:r>
            <w:fldChar w:fldCharType="begin"/>
          </w:r>
          <w:r>
            <w:instrText xml:space="preserve"> HYPERLINK \l "_Toc165277255" </w:instrText>
          </w:r>
          <w:r>
            <w:fldChar w:fldCharType="separate"/>
          </w:r>
          <w:r>
            <w:rPr>
              <w:rStyle w:val="18"/>
              <w:color w:val="0563C1" w:themeColor="hyperlink"/>
              <w:highlight w:val="none"/>
              <w14:textFill>
                <w14:solidFill>
                  <w14:schemeClr w14:val="hlink"/>
                </w14:solidFill>
              </w14:textFill>
            </w:rPr>
            <w:t xml:space="preserve">2. </w:t>
          </w:r>
          <w:r>
            <w:rPr>
              <w:rStyle w:val="18"/>
              <w:rFonts w:hint="eastAsia"/>
              <w:color w:val="0563C1" w:themeColor="hyperlink"/>
              <w:highlight w:val="none"/>
              <w14:textFill>
                <w14:solidFill>
                  <w14:schemeClr w14:val="hlink"/>
                </w14:solidFill>
              </w14:textFill>
            </w:rPr>
            <w:t>满意度指标完成情况分析</w:t>
          </w:r>
          <w:r>
            <w:rPr>
              <w:color w:val="auto"/>
              <w:highlight w:val="none"/>
            </w:rPr>
            <w:tab/>
          </w:r>
          <w:r>
            <w:rPr>
              <w:color w:val="auto"/>
              <w:highlight w:val="none"/>
            </w:rPr>
            <w:fldChar w:fldCharType="begin"/>
          </w:r>
          <w:r>
            <w:rPr>
              <w:color w:val="auto"/>
              <w:highlight w:val="none"/>
            </w:rPr>
            <w:instrText xml:space="preserve"> PAGEREF _Toc165277255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"_Toc165277256"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_Toc165277256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"_Toc165277257"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（一）主要经验及做法</w:t>
          </w:r>
          <w:r>
            <w:rPr>
              <w:color w:val="auto"/>
              <w:highlight w:val="none"/>
            </w:rPr>
            <w:tab/>
          </w:r>
          <w:r>
            <w:rPr>
              <w:color w:val="auto"/>
              <w:highlight w:val="none"/>
            </w:rPr>
            <w:fldChar w:fldCharType="begin"/>
          </w:r>
          <w:r>
            <w:rPr>
              <w:color w:val="auto"/>
              <w:highlight w:val="none"/>
            </w:rPr>
            <w:instrText xml:space="preserve"> PAGEREF _Toc165277257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3"/>
            <w:tabs>
              <w:tab w:val="right" w:leader="dot" w:pos="8296"/>
            </w:tabs>
            <w:ind w:left="560" w:firstLine="560"/>
            <w:rPr>
              <w:rFonts w:asciiTheme="minorHAnsi" w:hAnsiTheme="minorHAnsi" w:eastAsiaTheme="minorEastAsia" w:cstheme="minorBidi"/>
              <w:color w:val="auto"/>
              <w:sz w:val="21"/>
              <w:highlight w:val="none"/>
            </w:rPr>
          </w:pPr>
          <w:r>
            <w:fldChar w:fldCharType="begin"/>
          </w:r>
          <w:r>
            <w:instrText xml:space="preserve"> HYPERLINK \l "_Toc165277258"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（二）存在的问题及原因分析</w:t>
          </w:r>
          <w:r>
            <w:rPr>
              <w:color w:val="auto"/>
              <w:highlight w:val="none"/>
            </w:rPr>
            <w:tab/>
          </w:r>
          <w:r>
            <w:rPr>
              <w:color w:val="auto"/>
              <w:highlight w:val="none"/>
            </w:rPr>
            <w:fldChar w:fldCharType="begin"/>
          </w:r>
          <w:r>
            <w:rPr>
              <w:color w:val="auto"/>
              <w:highlight w:val="none"/>
            </w:rPr>
            <w:instrText xml:space="preserve"> PAGEREF _Toc165277258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"_Toc165277259"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六、有关建议</w:t>
          </w:r>
          <w:r>
            <w:rPr>
              <w:color w:val="auto"/>
              <w:highlight w:val="none"/>
            </w:rPr>
            <w:tab/>
          </w:r>
          <w:r>
            <w:rPr>
              <w:color w:val="auto"/>
              <w:highlight w:val="none"/>
            </w:rPr>
            <w:fldChar w:fldCharType="begin"/>
          </w:r>
          <w:r>
            <w:rPr>
              <w:color w:val="auto"/>
              <w:highlight w:val="none"/>
            </w:rPr>
            <w:instrText xml:space="preserve"> PAGEREF _Toc165277259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pStyle w:val="11"/>
            <w:tabs>
              <w:tab w:val="right" w:leader="dot" w:pos="8296"/>
            </w:tabs>
            <w:ind w:firstLine="560"/>
            <w:rPr>
              <w:rFonts w:asciiTheme="minorHAnsi" w:hAnsiTheme="minorHAnsi" w:eastAsiaTheme="minorEastAsia" w:cstheme="minorBidi"/>
              <w:color w:val="auto"/>
              <w:sz w:val="21"/>
              <w:highlight w:val="none"/>
            </w:rPr>
          </w:pPr>
          <w:r>
            <w:fldChar w:fldCharType="begin"/>
          </w:r>
          <w:r>
            <w:instrText xml:space="preserve"> HYPERLINK \l "_Toc165277260" </w:instrText>
          </w:r>
          <w:r>
            <w:fldChar w:fldCharType="separate"/>
          </w:r>
          <w:r>
            <w:rPr>
              <w:rStyle w:val="18"/>
              <w:rFonts w:hint="eastAsia" w:ascii="仿宋" w:hAnsi="仿宋" w:eastAsia="仿宋"/>
              <w:color w:val="0563C1" w:themeColor="hyperlink"/>
              <w:highlight w:val="none"/>
              <w:lang w:bidi="en-US"/>
              <w14:textFill>
                <w14:solidFill>
                  <w14:schemeClr w14:val="hlink"/>
                </w14:solidFill>
              </w14:textFill>
            </w:rPr>
            <w:t>七、其他需要说明的问题</w:t>
          </w:r>
          <w:r>
            <w:rPr>
              <w:color w:val="auto"/>
              <w:highlight w:val="none"/>
            </w:rPr>
            <w:tab/>
          </w:r>
          <w:r>
            <w:rPr>
              <w:color w:val="auto"/>
              <w:highlight w:val="none"/>
            </w:rPr>
            <w:fldChar w:fldCharType="begin"/>
          </w:r>
          <w:r>
            <w:rPr>
              <w:color w:val="auto"/>
              <w:highlight w:val="none"/>
            </w:rPr>
            <w:instrText xml:space="preserve"> PAGEREF _Toc165277260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ind w:firstLine="562"/>
            <w:rPr>
              <w:color w:val="auto"/>
              <w:highlight w:val="none"/>
            </w:rPr>
          </w:pPr>
          <w:r>
            <w:rPr>
              <w:b/>
              <w:bCs/>
              <w:color w:val="auto"/>
              <w:highlight w:val="none"/>
              <w:lang w:val="zh-CN"/>
            </w:rPr>
            <w:fldChar w:fldCharType="end"/>
          </w:r>
        </w:p>
      </w:sdtContent>
    </w:sdt>
    <w:p>
      <w:pPr>
        <w:ind w:firstLine="598" w:firstLineChars="187"/>
        <w:rPr>
          <w:rFonts w:ascii="仿宋_GB2312" w:hAnsi="Times New Roman" w:cs="Times New Roman"/>
          <w:color w:val="auto"/>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color w:val="auto"/>
          <w:sz w:val="36"/>
          <w:szCs w:val="36"/>
          <w:highlight w:val="none"/>
          <w:lang w:bidi="en-US"/>
        </w:rPr>
      </w:pPr>
      <w:bookmarkStart w:id="0" w:name="_Toc165277220"/>
      <w:bookmarkStart w:id="1" w:name="_Toc67911601"/>
      <w:r>
        <w:rPr>
          <w:rFonts w:hint="eastAsia" w:ascii="仿宋" w:hAnsi="仿宋" w:eastAsia="仿宋"/>
          <w:color w:val="auto"/>
          <w:sz w:val="36"/>
          <w:szCs w:val="36"/>
          <w:highlight w:val="none"/>
          <w:lang w:bidi="en-US"/>
        </w:rPr>
        <w:t>一、基本情况</w:t>
      </w:r>
      <w:bookmarkEnd w:id="0"/>
      <w:bookmarkEnd w:id="1"/>
    </w:p>
    <w:p>
      <w:pPr>
        <w:pStyle w:val="3"/>
        <w:ind w:firstLine="643"/>
        <w:rPr>
          <w:rFonts w:hint="eastAsia" w:ascii="仿宋" w:hAnsi="仿宋" w:eastAsia="仿宋"/>
          <w:color w:val="auto"/>
          <w:highlight w:val="none"/>
          <w:lang w:bidi="en-US"/>
        </w:rPr>
      </w:pPr>
      <w:bookmarkStart w:id="2" w:name="_Toc165277221"/>
      <w:bookmarkStart w:id="3" w:name="_Toc67911602"/>
      <w:r>
        <w:rPr>
          <w:rFonts w:hint="eastAsia" w:ascii="仿宋" w:hAnsi="仿宋" w:eastAsia="仿宋"/>
          <w:color w:val="auto"/>
          <w:highlight w:val="none"/>
          <w:lang w:bidi="en-US"/>
        </w:rPr>
        <w:t>（一）项目概况</w:t>
      </w:r>
      <w:bookmarkEnd w:id="2"/>
      <w:bookmarkEnd w:id="3"/>
    </w:p>
    <w:p>
      <w:pPr>
        <w:pStyle w:val="4"/>
        <w:ind w:firstLine="643"/>
      </w:pPr>
      <w:r>
        <w:rPr>
          <w:rFonts w:hint="eastAsia"/>
          <w:color w:val="auto"/>
          <w:highlight w:val="none"/>
          <w:lang w:eastAsia="zh-CN"/>
        </w:rPr>
        <w:t>1.</w:t>
      </w:r>
      <w:r>
        <w:rPr>
          <w:rFonts w:hint="eastAsia"/>
          <w:color w:val="auto"/>
          <w:highlight w:val="none"/>
        </w:rPr>
        <w:t>项目背景、主要内容及实施情况</w:t>
      </w:r>
    </w:p>
    <w:p>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该项目实施背景：</w:t>
      </w:r>
      <w:r>
        <w:rPr>
          <w:rFonts w:hint="default" w:ascii="仿宋_GB2312"/>
          <w:color w:val="auto"/>
          <w:highlight w:val="none"/>
          <w:lang w:val="en-US" w:eastAsia="zh-CN"/>
        </w:rPr>
        <w:t>2022年9月26日根据自治区疫情防控指挥部的要求，在乌鲁木齐国际医院建设临时血液透析中心，新疆医科大学第一附属医院院长陆晨指导中心建设。为了快速应对血透患者迅速增加的需求，2022年10月24日市疫情防控工作指挥部统一部署，在国家工作组的指导下，自治区党委、市委结合乌鲁木齐疫情形势和医疗资源实际</w:t>
      </w:r>
      <w:r>
        <w:rPr>
          <w:rFonts w:hint="eastAsia" w:ascii="仿宋_GB2312"/>
          <w:color w:val="auto"/>
          <w:highlight w:val="none"/>
          <w:lang w:val="en-US" w:eastAsia="zh-CN"/>
        </w:rPr>
        <w:t>情况</w:t>
      </w:r>
      <w:r>
        <w:rPr>
          <w:rFonts w:hint="default" w:ascii="仿宋_GB2312"/>
          <w:color w:val="auto"/>
          <w:highlight w:val="none"/>
          <w:lang w:val="en-US" w:eastAsia="zh-CN"/>
        </w:rPr>
        <w:t>，建立了红码医院</w:t>
      </w:r>
      <w:r>
        <w:rPr>
          <w:rFonts w:hint="eastAsia" w:ascii="仿宋_GB2312"/>
          <w:color w:val="auto"/>
          <w:highlight w:val="none"/>
          <w:lang w:val="en-US" w:eastAsia="zh-CN"/>
        </w:rPr>
        <w:t>（</w:t>
      </w:r>
      <w:r>
        <w:rPr>
          <w:rFonts w:hint="default" w:ascii="仿宋_GB2312"/>
          <w:color w:val="auto"/>
          <w:highlight w:val="none"/>
          <w:lang w:val="en-US" w:eastAsia="zh-CN"/>
        </w:rPr>
        <w:t>定点医院</w:t>
      </w:r>
      <w:r>
        <w:rPr>
          <w:rFonts w:hint="eastAsia" w:ascii="仿宋_GB2312"/>
          <w:color w:val="auto"/>
          <w:highlight w:val="none"/>
          <w:lang w:val="en-US" w:eastAsia="zh-CN"/>
        </w:rPr>
        <w:t>）</w:t>
      </w:r>
      <w:r>
        <w:rPr>
          <w:rFonts w:hint="default" w:ascii="仿宋_GB2312"/>
          <w:color w:val="auto"/>
          <w:highlight w:val="none"/>
          <w:lang w:val="en-US" w:eastAsia="zh-CN"/>
        </w:rPr>
        <w:t>、黄码医院</w:t>
      </w:r>
      <w:r>
        <w:rPr>
          <w:rFonts w:hint="eastAsia" w:ascii="仿宋_GB2312"/>
          <w:color w:val="auto"/>
          <w:highlight w:val="none"/>
          <w:lang w:val="en-US" w:eastAsia="zh-CN"/>
        </w:rPr>
        <w:t>（高</w:t>
      </w:r>
      <w:r>
        <w:rPr>
          <w:rFonts w:hint="default" w:ascii="仿宋_GB2312"/>
          <w:color w:val="auto"/>
          <w:highlight w:val="none"/>
          <w:lang w:val="en-US" w:eastAsia="zh-CN"/>
        </w:rPr>
        <w:t>风险人群医院</w:t>
      </w:r>
      <w:r>
        <w:rPr>
          <w:rFonts w:hint="eastAsia" w:ascii="仿宋_GB2312"/>
          <w:color w:val="auto"/>
          <w:highlight w:val="none"/>
          <w:lang w:val="en-US" w:eastAsia="zh-CN"/>
        </w:rPr>
        <w:t>）</w:t>
      </w:r>
      <w:r>
        <w:rPr>
          <w:rFonts w:hint="default" w:ascii="仿宋_GB2312"/>
          <w:color w:val="auto"/>
          <w:highlight w:val="none"/>
          <w:lang w:val="en-US" w:eastAsia="zh-CN"/>
        </w:rPr>
        <w:t>和绿码医院</w:t>
      </w:r>
      <w:r>
        <w:rPr>
          <w:rFonts w:hint="eastAsia" w:ascii="仿宋_GB2312"/>
          <w:color w:val="auto"/>
          <w:highlight w:val="none"/>
          <w:lang w:val="en-US" w:eastAsia="zh-CN"/>
        </w:rPr>
        <w:t>（</w:t>
      </w:r>
      <w:r>
        <w:rPr>
          <w:rFonts w:hint="default" w:ascii="仿宋_GB2312"/>
          <w:color w:val="auto"/>
          <w:highlight w:val="none"/>
          <w:lang w:val="en-US" w:eastAsia="zh-CN"/>
        </w:rPr>
        <w:t>普通医院</w:t>
      </w:r>
      <w:r>
        <w:rPr>
          <w:rFonts w:hint="eastAsia" w:ascii="仿宋_GB2312"/>
          <w:color w:val="auto"/>
          <w:highlight w:val="none"/>
          <w:lang w:val="en-US" w:eastAsia="zh-CN"/>
        </w:rPr>
        <w:t>）</w:t>
      </w:r>
      <w:r>
        <w:rPr>
          <w:rFonts w:hint="default" w:ascii="仿宋_GB2312"/>
          <w:color w:val="auto"/>
          <w:highlight w:val="none"/>
          <w:lang w:val="en-US" w:eastAsia="zh-CN"/>
        </w:rPr>
        <w:t>“三位一体”的医疗救治体系。</w:t>
      </w:r>
      <w:r>
        <w:rPr>
          <w:rFonts w:hint="eastAsia" w:ascii="仿宋_GB2312"/>
          <w:color w:val="auto"/>
          <w:highlight w:val="none"/>
          <w:lang w:val="en-US" w:eastAsia="zh-CN"/>
        </w:rPr>
        <w:t>山东威高医用高分子制品股份有限公司于2022年10月17日接到乌鲁木齐市政府</w:t>
      </w:r>
      <w:r>
        <w:rPr>
          <w:rFonts w:hint="default" w:ascii="仿宋_GB2312"/>
          <w:color w:val="auto"/>
          <w:highlight w:val="none"/>
          <w:lang w:val="en-US" w:eastAsia="zh-CN"/>
        </w:rPr>
        <w:t>及卫健委移动透析方舱的订单，经过沟通与调整，最终制造生产10套透析治疗方舱、2套水处理方舱、2套防护穿脱舱及配套耗材。</w:t>
      </w:r>
    </w:p>
    <w:p>
      <w:pPr>
        <w:spacing w:line="360" w:lineRule="auto"/>
        <w:ind w:left="0" w:leftChars="0" w:firstLine="0" w:firstLineChars="0"/>
        <w:rPr>
          <w:rFonts w:hint="eastAsia" w:ascii="仿宋_GB2312"/>
          <w:color w:val="auto"/>
          <w:highlight w:val="none"/>
          <w:lang w:val="en-US" w:eastAsia="zh-CN"/>
        </w:rPr>
      </w:pPr>
      <w:r>
        <w:rPr>
          <w:rFonts w:hint="default" w:ascii="仿宋_GB2312"/>
          <w:color w:val="auto"/>
          <w:highlight w:val="none"/>
          <w:lang w:val="en-US" w:eastAsia="zh-CN"/>
        </w:rPr>
        <w:t>根据自治区和乌鲁木齐市两级指挥部的要求，乌鲁木齐国际</w:t>
      </w:r>
      <w:r>
        <w:rPr>
          <w:rFonts w:hint="eastAsia" w:ascii="仿宋_GB2312"/>
          <w:color w:val="auto"/>
          <w:highlight w:val="none"/>
          <w:lang w:val="en-US" w:eastAsia="zh-CN"/>
        </w:rPr>
        <w:t>医院紧急建设</w:t>
      </w:r>
      <w:r>
        <w:rPr>
          <w:rFonts w:hint="default" w:ascii="仿宋_GB2312"/>
          <w:color w:val="auto"/>
          <w:highlight w:val="none"/>
          <w:lang w:val="en-US" w:eastAsia="zh-CN"/>
        </w:rPr>
        <w:t>了10</w:t>
      </w:r>
      <w:r>
        <w:rPr>
          <w:rFonts w:hint="eastAsia" w:ascii="仿宋_GB2312"/>
          <w:color w:val="auto"/>
          <w:highlight w:val="none"/>
          <w:lang w:val="en-US" w:eastAsia="zh-CN"/>
        </w:rPr>
        <w:t>套</w:t>
      </w:r>
      <w:r>
        <w:rPr>
          <w:rFonts w:hint="default" w:ascii="仿宋_GB2312"/>
          <w:color w:val="auto"/>
          <w:highlight w:val="none"/>
          <w:lang w:val="en-US" w:eastAsia="zh-CN"/>
        </w:rPr>
        <w:t>威高血透方舱（共计40台血透机）、</w:t>
      </w:r>
      <w:r>
        <w:rPr>
          <w:rFonts w:hint="eastAsia" w:ascii="仿宋_GB2312"/>
          <w:color w:val="auto"/>
          <w:highlight w:val="none"/>
          <w:lang w:val="en-US" w:eastAsia="zh-CN"/>
        </w:rPr>
        <w:t>2套</w:t>
      </w:r>
      <w:r>
        <w:rPr>
          <w:rFonts w:hint="default" w:ascii="仿宋_GB2312"/>
          <w:color w:val="auto"/>
          <w:highlight w:val="none"/>
          <w:lang w:val="en-US" w:eastAsia="zh-CN"/>
        </w:rPr>
        <w:t>更衣舱、2</w:t>
      </w:r>
      <w:r>
        <w:rPr>
          <w:rFonts w:hint="eastAsia" w:ascii="仿宋_GB2312"/>
          <w:color w:val="auto"/>
          <w:highlight w:val="none"/>
          <w:lang w:val="en-US" w:eastAsia="zh-CN"/>
        </w:rPr>
        <w:t>套</w:t>
      </w:r>
      <w:r>
        <w:rPr>
          <w:rFonts w:hint="default" w:ascii="仿宋_GB2312"/>
          <w:color w:val="auto"/>
          <w:highlight w:val="none"/>
          <w:lang w:val="en-US" w:eastAsia="zh-CN"/>
        </w:rPr>
        <w:t>水机舱</w:t>
      </w:r>
      <w:r>
        <w:rPr>
          <w:rFonts w:hint="eastAsia" w:ascii="仿宋_GB2312"/>
          <w:color w:val="auto"/>
          <w:highlight w:val="none"/>
          <w:lang w:val="en-US" w:eastAsia="zh-CN"/>
        </w:rPr>
        <w:t>、1台水处理设备以及一批透析应急耗材</w:t>
      </w:r>
      <w:r>
        <w:rPr>
          <w:rFonts w:hint="default" w:ascii="仿宋_GB2312"/>
          <w:color w:val="auto"/>
          <w:highlight w:val="none"/>
          <w:lang w:val="en-US" w:eastAsia="zh-CN"/>
        </w:rPr>
        <w:t>。依据2022年11月2日新疆维吾尔自治区新冠感染疫情防控工作指挥部《关于统筹调配使用血透方舱的通知》（新指函〔2022〕823号）文件精神分别在乌鲁木齐国际医院及自治区第三人民医院进行安</w:t>
      </w:r>
      <w:r>
        <w:rPr>
          <w:rFonts w:hint="eastAsia" w:ascii="仿宋_GB2312"/>
          <w:color w:val="auto"/>
          <w:highlight w:val="none"/>
          <w:lang w:val="en-US" w:eastAsia="zh-CN"/>
        </w:rPr>
        <w:t>装。</w:t>
      </w:r>
    </w:p>
    <w:p>
      <w:pPr>
        <w:spacing w:line="360" w:lineRule="auto"/>
        <w:ind w:firstLine="560"/>
        <w:rPr>
          <w:rFonts w:hint="eastAsia" w:ascii="仿宋_GB2312"/>
          <w:color w:val="auto"/>
          <w:highlight w:val="none"/>
          <w:lang w:val="en-US"/>
        </w:rPr>
      </w:pPr>
      <w:r>
        <w:rPr>
          <w:rFonts w:hint="eastAsia" w:ascii="仿宋_GB2312"/>
          <w:color w:val="auto"/>
          <w:highlight w:val="none"/>
        </w:rPr>
        <w:t>项目2024年的主要实施内容：</w:t>
      </w:r>
      <w:r>
        <w:rPr>
          <w:rFonts w:hint="eastAsia" w:ascii="仿宋_GB2312"/>
          <w:color w:val="auto"/>
          <w:highlight w:val="none"/>
          <w:lang w:val="en-US" w:eastAsia="zh-CN"/>
        </w:rPr>
        <w:t>2022年</w:t>
      </w:r>
      <w:r>
        <w:rPr>
          <w:rFonts w:hint="default" w:ascii="仿宋_GB2312"/>
          <w:color w:val="auto"/>
          <w:highlight w:val="none"/>
          <w:lang w:val="en-US" w:eastAsia="zh-CN"/>
        </w:rPr>
        <w:t>10月7日经国家专家组现场实地考察论证，需紧急将我院设置为新冠肺炎阳性患者收治定点医院，以便在疫情期间收治</w:t>
      </w:r>
      <w:r>
        <w:rPr>
          <w:rFonts w:hint="eastAsia" w:ascii="仿宋_GB2312"/>
          <w:color w:val="auto"/>
          <w:highlight w:val="none"/>
          <w:lang w:val="en-US" w:eastAsia="zh-CN"/>
        </w:rPr>
        <w:t>新冠病毒感染的血液透析患者</w:t>
      </w:r>
      <w:r>
        <w:rPr>
          <w:rFonts w:hint="default" w:ascii="仿宋_GB2312"/>
          <w:color w:val="auto"/>
          <w:highlight w:val="none"/>
          <w:lang w:val="en-US" w:eastAsia="zh-CN"/>
        </w:rPr>
        <w:t>。</w:t>
      </w:r>
      <w:r>
        <w:rPr>
          <w:rFonts w:hint="eastAsia" w:ascii="仿宋_GB2312"/>
          <w:color w:val="auto"/>
          <w:highlight w:val="none"/>
          <w:lang w:val="en-US" w:eastAsia="zh-CN"/>
        </w:rPr>
        <w:t>按照</w:t>
      </w:r>
      <w:r>
        <w:rPr>
          <w:rFonts w:hint="default" w:ascii="仿宋_GB2312"/>
          <w:color w:val="auto"/>
          <w:highlight w:val="none"/>
          <w:lang w:val="en-US" w:eastAsia="zh-CN"/>
        </w:rPr>
        <w:t>自治区疫情指挥部现场督导要求和疫情防控总体部署，结合本市疫情防控实际情况及病人需求</w:t>
      </w:r>
      <w:r>
        <w:rPr>
          <w:rFonts w:hint="eastAsia" w:ascii="仿宋_GB2312"/>
          <w:color w:val="auto"/>
          <w:highlight w:val="none"/>
          <w:lang w:val="en-US"/>
        </w:rPr>
        <w:t>，</w:t>
      </w:r>
      <w:r>
        <w:rPr>
          <w:rFonts w:hint="default" w:ascii="仿宋_GB2312"/>
          <w:color w:val="auto"/>
          <w:highlight w:val="none"/>
          <w:lang w:val="en-US" w:eastAsia="zh-CN"/>
        </w:rPr>
        <w:t>为保质保量完成上级交予的工作任务，现根据国家专家组现场意见</w:t>
      </w:r>
      <w:r>
        <w:rPr>
          <w:rFonts w:hint="eastAsia" w:ascii="仿宋_GB2312"/>
          <w:color w:val="auto"/>
          <w:highlight w:val="none"/>
          <w:lang w:val="en-US" w:eastAsia="zh-CN"/>
        </w:rPr>
        <w:t>，</w:t>
      </w:r>
      <w:r>
        <w:rPr>
          <w:rFonts w:hint="default" w:ascii="仿宋_GB2312"/>
          <w:color w:val="auto"/>
          <w:highlight w:val="none"/>
          <w:lang w:val="en-US" w:eastAsia="zh-CN"/>
        </w:rPr>
        <w:t>2022年10月24日</w:t>
      </w:r>
      <w:r>
        <w:rPr>
          <w:rFonts w:hint="eastAsia" w:ascii="仿宋_GB2312"/>
          <w:color w:val="auto"/>
          <w:highlight w:val="none"/>
          <w:lang w:val="en-US" w:eastAsia="zh-CN"/>
        </w:rPr>
        <w:t>通过紧急建设</w:t>
      </w:r>
      <w:r>
        <w:rPr>
          <w:rFonts w:hint="default" w:ascii="仿宋_GB2312"/>
          <w:color w:val="auto"/>
          <w:highlight w:val="none"/>
          <w:lang w:val="en-US" w:eastAsia="zh-CN"/>
        </w:rPr>
        <w:t>了</w:t>
      </w:r>
      <w:r>
        <w:rPr>
          <w:rFonts w:hint="eastAsia" w:ascii="仿宋_GB2312"/>
          <w:color w:val="auto"/>
          <w:highlight w:val="none"/>
          <w:lang w:val="en-US" w:eastAsia="zh-CN"/>
        </w:rPr>
        <w:t>10</w:t>
      </w:r>
      <w:r>
        <w:rPr>
          <w:rFonts w:hint="default" w:ascii="仿宋_GB2312"/>
          <w:color w:val="auto"/>
          <w:highlight w:val="none"/>
          <w:lang w:val="en-US" w:eastAsia="zh-CN"/>
        </w:rPr>
        <w:t>个威高血透方舱（共计40台血透机）、</w:t>
      </w:r>
      <w:r>
        <w:rPr>
          <w:rFonts w:hint="eastAsia" w:ascii="仿宋_GB2312"/>
          <w:color w:val="auto"/>
          <w:highlight w:val="none"/>
          <w:lang w:val="en-US" w:eastAsia="zh-CN"/>
        </w:rPr>
        <w:t>2套</w:t>
      </w:r>
      <w:r>
        <w:rPr>
          <w:rFonts w:hint="default" w:ascii="仿宋_GB2312"/>
          <w:color w:val="auto"/>
          <w:highlight w:val="none"/>
          <w:lang w:val="en-US" w:eastAsia="zh-CN"/>
        </w:rPr>
        <w:t>更衣舱、2</w:t>
      </w:r>
      <w:r>
        <w:rPr>
          <w:rFonts w:hint="eastAsia" w:ascii="仿宋_GB2312"/>
          <w:color w:val="auto"/>
          <w:highlight w:val="none"/>
          <w:lang w:val="en-US" w:eastAsia="zh-CN"/>
        </w:rPr>
        <w:t>套</w:t>
      </w:r>
      <w:r>
        <w:rPr>
          <w:rFonts w:hint="default" w:ascii="仿宋_GB2312"/>
          <w:color w:val="auto"/>
          <w:highlight w:val="none"/>
          <w:lang w:val="en-US" w:eastAsia="zh-CN"/>
        </w:rPr>
        <w:t>水机舱</w:t>
      </w:r>
      <w:r>
        <w:rPr>
          <w:rFonts w:hint="eastAsia" w:ascii="仿宋_GB2312"/>
          <w:color w:val="auto"/>
          <w:highlight w:val="none"/>
          <w:lang w:val="en-US" w:eastAsia="zh-CN"/>
        </w:rPr>
        <w:t>、1台水处理设备以及一批透析应急耗材。山东威高医用高分子制品股份有限公司于2022年10月17日接到乌鲁木齐市政府</w:t>
      </w:r>
      <w:r>
        <w:rPr>
          <w:rFonts w:hint="default" w:ascii="仿宋_GB2312"/>
          <w:color w:val="auto"/>
          <w:highlight w:val="none"/>
          <w:lang w:val="en-US" w:eastAsia="zh-CN"/>
        </w:rPr>
        <w:t>及卫健委移动透析方舱的订单，经过沟通与调整，最终制造生产10套透析治疗方舱、2套水处理方舱、2套防护穿脱舱及配套耗材。</w:t>
      </w:r>
      <w:r>
        <w:rPr>
          <w:rFonts w:hint="eastAsia" w:ascii="仿宋_GB2312"/>
          <w:color w:val="auto"/>
          <w:highlight w:val="none"/>
          <w:lang w:val="en-US" w:eastAsia="zh-CN"/>
        </w:rPr>
        <w:t>设备于2022年11月11日验收合格并投入使用，使封控期间有血液透析需求的患者得到了有效的治疗，破解封控期间全市肾衰患者持续透析难题，避免交叉感染风险，履行人民至上、生命至上救治承诺。</w:t>
      </w:r>
    </w:p>
    <w:p>
      <w:pPr>
        <w:spacing w:line="360" w:lineRule="auto"/>
        <w:ind w:firstLine="560"/>
        <w:rPr>
          <w:rFonts w:hint="default" w:ascii="仿宋_GB2312"/>
          <w:color w:val="auto"/>
          <w:highlight w:val="none"/>
          <w:lang w:val="en-US" w:eastAsia="zh-CN"/>
        </w:rPr>
      </w:pPr>
      <w:r>
        <w:rPr>
          <w:rFonts w:hint="eastAsia" w:ascii="仿宋_GB2312"/>
          <w:color w:val="auto"/>
          <w:highlight w:val="none"/>
        </w:rPr>
        <w:t>实际完成情况为：</w:t>
      </w:r>
      <w:bookmarkStart w:id="4" w:name="_Toc165277223"/>
      <w:r>
        <w:rPr>
          <w:rFonts w:hint="eastAsia" w:ascii="仿宋_GB2312"/>
          <w:color w:val="auto"/>
          <w:highlight w:val="none"/>
          <w:lang w:eastAsia="zh-CN"/>
        </w:rPr>
        <w:t>按照</w:t>
      </w:r>
      <w:r>
        <w:rPr>
          <w:rFonts w:hint="default" w:ascii="仿宋_GB2312"/>
          <w:color w:val="auto"/>
          <w:highlight w:val="none"/>
          <w:lang w:val="en-US" w:eastAsia="zh-CN"/>
        </w:rPr>
        <w:t>自治区疫情指挥部现场督导要求和疫情防控总体部署，结合本市疫情防控实际情况及病人需求</w:t>
      </w:r>
      <w:r>
        <w:rPr>
          <w:rFonts w:hint="eastAsia" w:ascii="仿宋_GB2312"/>
          <w:color w:val="auto"/>
          <w:highlight w:val="none"/>
          <w:lang w:val="en-US"/>
        </w:rPr>
        <w:t>，</w:t>
      </w:r>
      <w:r>
        <w:rPr>
          <w:rFonts w:hint="default" w:ascii="仿宋_GB2312"/>
          <w:color w:val="auto"/>
          <w:highlight w:val="none"/>
          <w:lang w:val="en-US" w:eastAsia="zh-CN"/>
        </w:rPr>
        <w:t>为保质保量完成上级交予的工作任务，2022年10月24日</w:t>
      </w:r>
      <w:r>
        <w:rPr>
          <w:rFonts w:hint="eastAsia" w:ascii="仿宋_GB2312"/>
          <w:color w:val="auto"/>
          <w:highlight w:val="none"/>
          <w:lang w:val="en-US" w:eastAsia="zh-CN"/>
        </w:rPr>
        <w:t>紧急建设</w:t>
      </w:r>
      <w:r>
        <w:rPr>
          <w:rFonts w:hint="default" w:ascii="仿宋_GB2312"/>
          <w:color w:val="auto"/>
          <w:highlight w:val="none"/>
          <w:lang w:val="en-US" w:eastAsia="zh-CN"/>
        </w:rPr>
        <w:t>了10</w:t>
      </w:r>
      <w:r>
        <w:rPr>
          <w:rFonts w:hint="eastAsia" w:ascii="仿宋_GB2312"/>
          <w:color w:val="auto"/>
          <w:highlight w:val="none"/>
          <w:lang w:val="en-US" w:eastAsia="zh-CN"/>
        </w:rPr>
        <w:t>套</w:t>
      </w:r>
      <w:r>
        <w:rPr>
          <w:rFonts w:hint="default" w:ascii="仿宋_GB2312"/>
          <w:color w:val="auto"/>
          <w:highlight w:val="none"/>
          <w:lang w:val="en-US" w:eastAsia="zh-CN"/>
        </w:rPr>
        <w:t>威高血透方舱（共计40台血透机）、</w:t>
      </w:r>
      <w:r>
        <w:rPr>
          <w:rFonts w:hint="eastAsia" w:ascii="仿宋_GB2312"/>
          <w:color w:val="auto"/>
          <w:highlight w:val="none"/>
          <w:lang w:val="en-US" w:eastAsia="zh-CN"/>
        </w:rPr>
        <w:t>2套</w:t>
      </w:r>
      <w:r>
        <w:rPr>
          <w:rFonts w:hint="default" w:ascii="仿宋_GB2312"/>
          <w:color w:val="auto"/>
          <w:highlight w:val="none"/>
          <w:lang w:val="en-US" w:eastAsia="zh-CN"/>
        </w:rPr>
        <w:t>更衣舱、2</w:t>
      </w:r>
      <w:r>
        <w:rPr>
          <w:rFonts w:hint="eastAsia" w:ascii="仿宋_GB2312"/>
          <w:color w:val="auto"/>
          <w:highlight w:val="none"/>
          <w:lang w:val="en-US" w:eastAsia="zh-CN"/>
        </w:rPr>
        <w:t>套</w:t>
      </w:r>
      <w:r>
        <w:rPr>
          <w:rFonts w:hint="default" w:ascii="仿宋_GB2312"/>
          <w:color w:val="auto"/>
          <w:highlight w:val="none"/>
          <w:lang w:val="en-US" w:eastAsia="zh-CN"/>
        </w:rPr>
        <w:t>水机舱</w:t>
      </w:r>
      <w:r>
        <w:rPr>
          <w:rFonts w:hint="eastAsia" w:ascii="仿宋_GB2312"/>
          <w:color w:val="auto"/>
          <w:highlight w:val="none"/>
          <w:lang w:val="en-US" w:eastAsia="zh-CN"/>
        </w:rPr>
        <w:t>、1台水处理设备以及一批透析应急耗材</w:t>
      </w:r>
      <w:r>
        <w:rPr>
          <w:rFonts w:hint="default" w:ascii="仿宋_GB2312"/>
          <w:color w:val="auto"/>
          <w:highlight w:val="none"/>
          <w:lang w:val="en-US" w:eastAsia="zh-CN"/>
        </w:rPr>
        <w:t>。依据2022年11月2日新疆维吾尔自治区新冠肺炎疫情防控工作指挥部《关于统筹调配使用血透方舱的通知》（新指函〔2022〕823号）文件精神（附件1），分别在乌鲁木齐国际医院及自治区第三人民医院进行安装，总价为2578.04万元，其中在乌鲁木齐国际医院安装5</w:t>
      </w:r>
      <w:r>
        <w:rPr>
          <w:rFonts w:hint="eastAsia" w:ascii="仿宋_GB2312"/>
          <w:color w:val="auto"/>
          <w:highlight w:val="none"/>
          <w:lang w:val="en-US" w:eastAsia="zh-CN"/>
        </w:rPr>
        <w:t>套</w:t>
      </w:r>
      <w:r>
        <w:rPr>
          <w:rFonts w:hint="default" w:ascii="仿宋_GB2312"/>
          <w:color w:val="auto"/>
          <w:highlight w:val="none"/>
          <w:lang w:val="en-US" w:eastAsia="zh-CN"/>
        </w:rPr>
        <w:t>威高血透方舱（共计20台血透机）、</w:t>
      </w:r>
      <w:r>
        <w:rPr>
          <w:rFonts w:hint="eastAsia" w:ascii="仿宋_GB2312"/>
          <w:color w:val="auto"/>
          <w:highlight w:val="none"/>
          <w:lang w:val="en-US" w:eastAsia="zh-CN"/>
        </w:rPr>
        <w:t>1套</w:t>
      </w:r>
      <w:r>
        <w:rPr>
          <w:rFonts w:hint="default" w:ascii="仿宋_GB2312"/>
          <w:color w:val="auto"/>
          <w:highlight w:val="none"/>
          <w:lang w:val="en-US" w:eastAsia="zh-CN"/>
        </w:rPr>
        <w:t>更衣舱、1</w:t>
      </w:r>
      <w:r>
        <w:rPr>
          <w:rFonts w:hint="eastAsia" w:ascii="仿宋_GB2312"/>
          <w:color w:val="auto"/>
          <w:highlight w:val="none"/>
          <w:lang w:val="en-US" w:eastAsia="zh-CN"/>
        </w:rPr>
        <w:t>套</w:t>
      </w:r>
      <w:r>
        <w:rPr>
          <w:rFonts w:hint="default" w:ascii="仿宋_GB2312"/>
          <w:color w:val="auto"/>
          <w:highlight w:val="none"/>
          <w:lang w:val="en-US" w:eastAsia="zh-CN"/>
        </w:rPr>
        <w:t>水机舱，共计费用1356.3</w:t>
      </w:r>
      <w:r>
        <w:rPr>
          <w:rFonts w:hint="eastAsia" w:ascii="仿宋_GB2312"/>
          <w:color w:val="auto"/>
          <w:highlight w:val="none"/>
          <w:lang w:val="en-US" w:eastAsia="zh-CN"/>
        </w:rPr>
        <w:t>3</w:t>
      </w:r>
      <w:r>
        <w:rPr>
          <w:rFonts w:hint="default" w:ascii="仿宋_GB2312"/>
          <w:color w:val="auto"/>
          <w:highlight w:val="none"/>
          <w:lang w:val="en-US" w:eastAsia="zh-CN"/>
        </w:rPr>
        <w:t>万元。在自治区第三人民医院安装5</w:t>
      </w:r>
      <w:r>
        <w:rPr>
          <w:rFonts w:hint="eastAsia" w:ascii="仿宋_GB2312"/>
          <w:color w:val="auto"/>
          <w:highlight w:val="none"/>
          <w:lang w:val="en-US" w:eastAsia="zh-CN"/>
        </w:rPr>
        <w:t>套</w:t>
      </w:r>
      <w:r>
        <w:rPr>
          <w:rFonts w:hint="default" w:ascii="仿宋_GB2312"/>
          <w:color w:val="auto"/>
          <w:highlight w:val="none"/>
          <w:lang w:val="en-US" w:eastAsia="zh-CN"/>
        </w:rPr>
        <w:t>威高血透方舱（共计20台血透机）、</w:t>
      </w:r>
      <w:r>
        <w:rPr>
          <w:rFonts w:hint="eastAsia" w:ascii="仿宋_GB2312"/>
          <w:color w:val="auto"/>
          <w:highlight w:val="none"/>
          <w:lang w:val="en-US" w:eastAsia="zh-CN"/>
        </w:rPr>
        <w:t>1套</w:t>
      </w:r>
      <w:r>
        <w:rPr>
          <w:rFonts w:hint="default" w:ascii="仿宋_GB2312"/>
          <w:color w:val="auto"/>
          <w:highlight w:val="none"/>
          <w:lang w:val="en-US" w:eastAsia="zh-CN"/>
        </w:rPr>
        <w:t>更衣舱、1</w:t>
      </w:r>
      <w:r>
        <w:rPr>
          <w:rFonts w:hint="eastAsia" w:ascii="仿宋_GB2312"/>
          <w:color w:val="auto"/>
          <w:highlight w:val="none"/>
          <w:lang w:val="en-US" w:eastAsia="zh-CN"/>
        </w:rPr>
        <w:t>套</w:t>
      </w:r>
      <w:r>
        <w:rPr>
          <w:rFonts w:hint="default" w:ascii="仿宋_GB2312"/>
          <w:color w:val="auto"/>
          <w:highlight w:val="none"/>
          <w:lang w:val="en-US" w:eastAsia="zh-CN"/>
        </w:rPr>
        <w:t>水机舱，共计费用为1221.71万元。</w:t>
      </w:r>
      <w:r>
        <w:rPr>
          <w:rFonts w:hint="eastAsia" w:ascii="仿宋_GB2312"/>
          <w:color w:val="auto"/>
          <w:highlight w:val="none"/>
          <w:lang w:val="en-US" w:eastAsia="zh-CN"/>
        </w:rPr>
        <w:t>该项目于2022年11月验收合格并投入使用。通过模块化设备，将血透床位单日周转率提升，使新冠阳性患者血透等待时间缩短12小时内，达到国家“四集中”救治标准。</w:t>
      </w:r>
    </w:p>
    <w:p>
      <w:pPr>
        <w:spacing w:line="360" w:lineRule="auto"/>
        <w:ind w:firstLine="560"/>
        <w:rPr>
          <w:color w:val="auto"/>
          <w:highlight w:val="none"/>
        </w:rPr>
      </w:pPr>
      <w:r>
        <w:rPr>
          <w:rFonts w:hint="eastAsia"/>
          <w:color w:val="auto"/>
          <w:highlight w:val="none"/>
        </w:rPr>
        <w:t>2</w:t>
      </w:r>
      <w:r>
        <w:rPr>
          <w:color w:val="auto"/>
          <w:highlight w:val="none"/>
        </w:rPr>
        <w:t>.资金投入和使用情况</w:t>
      </w:r>
      <w:bookmarkEnd w:id="4"/>
    </w:p>
    <w:p>
      <w:pPr>
        <w:spacing w:line="360" w:lineRule="auto"/>
        <w:ind w:firstLine="560"/>
        <w:rPr>
          <w:rFonts w:ascii="仿宋_GB2312"/>
          <w:color w:val="auto"/>
          <w:highlight w:val="none"/>
        </w:rPr>
      </w:pPr>
      <w:r>
        <w:rPr>
          <w:rFonts w:hint="eastAsia" w:ascii="仿宋_GB2312"/>
          <w:color w:val="auto"/>
          <w:highlight w:val="none"/>
        </w:rPr>
        <w:t>该项目资金投入情况：经乌卫财〔2024〕1号</w:t>
      </w:r>
      <w:r>
        <w:rPr>
          <w:rFonts w:hint="eastAsia" w:ascii="仿宋_GB2312"/>
          <w:color w:val="auto"/>
          <w:highlight w:val="none"/>
          <w:lang w:eastAsia="zh-CN"/>
        </w:rPr>
        <w:t>－</w:t>
      </w:r>
      <w:r>
        <w:rPr>
          <w:rFonts w:hint="eastAsia" w:ascii="仿宋_GB2312"/>
          <w:color w:val="auto"/>
          <w:highlight w:val="none"/>
        </w:rPr>
        <w:t>《关于2024年市卫健委所属单位预算的批复》文件批准，项目系</w:t>
      </w:r>
      <w:r>
        <w:rPr>
          <w:rFonts w:ascii="仿宋_GB2312"/>
          <w:color w:val="auto"/>
          <w:highlight w:val="none"/>
        </w:rPr>
        <w:t>202</w:t>
      </w:r>
      <w:r>
        <w:rPr>
          <w:rFonts w:hint="eastAsia" w:ascii="仿宋_GB2312"/>
          <w:color w:val="auto"/>
          <w:highlight w:val="none"/>
        </w:rPr>
        <w:t>4年本级市本级资金安排的年初预算，</w:t>
      </w:r>
      <w:r>
        <w:rPr>
          <w:rFonts w:hint="eastAsia" w:ascii="仿宋_GB2312"/>
          <w:color w:val="auto"/>
          <w:highlight w:val="none"/>
          <w:lang w:eastAsia="zh-CN"/>
        </w:rPr>
        <w:t>为</w:t>
      </w:r>
      <w:r>
        <w:rPr>
          <w:rFonts w:hint="eastAsia" w:ascii="仿宋_GB2312"/>
          <w:color w:val="auto"/>
          <w:highlight w:val="none"/>
        </w:rPr>
        <w:t>2024年年初部分预算批复项目</w:t>
      </w:r>
      <w:r>
        <w:rPr>
          <w:rFonts w:hint="eastAsia" w:ascii="仿宋_GB2312"/>
          <w:color w:val="auto"/>
          <w:highlight w:val="none"/>
          <w:lang w:eastAsia="zh-CN"/>
        </w:rPr>
        <w:t>，年初</w:t>
      </w:r>
      <w:r>
        <w:rPr>
          <w:rFonts w:hint="eastAsia" w:ascii="仿宋_GB2312"/>
          <w:color w:val="auto"/>
          <w:highlight w:val="none"/>
        </w:rPr>
        <w:t>预算</w:t>
      </w:r>
      <w:r>
        <w:rPr>
          <w:rFonts w:hint="eastAsia" w:ascii="仿宋_GB2312"/>
          <w:color w:val="auto"/>
          <w:highlight w:val="none"/>
          <w:lang w:val="en-US" w:eastAsia="zh-CN"/>
        </w:rPr>
        <w:t>2278.04</w:t>
      </w:r>
      <w:r>
        <w:rPr>
          <w:rFonts w:hint="eastAsia" w:ascii="仿宋_GB2312"/>
          <w:color w:val="auto"/>
          <w:highlight w:val="none"/>
        </w:rPr>
        <w:t>万元，</w:t>
      </w:r>
      <w:r>
        <w:rPr>
          <w:rFonts w:hint="eastAsia" w:ascii="仿宋_GB2312"/>
          <w:color w:val="auto"/>
          <w:highlight w:val="none"/>
          <w:lang w:eastAsia="zh-CN"/>
        </w:rPr>
        <w:t>其中</w:t>
      </w:r>
      <w:r>
        <w:rPr>
          <w:rFonts w:hint="eastAsia" w:ascii="仿宋_GB2312"/>
          <w:color w:val="auto"/>
          <w:highlight w:val="none"/>
          <w:lang w:val="en-US" w:eastAsia="zh-CN"/>
        </w:rPr>
        <w:t>1247万元为财政拨款、1031.04万元为单位自有资金配套。</w:t>
      </w:r>
      <w:r>
        <w:rPr>
          <w:rFonts w:hint="eastAsia" w:ascii="仿宋_GB2312"/>
          <w:color w:val="auto"/>
          <w:highlight w:val="none"/>
          <w:lang w:eastAsia="zh-CN"/>
        </w:rPr>
        <w:t>全年执行数</w:t>
      </w:r>
      <w:r>
        <w:rPr>
          <w:rFonts w:hint="eastAsia" w:ascii="仿宋_GB2312"/>
          <w:color w:val="auto"/>
          <w:highlight w:val="none"/>
          <w:lang w:val="en-US" w:eastAsia="zh-CN"/>
        </w:rPr>
        <w:t>1247万元，剩余1031.04万元未支付。</w:t>
      </w:r>
    </w:p>
    <w:p>
      <w:pPr>
        <w:spacing w:line="360" w:lineRule="auto"/>
        <w:ind w:firstLine="560"/>
        <w:rPr>
          <w:rFonts w:hint="eastAsia" w:ascii="仿宋_GB2312"/>
          <w:color w:val="auto"/>
          <w:highlight w:val="none"/>
          <w:lang w:val="en-US" w:eastAsia="zh-CN"/>
        </w:rPr>
      </w:pPr>
      <w:r>
        <w:rPr>
          <w:rFonts w:hint="eastAsia" w:ascii="仿宋_GB2312"/>
          <w:color w:val="auto"/>
          <w:highlight w:val="none"/>
        </w:rPr>
        <w:t>该项目资金使用情况：项目</w:t>
      </w:r>
      <w:r>
        <w:rPr>
          <w:rFonts w:hint="eastAsia" w:ascii="仿宋_GB2312"/>
          <w:color w:val="auto"/>
          <w:highlight w:val="none"/>
          <w:lang w:eastAsia="zh-CN"/>
        </w:rPr>
        <w:t>年初</w:t>
      </w:r>
      <w:r>
        <w:rPr>
          <w:rFonts w:hint="eastAsia" w:ascii="仿宋_GB2312"/>
          <w:color w:val="auto"/>
          <w:highlight w:val="none"/>
        </w:rPr>
        <w:t>预算</w:t>
      </w:r>
      <w:r>
        <w:rPr>
          <w:rFonts w:hint="eastAsia" w:ascii="仿宋_GB2312"/>
          <w:color w:val="auto"/>
          <w:highlight w:val="none"/>
          <w:lang w:val="en-US" w:eastAsia="zh-CN"/>
        </w:rPr>
        <w:t>2278.04</w:t>
      </w:r>
      <w:r>
        <w:rPr>
          <w:rFonts w:hint="eastAsia" w:ascii="仿宋_GB2312"/>
          <w:color w:val="auto"/>
          <w:highlight w:val="none"/>
        </w:rPr>
        <w:t>万元</w:t>
      </w:r>
      <w:r>
        <w:rPr>
          <w:rFonts w:hint="eastAsia" w:ascii="仿宋_GB2312"/>
          <w:color w:val="auto"/>
          <w:highlight w:val="none"/>
          <w:lang w:val="en-US"/>
        </w:rPr>
        <w:t>，</w:t>
      </w:r>
      <w:r>
        <w:rPr>
          <w:rFonts w:hint="eastAsia" w:ascii="仿宋_GB2312"/>
          <w:color w:val="auto"/>
          <w:highlight w:val="none"/>
          <w:lang w:val="en-US" w:eastAsia="zh-CN"/>
        </w:rPr>
        <w:t>按照自治区和乌鲁木齐市两级指挥部的要求，乌鲁木齐国际医院2022年紧急建设各类方舱产生费用2634.0404万元，最终优惠总价为2578.0404万元，其中包括10套血透方舱、2套水处理舱、2套防护穿脱舱、1套水处理设备、1批透析应急耗材、运输费及其他。2023年财政按照申请金额2578.0404万元的60%给予一次性补助1547万元，剩余40%的款项1031.04万元由单位自筹，专项用于上述设备采购。</w:t>
      </w:r>
    </w:p>
    <w:p>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项目2023年已使用财政资金支付300万元，剩余资金2278.04万元于2024年支付，其中1247万元为财政拨款、1031.04万元为单位自有资金均已安排至2024年年初预算，用于血透方舱建设。</w:t>
      </w:r>
    </w:p>
    <w:p>
      <w:pPr>
        <w:spacing w:line="360" w:lineRule="auto"/>
        <w:ind w:firstLine="560"/>
        <w:rPr>
          <w:rFonts w:hint="default" w:ascii="仿宋_GB2312" w:eastAsia="仿宋_GB2312"/>
          <w:color w:val="auto"/>
          <w:highlight w:val="none"/>
          <w:u w:val="single"/>
          <w:lang w:val="en-US" w:eastAsia="zh-CN"/>
        </w:rPr>
      </w:pPr>
      <w:r>
        <w:rPr>
          <w:rFonts w:hint="eastAsia" w:ascii="仿宋_GB2312"/>
          <w:color w:val="auto"/>
          <w:highlight w:val="none"/>
          <w:lang w:val="en-US" w:eastAsia="zh-CN"/>
        </w:rPr>
        <w:t>2024年评价期间，项目年初预算数2278.04万元，全年预算数1247万元，执行预算</w:t>
      </w:r>
      <w:r>
        <w:rPr>
          <w:rFonts w:hint="eastAsia" w:ascii="仿宋_GB2312"/>
          <w:color w:val="auto"/>
          <w:highlight w:val="none"/>
        </w:rPr>
        <w:t>1247万元，</w:t>
      </w:r>
      <w:r>
        <w:rPr>
          <w:rFonts w:hint="eastAsia" w:ascii="仿宋_GB2312"/>
          <w:color w:val="auto"/>
          <w:highlight w:val="none"/>
          <w:lang w:eastAsia="zh-CN"/>
        </w:rPr>
        <w:t>资金用于购置血透方舱976.9万元、水处理舱174.08万元以及防护穿脱舱</w:t>
      </w:r>
      <w:r>
        <w:rPr>
          <w:rFonts w:hint="eastAsia" w:ascii="仿宋_GB2312"/>
          <w:color w:val="auto"/>
          <w:highlight w:val="none"/>
          <w:lang w:val="en-US" w:eastAsia="zh-CN"/>
        </w:rPr>
        <w:t>96.02万元，预算执行率100%。</w:t>
      </w:r>
    </w:p>
    <w:p>
      <w:pPr>
        <w:pStyle w:val="3"/>
        <w:ind w:firstLine="643"/>
        <w:rPr>
          <w:rFonts w:ascii="仿宋" w:hAnsi="仿宋" w:eastAsia="仿宋"/>
          <w:color w:val="auto"/>
          <w:highlight w:val="none"/>
          <w:lang w:bidi="en-US"/>
        </w:rPr>
      </w:pPr>
      <w:bookmarkStart w:id="5" w:name="_Toc165277224"/>
      <w:bookmarkStart w:id="6" w:name="_Toc67911603"/>
      <w:r>
        <w:rPr>
          <w:rFonts w:hint="eastAsia" w:ascii="仿宋" w:hAnsi="仿宋" w:eastAsia="仿宋"/>
          <w:color w:val="auto"/>
          <w:highlight w:val="none"/>
          <w:lang w:bidi="en-US"/>
        </w:rPr>
        <w:t>（二）项目绩效目标</w:t>
      </w:r>
      <w:bookmarkEnd w:id="5"/>
      <w:bookmarkEnd w:id="6"/>
    </w:p>
    <w:p>
      <w:pPr>
        <w:spacing w:line="360" w:lineRule="auto"/>
        <w:ind w:firstLine="560"/>
        <w:rPr>
          <w:rFonts w:hint="eastAsia" w:ascii="仿宋_GB2312" w:hAnsi="仿宋"/>
          <w:color w:val="auto"/>
          <w:szCs w:val="28"/>
          <w:highlight w:val="none"/>
        </w:rPr>
      </w:pPr>
      <w:r>
        <w:rPr>
          <w:rFonts w:hint="eastAsia" w:ascii="仿宋_GB2312" w:hAnsi="仿宋"/>
          <w:color w:val="auto"/>
          <w:szCs w:val="28"/>
          <w:highlight w:val="none"/>
        </w:rPr>
        <w:t>本项目依据</w:t>
      </w:r>
      <w:r>
        <w:rPr>
          <w:rFonts w:hint="eastAsia" w:ascii="仿宋_GB2312" w:hAnsi="仿宋"/>
          <w:color w:val="auto"/>
          <w:szCs w:val="28"/>
          <w:highlight w:val="none"/>
          <w:lang w:eastAsia="zh-CN"/>
        </w:rPr>
        <w:t>《中共中央 国务院</w:t>
      </w:r>
      <w:r>
        <w:rPr>
          <w:rFonts w:hint="eastAsia" w:ascii="仿宋_GB2312" w:hAnsi="仿宋"/>
          <w:color w:val="auto"/>
          <w:szCs w:val="28"/>
          <w:highlight w:val="none"/>
        </w:rPr>
        <w:t>关于全面实施预算绩效管理的意见》（中发〔2018〕</w:t>
      </w:r>
      <w:r>
        <w:rPr>
          <w:rFonts w:ascii="仿宋_GB2312" w:hAnsi="仿宋"/>
          <w:color w:val="auto"/>
          <w:szCs w:val="28"/>
          <w:highlight w:val="none"/>
        </w:rPr>
        <w:t>34</w:t>
      </w:r>
      <w:r>
        <w:rPr>
          <w:rFonts w:hint="eastAsia" w:ascii="仿宋_GB2312" w:hAnsi="仿宋"/>
          <w:color w:val="auto"/>
          <w:szCs w:val="28"/>
          <w:highlight w:val="none"/>
        </w:rPr>
        <w:t>号）、《关于印发</w:t>
      </w:r>
      <w:r>
        <w:rPr>
          <w:rFonts w:hint="eastAsia" w:ascii="仿宋_GB2312" w:hAnsi="仿宋"/>
          <w:color w:val="auto"/>
          <w:szCs w:val="28"/>
          <w:highlight w:val="none"/>
          <w:lang w:eastAsia="zh-CN"/>
        </w:rPr>
        <w:t>〈</w:t>
      </w:r>
      <w:r>
        <w:rPr>
          <w:rFonts w:hint="eastAsia" w:ascii="仿宋_GB2312" w:hAnsi="仿宋"/>
          <w:color w:val="auto"/>
          <w:szCs w:val="28"/>
          <w:highlight w:val="none"/>
        </w:rPr>
        <w:t>乌鲁木齐市本级部门预算绩效目标管理暂行办法</w:t>
      </w:r>
      <w:r>
        <w:rPr>
          <w:rFonts w:hint="eastAsia" w:ascii="仿宋_GB2312" w:hAnsi="仿宋"/>
          <w:color w:val="auto"/>
          <w:szCs w:val="28"/>
          <w:highlight w:val="none"/>
          <w:lang w:eastAsia="zh-CN"/>
        </w:rPr>
        <w:t>〉</w:t>
      </w:r>
      <w:r>
        <w:rPr>
          <w:rFonts w:hint="eastAsia" w:ascii="仿宋_GB2312" w:hAnsi="仿宋"/>
          <w:color w:val="auto"/>
          <w:szCs w:val="28"/>
          <w:highlight w:val="none"/>
        </w:rPr>
        <w:t>的通知》（乌财预</w:t>
      </w:r>
      <w:bookmarkStart w:id="7" w:name="_Hlk67566397"/>
      <w:r>
        <w:rPr>
          <w:rFonts w:hint="eastAsia" w:ascii="仿宋_GB2312" w:hAnsi="仿宋"/>
          <w:color w:val="auto"/>
          <w:szCs w:val="28"/>
          <w:highlight w:val="none"/>
        </w:rPr>
        <w:t>〔2018〕</w:t>
      </w:r>
      <w:r>
        <w:rPr>
          <w:rFonts w:ascii="仿宋_GB2312" w:hAnsi="仿宋"/>
          <w:color w:val="auto"/>
          <w:szCs w:val="28"/>
          <w:highlight w:val="none"/>
        </w:rPr>
        <w:t>5</w:t>
      </w:r>
      <w:r>
        <w:rPr>
          <w:rFonts w:hint="eastAsia" w:ascii="仿宋_GB2312" w:hAnsi="仿宋"/>
          <w:color w:val="auto"/>
          <w:szCs w:val="28"/>
          <w:highlight w:val="none"/>
        </w:rPr>
        <w:t>6号</w:t>
      </w:r>
      <w:bookmarkEnd w:id="7"/>
      <w:r>
        <w:rPr>
          <w:rFonts w:hint="eastAsia" w:ascii="仿宋_GB2312" w:hAnsi="仿宋"/>
          <w:color w:val="auto"/>
          <w:szCs w:val="28"/>
          <w:highlight w:val="none"/>
        </w:rPr>
        <w:t>）、《关于做好2</w:t>
      </w:r>
      <w:r>
        <w:rPr>
          <w:rFonts w:ascii="仿宋_GB2312" w:hAnsi="仿宋"/>
          <w:color w:val="auto"/>
          <w:szCs w:val="28"/>
          <w:highlight w:val="none"/>
        </w:rPr>
        <w:t>019</w:t>
      </w:r>
      <w:r>
        <w:rPr>
          <w:rFonts w:hint="eastAsia" w:ascii="仿宋_GB2312" w:hAnsi="仿宋"/>
          <w:color w:val="auto"/>
          <w:szCs w:val="28"/>
          <w:highlight w:val="none"/>
        </w:rPr>
        <w:t>年部门预算项目支出绩效目标管理有关事宜的通知》（乌财预〔20</w:t>
      </w:r>
      <w:r>
        <w:rPr>
          <w:rFonts w:ascii="仿宋_GB2312" w:hAnsi="仿宋"/>
          <w:color w:val="auto"/>
          <w:szCs w:val="28"/>
          <w:highlight w:val="none"/>
        </w:rPr>
        <w:t>18</w:t>
      </w:r>
      <w:r>
        <w:rPr>
          <w:rFonts w:hint="eastAsia" w:ascii="仿宋_GB2312" w:hAnsi="仿宋"/>
          <w:color w:val="auto"/>
          <w:szCs w:val="28"/>
          <w:highlight w:val="none"/>
        </w:rPr>
        <w:t>〕</w:t>
      </w:r>
      <w:r>
        <w:rPr>
          <w:rFonts w:ascii="仿宋_GB2312" w:hAnsi="仿宋"/>
          <w:color w:val="auto"/>
          <w:szCs w:val="28"/>
          <w:highlight w:val="none"/>
        </w:rPr>
        <w:t>76</w:t>
      </w:r>
      <w:r>
        <w:rPr>
          <w:rFonts w:hint="eastAsia" w:ascii="仿宋_GB2312" w:hAnsi="仿宋"/>
          <w:color w:val="auto"/>
          <w:szCs w:val="28"/>
          <w:highlight w:val="none"/>
        </w:rPr>
        <w:t>号）和《项目支出绩效评价管理办法》（财预〔20</w:t>
      </w:r>
      <w:r>
        <w:rPr>
          <w:rFonts w:ascii="仿宋_GB2312" w:hAnsi="仿宋"/>
          <w:color w:val="auto"/>
          <w:szCs w:val="28"/>
          <w:highlight w:val="none"/>
        </w:rPr>
        <w:t>20</w:t>
      </w:r>
      <w:r>
        <w:rPr>
          <w:rFonts w:hint="eastAsia" w:ascii="仿宋_GB2312" w:hAnsi="仿宋"/>
          <w:color w:val="auto"/>
          <w:szCs w:val="28"/>
          <w:highlight w:val="none"/>
        </w:rPr>
        <w:t>〕</w:t>
      </w:r>
      <w:r>
        <w:rPr>
          <w:rFonts w:ascii="仿宋_GB2312" w:hAnsi="仿宋"/>
          <w:color w:val="auto"/>
          <w:szCs w:val="28"/>
          <w:highlight w:val="none"/>
        </w:rPr>
        <w:t>10</w:t>
      </w:r>
      <w:r>
        <w:rPr>
          <w:rFonts w:hint="eastAsia" w:ascii="仿宋_GB2312" w:hAnsi="仿宋"/>
          <w:color w:val="auto"/>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560"/>
        <w:jc w:val="left"/>
        <w:textAlignment w:val="baseline"/>
        <w:rPr>
          <w:rFonts w:hint="default" w:ascii="仿宋_GB2312" w:hAnsi="仿宋"/>
          <w:color w:val="auto"/>
          <w:szCs w:val="28"/>
          <w:highlight w:val="none"/>
        </w:rPr>
      </w:pPr>
      <w:r>
        <w:rPr>
          <w:rFonts w:hint="default" w:ascii="仿宋_GB2312" w:hAnsi="仿宋"/>
          <w:color w:val="auto"/>
          <w:szCs w:val="28"/>
          <w:highlight w:val="none"/>
          <w:lang w:val="en-US" w:eastAsia="zh-CN"/>
        </w:rPr>
        <w:t>按自治区疫情指挥部现场督导要求和疫情防控总体部署，结合本市疫情防控实际情况及病人需求</w:t>
      </w:r>
      <w:r>
        <w:rPr>
          <w:rFonts w:hint="eastAsia" w:ascii="仿宋_GB2312" w:hAnsi="仿宋"/>
          <w:color w:val="auto"/>
          <w:szCs w:val="28"/>
          <w:highlight w:val="none"/>
          <w:lang w:val="en-US"/>
        </w:rPr>
        <w:t>，</w:t>
      </w:r>
      <w:r>
        <w:rPr>
          <w:rFonts w:hint="default" w:ascii="仿宋_GB2312" w:hAnsi="仿宋"/>
          <w:color w:val="auto"/>
          <w:szCs w:val="28"/>
          <w:highlight w:val="none"/>
          <w:lang w:val="en-US" w:eastAsia="zh-CN"/>
        </w:rPr>
        <w:t>10月7日经国家专家组现场实地考察论证，需紧急将我院设置为新冠肺炎阳性患者收治定点医院 ，以便在疫情期间解决收治患者的体内多溶质和急慢性肾功能衰竭的有效治疗的保障能力</w:t>
      </w:r>
      <w:r>
        <w:rPr>
          <w:rFonts w:hint="eastAsia" w:ascii="仿宋_GB2312" w:hAnsi="仿宋"/>
          <w:color w:val="auto"/>
          <w:szCs w:val="28"/>
          <w:highlight w:val="none"/>
          <w:lang w:val="en-US" w:eastAsia="zh-CN"/>
        </w:rPr>
        <w:t>的问题。</w:t>
      </w:r>
      <w:r>
        <w:rPr>
          <w:rFonts w:hint="default" w:ascii="仿宋_GB2312" w:hAnsi="仿宋"/>
          <w:color w:val="auto"/>
          <w:szCs w:val="28"/>
          <w:highlight w:val="none"/>
          <w:lang w:val="en-US" w:eastAsia="zh-CN"/>
        </w:rPr>
        <w:t>为保质保量完成上级交予的工作任务，根据国家专家组现场意见，2022年10月24日</w:t>
      </w:r>
      <w:r>
        <w:rPr>
          <w:rFonts w:hint="eastAsia" w:ascii="仿宋_GB2312" w:hAnsi="仿宋"/>
          <w:color w:val="auto"/>
          <w:szCs w:val="28"/>
          <w:highlight w:val="none"/>
          <w:lang w:val="en-US" w:eastAsia="zh-CN"/>
        </w:rPr>
        <w:t>建设10套</w:t>
      </w:r>
      <w:r>
        <w:rPr>
          <w:rFonts w:hint="default" w:ascii="仿宋_GB2312" w:hAnsi="仿宋"/>
          <w:color w:val="auto"/>
          <w:szCs w:val="28"/>
          <w:highlight w:val="none"/>
          <w:lang w:val="en-US" w:eastAsia="zh-CN"/>
        </w:rPr>
        <w:t>威高血透方舱（共计40台血透机）、</w:t>
      </w:r>
      <w:r>
        <w:rPr>
          <w:rFonts w:hint="eastAsia" w:ascii="仿宋_GB2312" w:hAnsi="仿宋"/>
          <w:color w:val="auto"/>
          <w:szCs w:val="28"/>
          <w:highlight w:val="none"/>
          <w:lang w:val="en-US" w:eastAsia="zh-CN"/>
        </w:rPr>
        <w:t>2套</w:t>
      </w:r>
      <w:r>
        <w:rPr>
          <w:rFonts w:hint="default" w:ascii="仿宋_GB2312" w:hAnsi="仿宋"/>
          <w:color w:val="auto"/>
          <w:szCs w:val="28"/>
          <w:highlight w:val="none"/>
          <w:lang w:val="en-US" w:eastAsia="zh-CN"/>
        </w:rPr>
        <w:t>更衣舱、2</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依据2022年11月2日新疆维吾尔自治区新冠肺炎疫情防控工作指挥部《关于统筹调配使用血透方舱的通知》（新指函〔2022〕823号）文件精神（附件1），分别在乌鲁木齐国际医院及自治区第三人民医院进行安装，总价为2578.0404万元，其中在乌鲁木齐国际医院安装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水机舱，共计费用1356.3</w:t>
      </w:r>
      <w:r>
        <w:rPr>
          <w:rFonts w:hint="eastAsia" w:ascii="仿宋_GB2312" w:hAnsi="仿宋"/>
          <w:color w:val="auto"/>
          <w:szCs w:val="28"/>
          <w:highlight w:val="none"/>
          <w:lang w:val="en-US" w:eastAsia="zh-CN"/>
        </w:rPr>
        <w:t>3</w:t>
      </w:r>
      <w:r>
        <w:rPr>
          <w:rFonts w:hint="default" w:ascii="仿宋_GB2312" w:hAnsi="仿宋"/>
          <w:color w:val="auto"/>
          <w:szCs w:val="28"/>
          <w:highlight w:val="none"/>
          <w:lang w:val="en-US" w:eastAsia="zh-CN"/>
        </w:rPr>
        <w:t>万元。在自治区第三人民医院安装5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水机舱，共计费用为1221.71万元。</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560"/>
        <w:jc w:val="left"/>
        <w:textAlignment w:val="baseline"/>
        <w:rPr>
          <w:rFonts w:hint="default" w:ascii="仿宋_GB2312" w:hAnsi="仿宋"/>
          <w:color w:val="auto"/>
          <w:szCs w:val="28"/>
          <w:highlight w:val="none"/>
          <w:lang w:val="en-US" w:eastAsia="zh-CN"/>
        </w:rPr>
      </w:pPr>
      <w:r>
        <w:rPr>
          <w:rFonts w:hint="eastAsia" w:ascii="仿宋_GB2312" w:hAnsi="仿宋"/>
          <w:color w:val="auto"/>
          <w:szCs w:val="28"/>
          <w:highlight w:val="none"/>
          <w:lang w:val="en-US" w:eastAsia="zh-CN"/>
        </w:rPr>
        <w:t>该项目为跨年项目</w:t>
      </w:r>
      <w:r>
        <w:rPr>
          <w:rFonts w:hint="default" w:ascii="仿宋_GB2312" w:hAnsi="仿宋"/>
          <w:color w:val="auto"/>
          <w:szCs w:val="28"/>
          <w:highlight w:val="none"/>
          <w:lang w:val="en-US" w:eastAsia="zh-CN"/>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560"/>
        <w:jc w:val="left"/>
        <w:textAlignment w:val="baseline"/>
        <w:rPr>
          <w:rFonts w:hint="eastAsia" w:ascii="仿宋_GB2312" w:hAnsi="仿宋"/>
          <w:color w:val="auto"/>
          <w:szCs w:val="28"/>
          <w:highlight w:val="none"/>
          <w:lang w:val="en-US" w:eastAsia="zh-CN"/>
        </w:rPr>
      </w:pPr>
      <w:r>
        <w:rPr>
          <w:rFonts w:hint="eastAsia" w:ascii="仿宋_GB2312" w:hAnsi="仿宋"/>
          <w:color w:val="auto"/>
          <w:szCs w:val="28"/>
          <w:highlight w:val="none"/>
          <w:lang w:val="en-US" w:eastAsia="zh-CN"/>
        </w:rPr>
        <w:t>该项目总体绩效目标：</w:t>
      </w:r>
      <w:r>
        <w:rPr>
          <w:rFonts w:hint="eastAsia" w:ascii="仿宋_GB2312"/>
          <w:color w:val="auto"/>
          <w:highlight w:val="none"/>
          <w:lang w:val="en-US" w:eastAsia="zh-CN"/>
        </w:rPr>
        <w:t>解决疫情期间特殊患者的就医需求，</w:t>
      </w:r>
      <w:r>
        <w:rPr>
          <w:rFonts w:hint="eastAsia" w:ascii="仿宋_GB2312"/>
          <w:color w:val="auto"/>
          <w:highlight w:val="none"/>
          <w:lang w:eastAsia="zh-CN"/>
        </w:rPr>
        <w:t>保障医院工作的正常开展；设备的投入使用</w:t>
      </w:r>
      <w:r>
        <w:rPr>
          <w:rFonts w:hint="eastAsia" w:ascii="仿宋_GB2312"/>
          <w:color w:val="auto"/>
          <w:highlight w:val="none"/>
        </w:rPr>
        <w:t>有效提升医疗服务能力</w:t>
      </w:r>
      <w:r>
        <w:rPr>
          <w:rFonts w:hint="eastAsia" w:ascii="仿宋_GB2312"/>
          <w:color w:val="auto"/>
          <w:highlight w:val="none"/>
          <w:lang w:eastAsia="zh-CN"/>
        </w:rPr>
        <w:t>。新增</w:t>
      </w:r>
      <w:r>
        <w:rPr>
          <w:rFonts w:hint="eastAsia" w:ascii="仿宋_GB2312"/>
          <w:color w:val="auto"/>
          <w:highlight w:val="none"/>
          <w:lang w:val="en-US" w:eastAsia="zh-CN"/>
        </w:rPr>
        <w:t>20个血透机位，日均单机服务4-6名患者，日接诊能力约100人次，较改造前提升100%。提高危急重症患者救治成功率，分担乌鲁木齐市30%以上新冠透析患者压力，</w:t>
      </w:r>
      <w:r>
        <w:rPr>
          <w:rFonts w:hint="eastAsia" w:ascii="仿宋_GB2312" w:hAnsi="仿宋"/>
          <w:color w:val="auto"/>
          <w:szCs w:val="28"/>
          <w:highlight w:val="none"/>
          <w:lang w:val="en-US" w:eastAsia="zh-CN"/>
        </w:rPr>
        <w:t>提升医院服务能力。</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560"/>
        <w:jc w:val="left"/>
        <w:textAlignment w:val="baseline"/>
        <w:rPr>
          <w:rFonts w:hint="eastAsia" w:ascii="仿宋_GB2312" w:hAnsi="仿宋" w:eastAsia="仿宋_GB2312"/>
          <w:color w:val="auto"/>
          <w:szCs w:val="28"/>
          <w:highlight w:val="yellow"/>
          <w:lang w:val="en-US" w:eastAsia="zh-CN"/>
        </w:rPr>
      </w:pPr>
      <w:r>
        <w:rPr>
          <w:rFonts w:hint="default" w:ascii="仿宋_GB2312" w:hAnsi="仿宋"/>
          <w:color w:val="auto"/>
          <w:szCs w:val="28"/>
          <w:highlight w:val="none"/>
          <w:lang w:val="en-US" w:eastAsia="zh-CN"/>
        </w:rPr>
        <w:t>该项目阶段性目标为：根据国家专家组现场意见，</w:t>
      </w:r>
      <w:r>
        <w:rPr>
          <w:rFonts w:hint="eastAsia" w:ascii="仿宋_GB2312" w:hAnsi="仿宋"/>
          <w:color w:val="auto"/>
          <w:szCs w:val="28"/>
          <w:highlight w:val="none"/>
          <w:lang w:val="en-US" w:eastAsia="zh-CN"/>
        </w:rPr>
        <w:t>建设10套</w:t>
      </w:r>
      <w:r>
        <w:rPr>
          <w:rFonts w:hint="default" w:ascii="仿宋_GB2312" w:hAnsi="仿宋"/>
          <w:color w:val="auto"/>
          <w:szCs w:val="28"/>
          <w:highlight w:val="none"/>
          <w:lang w:val="en-US" w:eastAsia="zh-CN"/>
        </w:rPr>
        <w:t>威高血透方舱（共计40台血透机）、</w:t>
      </w:r>
      <w:r>
        <w:rPr>
          <w:rFonts w:hint="eastAsia" w:ascii="仿宋_GB2312" w:hAnsi="仿宋"/>
          <w:color w:val="auto"/>
          <w:szCs w:val="28"/>
          <w:highlight w:val="none"/>
          <w:lang w:val="en-US" w:eastAsia="zh-CN"/>
        </w:rPr>
        <w:t>2套</w:t>
      </w:r>
      <w:r>
        <w:rPr>
          <w:rFonts w:hint="default" w:ascii="仿宋_GB2312" w:hAnsi="仿宋"/>
          <w:color w:val="auto"/>
          <w:szCs w:val="28"/>
          <w:highlight w:val="none"/>
          <w:lang w:val="en-US" w:eastAsia="zh-CN"/>
        </w:rPr>
        <w:t>更衣舱、2</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水机舱。依据2022年11月2日新疆维吾尔自治区新冠肺炎疫情防控工作指挥部《关于统筹调配使用血透方舱的通知》（新指函〔2022〕823号）文件精神分别在乌鲁木齐国际医院及自治区第三人民医院进行安装</w:t>
      </w:r>
      <w:r>
        <w:rPr>
          <w:rFonts w:hint="eastAsia" w:ascii="仿宋_GB2312" w:hAnsi="仿宋"/>
          <w:color w:val="auto"/>
          <w:szCs w:val="28"/>
          <w:highlight w:val="none"/>
          <w:lang w:val="en-US" w:eastAsia="zh-CN"/>
        </w:rPr>
        <w:t>。</w:t>
      </w:r>
      <w:r>
        <w:rPr>
          <w:rFonts w:hint="eastAsia" w:ascii="仿宋_GB2312"/>
          <w:color w:val="auto"/>
          <w:highlight w:val="none"/>
          <w:lang w:val="en-US" w:eastAsia="zh-CN"/>
        </w:rPr>
        <w:t>解决疫情期间特殊患者的就医需求，</w:t>
      </w:r>
      <w:r>
        <w:rPr>
          <w:rFonts w:hint="eastAsia" w:ascii="仿宋_GB2312"/>
          <w:color w:val="auto"/>
          <w:highlight w:val="none"/>
          <w:lang w:eastAsia="zh-CN"/>
        </w:rPr>
        <w:t>保障医院工作的正常开展，设备的投入使用</w:t>
      </w:r>
      <w:r>
        <w:rPr>
          <w:rFonts w:hint="eastAsia" w:ascii="仿宋_GB2312"/>
          <w:color w:val="auto"/>
          <w:highlight w:val="none"/>
        </w:rPr>
        <w:t>有效提升医疗服务能力</w:t>
      </w:r>
      <w:r>
        <w:rPr>
          <w:rFonts w:hint="eastAsia" w:ascii="仿宋_GB2312"/>
          <w:color w:val="auto"/>
          <w:highlight w:val="none"/>
          <w:lang w:eastAsia="zh-CN"/>
        </w:rPr>
        <w:t>。</w:t>
      </w:r>
    </w:p>
    <w:p>
      <w:pPr>
        <w:pStyle w:val="2"/>
        <w:ind w:firstLine="0" w:firstLineChars="0"/>
        <w:jc w:val="left"/>
        <w:rPr>
          <w:rFonts w:ascii="仿宋" w:hAnsi="仿宋" w:eastAsia="仿宋"/>
          <w:color w:val="auto"/>
          <w:sz w:val="36"/>
          <w:szCs w:val="36"/>
          <w:highlight w:val="none"/>
          <w:lang w:bidi="en-US"/>
        </w:rPr>
      </w:pPr>
      <w:bookmarkStart w:id="8" w:name="_Toc165277225"/>
      <w:bookmarkStart w:id="9" w:name="_Toc67911604"/>
      <w:r>
        <w:rPr>
          <w:rFonts w:hint="eastAsia" w:ascii="仿宋" w:hAnsi="仿宋" w:eastAsia="仿宋"/>
          <w:color w:val="auto"/>
          <w:sz w:val="36"/>
          <w:szCs w:val="36"/>
          <w:highlight w:val="none"/>
          <w:lang w:bidi="en-US"/>
        </w:rPr>
        <w:t>二、绩效评价工作开展情况</w:t>
      </w:r>
      <w:bookmarkEnd w:id="8"/>
      <w:bookmarkEnd w:id="9"/>
    </w:p>
    <w:p>
      <w:pPr>
        <w:pStyle w:val="3"/>
        <w:ind w:firstLine="643"/>
        <w:rPr>
          <w:rFonts w:ascii="仿宋" w:hAnsi="仿宋" w:eastAsia="仿宋"/>
          <w:color w:val="auto"/>
          <w:highlight w:val="none"/>
          <w:lang w:bidi="en-US"/>
        </w:rPr>
      </w:pPr>
      <w:bookmarkStart w:id="10" w:name="_Toc67911605"/>
      <w:bookmarkStart w:id="11" w:name="_Toc165277226"/>
      <w:r>
        <w:rPr>
          <w:rFonts w:hint="eastAsia" w:ascii="仿宋" w:hAnsi="仿宋" w:eastAsia="仿宋"/>
          <w:color w:val="auto"/>
          <w:highlight w:val="none"/>
          <w:lang w:bidi="en-US"/>
        </w:rPr>
        <w:t>（一）绩效评价目的、对象和范围</w:t>
      </w:r>
      <w:bookmarkEnd w:id="10"/>
      <w:bookmarkEnd w:id="11"/>
    </w:p>
    <w:p>
      <w:pPr>
        <w:pStyle w:val="4"/>
        <w:ind w:firstLine="643"/>
        <w:rPr>
          <w:color w:val="auto"/>
          <w:highlight w:val="none"/>
        </w:rPr>
      </w:pPr>
      <w:bookmarkStart w:id="12" w:name="_Toc165277227"/>
      <w:r>
        <w:rPr>
          <w:rFonts w:hint="eastAsia"/>
          <w:color w:val="auto"/>
          <w:highlight w:val="none"/>
        </w:rPr>
        <w:t>1</w:t>
      </w:r>
      <w:r>
        <w:rPr>
          <w:color w:val="auto"/>
          <w:highlight w:val="none"/>
        </w:rPr>
        <w:t>.绩效评价完整性</w:t>
      </w:r>
      <w:bookmarkEnd w:id="12"/>
    </w:p>
    <w:p>
      <w:pPr>
        <w:spacing w:line="360" w:lineRule="auto"/>
        <w:ind w:firstLine="560"/>
        <w:rPr>
          <w:rFonts w:hint="eastAsia" w:ascii="仿宋_GB2312" w:hAnsi="仿宋"/>
          <w:color w:val="auto"/>
          <w:szCs w:val="28"/>
          <w:highlight w:val="none"/>
        </w:rPr>
      </w:pPr>
      <w:bookmarkStart w:id="13" w:name="_Toc165277228"/>
      <w:r>
        <w:rPr>
          <w:rFonts w:hint="eastAsia" w:ascii="仿宋_GB2312" w:hAnsi="仿宋"/>
          <w:color w:val="auto"/>
          <w:szCs w:val="28"/>
          <w:highlight w:val="none"/>
        </w:rPr>
        <w:t>项目围绕</w:t>
      </w:r>
      <w:r>
        <w:rPr>
          <w:rFonts w:hint="eastAsia" w:ascii="仿宋_GB2312" w:hAnsi="仿宋"/>
          <w:color w:val="auto"/>
          <w:szCs w:val="28"/>
          <w:highlight w:val="none"/>
          <w:lang w:eastAsia="zh-CN"/>
        </w:rPr>
        <w:t>血透方舱的设备购置以及</w:t>
      </w:r>
      <w:r>
        <w:rPr>
          <w:rFonts w:hint="eastAsia" w:ascii="仿宋_GB2312" w:hAnsi="仿宋"/>
          <w:color w:val="auto"/>
          <w:szCs w:val="28"/>
          <w:highlight w:val="none"/>
        </w:rPr>
        <w:t>费用支付展开。当前绩效评价指标体系聚焦</w:t>
      </w:r>
      <w:r>
        <w:rPr>
          <w:rFonts w:hint="eastAsia" w:ascii="仿宋_GB2312" w:hAnsi="仿宋"/>
          <w:color w:val="auto"/>
          <w:szCs w:val="28"/>
          <w:highlight w:val="none"/>
          <w:lang w:eastAsia="zh-CN"/>
        </w:rPr>
        <w:t>购置内容</w:t>
      </w:r>
      <w:r>
        <w:rPr>
          <w:rFonts w:hint="eastAsia" w:ascii="仿宋_GB2312" w:hAnsi="仿宋"/>
          <w:color w:val="auto"/>
          <w:szCs w:val="28"/>
          <w:highlight w:val="none"/>
        </w:rPr>
        <w:t>，能完整体现项目目标、范围和要求。针对“及时完成设备采购及安装并支付费用，维持医院正常运转，提升医院服务能力”的总体目标，构建了多维度指标体系。如以“</w:t>
      </w:r>
      <w:r>
        <w:rPr>
          <w:rFonts w:hint="eastAsia" w:ascii="仿宋_GB2312" w:hAnsi="仿宋"/>
          <w:color w:val="auto"/>
          <w:szCs w:val="28"/>
          <w:highlight w:val="none"/>
          <w:lang w:eastAsia="zh-CN"/>
        </w:rPr>
        <w:t>设备购置种类”“设备验收合格率”“资金支付及时率”以及成本指标“血透方舱”“水处理舱”“防护穿脱舱”</w:t>
      </w:r>
      <w:r>
        <w:rPr>
          <w:rFonts w:hint="eastAsia" w:ascii="仿宋_GB2312" w:hAnsi="仿宋"/>
          <w:color w:val="auto"/>
          <w:szCs w:val="28"/>
          <w:highlight w:val="none"/>
        </w:rPr>
        <w:t>衡量采购与费用支付目标；通过“保障医院工作正常开展”“有效提升医疗服务能力”反映对医院正常运转的保障</w:t>
      </w:r>
      <w:r>
        <w:rPr>
          <w:rFonts w:hint="eastAsia" w:ascii="仿宋_GB2312" w:hAnsi="仿宋"/>
          <w:color w:val="auto"/>
          <w:szCs w:val="28"/>
          <w:highlight w:val="none"/>
          <w:lang w:eastAsia="zh-CN"/>
        </w:rPr>
        <w:t>以及</w:t>
      </w:r>
      <w:r>
        <w:rPr>
          <w:rFonts w:hint="eastAsia" w:ascii="仿宋_GB2312" w:hAnsi="仿宋"/>
          <w:color w:val="auto"/>
          <w:szCs w:val="28"/>
          <w:highlight w:val="none"/>
        </w:rPr>
        <w:t>医院服务能力</w:t>
      </w:r>
      <w:r>
        <w:rPr>
          <w:rFonts w:hint="eastAsia" w:ascii="仿宋_GB2312" w:hAnsi="仿宋"/>
          <w:color w:val="auto"/>
          <w:szCs w:val="28"/>
          <w:highlight w:val="none"/>
          <w:lang w:eastAsia="zh-CN"/>
        </w:rPr>
        <w:t>的</w:t>
      </w:r>
      <w:r>
        <w:rPr>
          <w:rFonts w:hint="eastAsia" w:ascii="仿宋_GB2312" w:hAnsi="仿宋"/>
          <w:color w:val="auto"/>
          <w:szCs w:val="28"/>
          <w:highlight w:val="none"/>
        </w:rPr>
        <w:t>提升成效。</w:t>
      </w:r>
      <w:r>
        <w:rPr>
          <w:rFonts w:hint="eastAsia" w:ascii="仿宋_GB2312" w:hAnsi="仿宋"/>
          <w:color w:val="auto"/>
          <w:szCs w:val="28"/>
          <w:highlight w:val="none"/>
          <w:lang w:eastAsia="zh-CN"/>
        </w:rPr>
        <w:t>项目</w:t>
      </w:r>
      <w:r>
        <w:rPr>
          <w:rFonts w:hint="eastAsia" w:ascii="仿宋_GB2312" w:hAnsi="仿宋"/>
          <w:color w:val="auto"/>
          <w:szCs w:val="28"/>
          <w:highlight w:val="none"/>
          <w:lang w:val="en-US" w:eastAsia="zh-CN"/>
        </w:rPr>
        <w:t>2022年</w:t>
      </w:r>
      <w:r>
        <w:rPr>
          <w:rFonts w:hint="eastAsia" w:ascii="仿宋_GB2312" w:hAnsi="仿宋"/>
          <w:color w:val="auto"/>
          <w:szCs w:val="28"/>
          <w:highlight w:val="none"/>
          <w:lang w:eastAsia="zh-CN"/>
        </w:rPr>
        <w:t>完成验收</w:t>
      </w:r>
      <w:r>
        <w:rPr>
          <w:rFonts w:hint="default" w:ascii="仿宋_GB2312" w:hAnsi="仿宋"/>
          <w:color w:val="auto"/>
          <w:szCs w:val="28"/>
          <w:highlight w:val="none"/>
          <w:lang w:val="en-US" w:eastAsia="zh-CN"/>
        </w:rPr>
        <w:t>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w:t>
      </w:r>
      <w:r>
        <w:rPr>
          <w:rFonts w:hint="eastAsia" w:ascii="仿宋_GB2312" w:hAnsi="仿宋"/>
          <w:color w:val="auto"/>
          <w:szCs w:val="28"/>
          <w:highlight w:val="none"/>
          <w:lang w:val="en-US" w:eastAsia="zh-CN"/>
        </w:rPr>
        <w:t>并投入使用</w:t>
      </w:r>
      <w:r>
        <w:rPr>
          <w:rFonts w:hint="default" w:ascii="仿宋_GB2312" w:hAnsi="仿宋"/>
          <w:color w:val="auto"/>
          <w:szCs w:val="28"/>
          <w:highlight w:val="none"/>
          <w:lang w:val="en-US" w:eastAsia="zh-CN"/>
        </w:rPr>
        <w:t>，</w:t>
      </w:r>
      <w:r>
        <w:rPr>
          <w:rFonts w:hint="eastAsia" w:ascii="仿宋_GB2312"/>
          <w:color w:val="auto"/>
          <w:highlight w:val="none"/>
          <w:lang w:eastAsia="zh-CN"/>
        </w:rPr>
        <w:t>新增</w:t>
      </w:r>
      <w:r>
        <w:rPr>
          <w:rFonts w:hint="eastAsia" w:ascii="仿宋_GB2312"/>
          <w:color w:val="auto"/>
          <w:highlight w:val="none"/>
          <w:lang w:val="en-US" w:eastAsia="zh-CN"/>
        </w:rPr>
        <w:t>20个血透机位，日均单机服务4-6名患者，日接诊能力约100人次，较改造前提升100%。提高危急重症患者救治成功率，分担乌鲁木齐市30%以上新冠透析患者压力，解决疫情期间特殊患者的就医需求，</w:t>
      </w:r>
      <w:r>
        <w:rPr>
          <w:rFonts w:hint="eastAsia" w:ascii="仿宋_GB2312"/>
          <w:color w:val="auto"/>
          <w:highlight w:val="none"/>
          <w:lang w:eastAsia="zh-CN"/>
        </w:rPr>
        <w:t>保障医院工作的正常开展。</w:t>
      </w:r>
      <w:r>
        <w:rPr>
          <w:rFonts w:hint="eastAsia" w:ascii="仿宋_GB2312" w:hAnsi="仿宋"/>
          <w:color w:val="auto"/>
          <w:szCs w:val="28"/>
          <w:highlight w:val="none"/>
        </w:rPr>
        <w:t>评价数据</w:t>
      </w:r>
      <w:r>
        <w:rPr>
          <w:rFonts w:hint="eastAsia" w:ascii="仿宋_GB2312" w:hAnsi="仿宋"/>
          <w:color w:val="auto"/>
          <w:szCs w:val="28"/>
          <w:highlight w:val="none"/>
          <w:lang w:eastAsia="zh-CN"/>
        </w:rPr>
        <w:t>中的</w:t>
      </w:r>
      <w:r>
        <w:rPr>
          <w:rFonts w:hint="eastAsia" w:ascii="仿宋_GB2312" w:hAnsi="仿宋"/>
          <w:color w:val="auto"/>
          <w:szCs w:val="28"/>
          <w:highlight w:val="none"/>
        </w:rPr>
        <w:t>设备采购与安装数据来源于设备管理部门的采购合同、验收报告</w:t>
      </w:r>
      <w:r>
        <w:rPr>
          <w:rFonts w:hint="eastAsia" w:ascii="仿宋_GB2312" w:hAnsi="仿宋"/>
          <w:color w:val="auto"/>
          <w:szCs w:val="28"/>
          <w:highlight w:val="none"/>
          <w:lang w:eastAsia="zh-CN"/>
        </w:rPr>
        <w:t>等资料；</w:t>
      </w:r>
      <w:r>
        <w:rPr>
          <w:rFonts w:hint="eastAsia" w:ascii="仿宋_GB2312" w:hAnsi="仿宋"/>
          <w:color w:val="auto"/>
          <w:szCs w:val="28"/>
          <w:highlight w:val="none"/>
        </w:rPr>
        <w:t>费用数据取自医院</w:t>
      </w:r>
      <w:r>
        <w:rPr>
          <w:rFonts w:hint="eastAsia" w:ascii="仿宋_GB2312" w:hAnsi="仿宋"/>
          <w:color w:val="auto"/>
          <w:szCs w:val="28"/>
          <w:highlight w:val="none"/>
          <w:lang w:eastAsia="zh-CN"/>
        </w:rPr>
        <w:t>金蝶</w:t>
      </w:r>
      <w:r>
        <w:rPr>
          <w:rFonts w:hint="eastAsia" w:ascii="仿宋_GB2312" w:hAnsi="仿宋"/>
          <w:color w:val="auto"/>
          <w:szCs w:val="28"/>
          <w:highlight w:val="none"/>
        </w:rPr>
        <w:t>系统的资金支付凭证</w:t>
      </w:r>
      <w:r>
        <w:rPr>
          <w:rFonts w:hint="eastAsia" w:ascii="仿宋_GB2312" w:hAnsi="仿宋"/>
          <w:color w:val="auto"/>
          <w:szCs w:val="28"/>
          <w:highlight w:val="none"/>
          <w:lang w:eastAsia="zh-CN"/>
        </w:rPr>
        <w:t>；</w:t>
      </w:r>
      <w:r>
        <w:rPr>
          <w:rFonts w:hint="eastAsia" w:ascii="仿宋_GB2312" w:hAnsi="仿宋"/>
          <w:color w:val="auto"/>
          <w:szCs w:val="28"/>
          <w:highlight w:val="none"/>
        </w:rPr>
        <w:t>服务数据</w:t>
      </w:r>
      <w:r>
        <w:rPr>
          <w:rFonts w:hint="eastAsia" w:ascii="仿宋_GB2312" w:hAnsi="仿宋"/>
          <w:color w:val="auto"/>
          <w:szCs w:val="28"/>
          <w:highlight w:val="none"/>
          <w:lang w:eastAsia="zh-CN"/>
        </w:rPr>
        <w:t>来源于</w:t>
      </w:r>
      <w:r>
        <w:rPr>
          <w:rFonts w:hint="eastAsia" w:ascii="仿宋_GB2312" w:hAnsi="仿宋"/>
          <w:color w:val="auto"/>
          <w:szCs w:val="28"/>
          <w:highlight w:val="none"/>
        </w:rPr>
        <w:t>满意度调查的反馈数据</w:t>
      </w:r>
      <w:r>
        <w:rPr>
          <w:rFonts w:hint="eastAsia" w:ascii="仿宋_GB2312" w:hAnsi="仿宋"/>
          <w:color w:val="auto"/>
          <w:szCs w:val="28"/>
          <w:highlight w:val="none"/>
          <w:lang w:eastAsia="zh-CN"/>
        </w:rPr>
        <w:t>，为绩效评价提供可靠依据。该项目</w:t>
      </w:r>
      <w:r>
        <w:rPr>
          <w:rFonts w:hint="eastAsia" w:ascii="仿宋_GB2312"/>
          <w:color w:val="auto"/>
          <w:szCs w:val="28"/>
          <w:highlight w:val="none"/>
        </w:rPr>
        <w:t>最终评分结果为：总分为</w:t>
      </w:r>
      <w:r>
        <w:rPr>
          <w:rFonts w:hint="eastAsia" w:ascii="仿宋_GB2312"/>
          <w:color w:val="auto"/>
          <w:szCs w:val="28"/>
          <w:highlight w:val="none"/>
          <w:lang w:val="en-US" w:eastAsia="zh-CN"/>
        </w:rPr>
        <w:t>97.74</w:t>
      </w:r>
      <w:r>
        <w:rPr>
          <w:rFonts w:hint="eastAsia" w:ascii="仿宋_GB2312"/>
          <w:color w:val="auto"/>
          <w:szCs w:val="28"/>
          <w:highlight w:val="none"/>
        </w:rPr>
        <w:t>分，绩效评级为“优”。</w:t>
      </w:r>
    </w:p>
    <w:p>
      <w:pPr>
        <w:pStyle w:val="4"/>
        <w:ind w:firstLine="643"/>
        <w:rPr>
          <w:color w:val="auto"/>
          <w:highlight w:val="none"/>
        </w:rPr>
      </w:pPr>
      <w:r>
        <w:rPr>
          <w:color w:val="auto"/>
          <w:highlight w:val="none"/>
        </w:rPr>
        <w:t>2</w:t>
      </w:r>
      <w:r>
        <w:rPr>
          <w:rFonts w:hint="eastAsia"/>
          <w:color w:val="auto"/>
          <w:highlight w:val="none"/>
        </w:rPr>
        <w:t>.评价目的</w:t>
      </w:r>
      <w:bookmarkEnd w:id="13"/>
    </w:p>
    <w:p>
      <w:pPr>
        <w:spacing w:line="360" w:lineRule="auto"/>
        <w:ind w:firstLine="560"/>
        <w:rPr>
          <w:rFonts w:ascii="仿宋_GB2312"/>
          <w:color w:val="auto"/>
          <w:highlight w:val="none"/>
        </w:rPr>
      </w:pPr>
      <w:r>
        <w:rPr>
          <w:rFonts w:hint="eastAsia" w:ascii="仿宋_GB2312"/>
          <w:color w:val="auto"/>
          <w:highlight w:val="none"/>
        </w:rPr>
        <w:t>本项工作旨在落实</w:t>
      </w:r>
      <w:r>
        <w:rPr>
          <w:rFonts w:hint="eastAsia" w:ascii="仿宋_GB2312"/>
          <w:color w:val="auto"/>
          <w:highlight w:val="none"/>
          <w:lang w:eastAsia="zh-CN"/>
        </w:rPr>
        <w:t>《中共中央 国务院</w:t>
      </w:r>
      <w:r>
        <w:rPr>
          <w:rFonts w:hint="eastAsia" w:ascii="仿宋_GB2312"/>
          <w:color w:val="auto"/>
          <w:highlight w:val="none"/>
        </w:rPr>
        <w:t>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2023年血透方舱建设项目（上年结转资金）</w:t>
      </w:r>
      <w:r>
        <w:rPr>
          <w:rFonts w:ascii="仿宋_GB2312"/>
          <w:color w:val="auto"/>
          <w:highlight w:val="none"/>
        </w:rPr>
        <w:t>项目的</w:t>
      </w:r>
      <w:r>
        <w:rPr>
          <w:rFonts w:hint="eastAsia" w:ascii="仿宋_GB2312"/>
          <w:color w:val="auto"/>
          <w:highlight w:val="none"/>
        </w:rPr>
        <w:t>实施情况，并考察项目实施过程和效果。</w:t>
      </w:r>
    </w:p>
    <w:p>
      <w:pPr>
        <w:spacing w:line="360" w:lineRule="auto"/>
        <w:ind w:firstLine="560"/>
        <w:rPr>
          <w:rFonts w:ascii="仿宋_GB2312"/>
          <w:b/>
          <w:bCs/>
          <w:color w:val="auto"/>
          <w:highlight w:val="none"/>
        </w:rPr>
      </w:pPr>
      <w:r>
        <w:rPr>
          <w:rFonts w:hint="eastAsia" w:ascii="仿宋_GB2312"/>
          <w:color w:val="auto"/>
          <w:highlight w:val="none"/>
          <w:lang w:eastAsia="zh-CN"/>
        </w:rPr>
        <w:t>（2）</w:t>
      </w:r>
      <w:r>
        <w:rPr>
          <w:rFonts w:hint="eastAsia" w:ascii="仿宋_GB2312"/>
          <w:color w:val="auto"/>
          <w:highlight w:val="none"/>
        </w:rPr>
        <w:t>通过评价，客观公正反映项目立项科学性、项目管理规范性、项目实施有效性和项目效果，总结项目实施的经验，发现项目实施过程中存在的问题，提高财政资金使用效益。</w:t>
      </w:r>
    </w:p>
    <w:p>
      <w:pPr>
        <w:pStyle w:val="4"/>
        <w:ind w:firstLine="643"/>
        <w:rPr>
          <w:color w:val="auto"/>
          <w:highlight w:val="none"/>
        </w:rPr>
      </w:pPr>
      <w:bookmarkStart w:id="14" w:name="_Toc165277229"/>
      <w:r>
        <w:rPr>
          <w:color w:val="auto"/>
          <w:highlight w:val="none"/>
        </w:rPr>
        <w:t>3</w:t>
      </w:r>
      <w:r>
        <w:rPr>
          <w:rFonts w:hint="eastAsia"/>
          <w:color w:val="auto"/>
          <w:highlight w:val="none"/>
        </w:rPr>
        <w:t>.评价对象</w:t>
      </w:r>
      <w:bookmarkEnd w:id="14"/>
    </w:p>
    <w:p>
      <w:pPr>
        <w:spacing w:line="360" w:lineRule="auto"/>
        <w:ind w:firstLine="560"/>
        <w:rPr>
          <w:rFonts w:ascii="仿宋_GB2312"/>
          <w:color w:val="auto"/>
          <w:highlight w:val="none"/>
        </w:rPr>
      </w:pPr>
      <w:r>
        <w:rPr>
          <w:rFonts w:hint="eastAsia" w:ascii="仿宋_GB2312"/>
          <w:color w:val="auto"/>
          <w:highlight w:val="none"/>
          <w:lang w:eastAsia="zh-CN"/>
        </w:rPr>
        <w:t>（1）</w:t>
      </w:r>
      <w:r>
        <w:rPr>
          <w:rFonts w:hint="eastAsia" w:ascii="仿宋_GB2312"/>
          <w:color w:val="auto"/>
          <w:highlight w:val="none"/>
        </w:rPr>
        <w:t>绩效评价的对象：2023年血透方舱建设项目（上年结转资金）</w:t>
      </w:r>
      <w:r>
        <w:rPr>
          <w:rFonts w:ascii="仿宋_GB2312"/>
          <w:color w:val="auto"/>
          <w:highlight w:val="none"/>
        </w:rPr>
        <w:t xml:space="preserve"> </w:t>
      </w:r>
    </w:p>
    <w:p>
      <w:pPr>
        <w:pStyle w:val="4"/>
        <w:ind w:firstLine="643"/>
        <w:rPr>
          <w:color w:val="auto"/>
          <w:highlight w:val="none"/>
        </w:rPr>
      </w:pPr>
      <w:bookmarkStart w:id="15" w:name="_Toc165277230"/>
      <w:r>
        <w:rPr>
          <w:rFonts w:hint="eastAsia"/>
          <w:color w:val="auto"/>
          <w:highlight w:val="none"/>
        </w:rPr>
        <w:t>4</w:t>
      </w:r>
      <w:r>
        <w:rPr>
          <w:color w:val="auto"/>
          <w:highlight w:val="none"/>
        </w:rPr>
        <w:t>.</w:t>
      </w:r>
      <w:r>
        <w:rPr>
          <w:rFonts w:hint="eastAsia"/>
          <w:color w:val="auto"/>
          <w:highlight w:val="none"/>
        </w:rPr>
        <w:t>绩效评价范围</w:t>
      </w:r>
      <w:bookmarkEnd w:id="15"/>
    </w:p>
    <w:p>
      <w:pPr>
        <w:spacing w:line="360" w:lineRule="auto"/>
        <w:ind w:firstLine="560"/>
        <w:rPr>
          <w:rFonts w:ascii="仿宋_GB2312"/>
          <w:color w:val="auto"/>
          <w:highlight w:val="none"/>
        </w:rPr>
      </w:pPr>
      <w:r>
        <w:rPr>
          <w:rFonts w:ascii="仿宋_GB2312"/>
          <w:color w:val="auto"/>
          <w:highlight w:val="none"/>
        </w:rPr>
        <w:t>1.</w:t>
      </w:r>
      <w:r>
        <w:rPr>
          <w:rFonts w:hint="eastAsia" w:ascii="仿宋_GB2312"/>
          <w:color w:val="auto"/>
          <w:highlight w:val="none"/>
        </w:rPr>
        <w:t>时间范围：2024年1月1日至2024年1</w:t>
      </w:r>
      <w:r>
        <w:rPr>
          <w:rFonts w:ascii="仿宋_GB2312"/>
          <w:color w:val="auto"/>
          <w:highlight w:val="none"/>
        </w:rPr>
        <w:t>2</w:t>
      </w:r>
      <w:r>
        <w:rPr>
          <w:rFonts w:hint="eastAsia" w:ascii="仿宋_GB2312"/>
          <w:color w:val="auto"/>
          <w:highlight w:val="none"/>
        </w:rPr>
        <w:t>月3</w:t>
      </w:r>
      <w:r>
        <w:rPr>
          <w:rFonts w:ascii="仿宋_GB2312"/>
          <w:color w:val="auto"/>
          <w:highlight w:val="none"/>
        </w:rPr>
        <w:t>1</w:t>
      </w:r>
      <w:r>
        <w:rPr>
          <w:rFonts w:hint="eastAsia" w:ascii="仿宋_GB2312"/>
          <w:color w:val="auto"/>
          <w:highlight w:val="none"/>
        </w:rPr>
        <w:t>日</w:t>
      </w:r>
    </w:p>
    <w:p>
      <w:pPr>
        <w:spacing w:line="360" w:lineRule="auto"/>
        <w:ind w:firstLine="560"/>
        <w:rPr>
          <w:rStyle w:val="22"/>
          <w:rFonts w:hint="eastAsia" w:eastAsia="仿宋_GB2312"/>
          <w:color w:val="auto"/>
          <w:highlight w:val="none"/>
          <w:lang w:eastAsia="zh-CN"/>
        </w:rPr>
      </w:pPr>
      <w:r>
        <w:rPr>
          <w:rFonts w:ascii="仿宋_GB2312"/>
          <w:color w:val="auto"/>
          <w:highlight w:val="none"/>
        </w:rPr>
        <w:t>2.</w:t>
      </w:r>
      <w:r>
        <w:rPr>
          <w:rFonts w:hint="eastAsia" w:ascii="仿宋_GB2312"/>
          <w:color w:val="auto"/>
          <w:highlight w:val="none"/>
        </w:rPr>
        <w:t>项目范围：</w:t>
      </w:r>
      <w:r>
        <w:rPr>
          <w:rFonts w:hint="default" w:ascii="仿宋_GB2312" w:hAnsi="Calibri" w:eastAsia="仿宋_GB2312" w:cs="仿宋_GB2312"/>
          <w:color w:val="auto"/>
          <w:kern w:val="2"/>
          <w:sz w:val="28"/>
          <w:szCs w:val="28"/>
          <w:highlight w:val="none"/>
          <w:lang w:val="en-US" w:eastAsia="zh-CN"/>
        </w:rPr>
        <w:t>2023年血透方舱建设项目（上年结转资金）</w:t>
      </w:r>
      <w:r>
        <w:rPr>
          <w:rFonts w:hint="eastAsia" w:ascii="仿宋_GB2312" w:cs="仿宋_GB2312"/>
          <w:color w:val="auto"/>
          <w:kern w:val="2"/>
          <w:sz w:val="28"/>
          <w:szCs w:val="28"/>
          <w:highlight w:val="none"/>
          <w:lang w:val="en-US" w:eastAsia="zh-CN"/>
        </w:rPr>
        <w:t>项目，</w:t>
      </w:r>
      <w:r>
        <w:rPr>
          <w:rFonts w:hint="eastAsia" w:ascii="仿宋_GB2312"/>
          <w:color w:val="auto"/>
          <w:highlight w:val="none"/>
        </w:rPr>
        <w:t>2022年为贯彻落实自治区疫情指挥部现场督导要求及疫情防控总体部署，结合本市疫情防控实际需求，经国家专家组于10月7日实地考察论证，确定将我院紧急设置为新冠肺炎阳性患者收治定点医院。为保障新冠肺炎阳性患者中体内多溶质失衡及急慢性肾功能衰竭患者的有效治疗，</w:t>
      </w:r>
      <w:r>
        <w:rPr>
          <w:rFonts w:hint="eastAsia" w:ascii="仿宋_GB2312"/>
          <w:color w:val="auto"/>
          <w:highlight w:val="none"/>
          <w:lang w:eastAsia="zh-CN"/>
        </w:rPr>
        <w:t>亟须快速提升</w:t>
      </w:r>
      <w:r>
        <w:rPr>
          <w:rFonts w:hint="eastAsia" w:ascii="仿宋_GB2312"/>
          <w:color w:val="auto"/>
          <w:highlight w:val="none"/>
        </w:rPr>
        <w:t>医院血液透析服务能力。经国家专家组现场指导，我院于2022年10月24日</w:t>
      </w:r>
      <w:r>
        <w:rPr>
          <w:rFonts w:hint="eastAsia" w:ascii="仿宋_GB2312"/>
          <w:color w:val="auto"/>
          <w:highlight w:val="none"/>
          <w:lang w:eastAsia="zh-CN"/>
        </w:rPr>
        <w:t>紧急建设</w:t>
      </w:r>
      <w:r>
        <w:rPr>
          <w:rFonts w:hint="default" w:ascii="仿宋_GB2312" w:hAnsi="仿宋"/>
          <w:color w:val="auto"/>
          <w:szCs w:val="28"/>
          <w:highlight w:val="none"/>
          <w:lang w:val="en-US" w:eastAsia="zh-CN"/>
        </w:rPr>
        <w:t>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w:t>
      </w:r>
      <w:r>
        <w:rPr>
          <w:rFonts w:hint="eastAsia" w:ascii="仿宋_GB2312"/>
          <w:color w:val="auto"/>
          <w:highlight w:val="none"/>
        </w:rPr>
        <w:t>，项目总投入资金1247万元。围绕项目目标，从产出、</w:t>
      </w:r>
      <w:r>
        <w:rPr>
          <w:rFonts w:hint="eastAsia" w:ascii="仿宋_GB2312"/>
          <w:color w:val="auto"/>
          <w:highlight w:val="none"/>
          <w:lang w:eastAsia="zh-CN"/>
        </w:rPr>
        <w:t>成本、</w:t>
      </w:r>
      <w:r>
        <w:rPr>
          <w:rFonts w:hint="eastAsia" w:ascii="仿宋_GB2312"/>
          <w:color w:val="auto"/>
          <w:highlight w:val="none"/>
        </w:rPr>
        <w:t>效益</w:t>
      </w:r>
      <w:r>
        <w:rPr>
          <w:rFonts w:hint="eastAsia" w:ascii="仿宋_GB2312"/>
          <w:color w:val="auto"/>
          <w:highlight w:val="none"/>
          <w:lang w:eastAsia="zh-CN"/>
        </w:rPr>
        <w:t>三</w:t>
      </w:r>
      <w:r>
        <w:rPr>
          <w:rFonts w:hint="eastAsia" w:ascii="仿宋_GB2312"/>
          <w:color w:val="auto"/>
          <w:highlight w:val="none"/>
        </w:rPr>
        <w:t>个维度构建指标体系：</w:t>
      </w:r>
      <w:r>
        <w:rPr>
          <w:rFonts w:hint="eastAsia" w:ascii="仿宋_GB2312"/>
          <w:color w:val="auto"/>
          <w:highlight w:val="none"/>
          <w:lang w:eastAsia="zh-CN"/>
        </w:rPr>
        <w:t>产出</w:t>
      </w:r>
      <w:r>
        <w:rPr>
          <w:rFonts w:hint="eastAsia" w:ascii="仿宋_GB2312"/>
          <w:color w:val="auto"/>
          <w:highlight w:val="none"/>
        </w:rPr>
        <w:t>指标</w:t>
      </w:r>
      <w:r>
        <w:rPr>
          <w:rFonts w:hint="eastAsia" w:ascii="仿宋_GB2312"/>
          <w:color w:val="auto"/>
          <w:highlight w:val="none"/>
          <w:lang w:eastAsia="zh-CN"/>
        </w:rPr>
        <w:t>“</w:t>
      </w:r>
      <w:r>
        <w:rPr>
          <w:rFonts w:hint="eastAsia" w:ascii="仿宋_GB2312"/>
          <w:color w:val="auto"/>
          <w:highlight w:val="none"/>
        </w:rPr>
        <w:t>设备</w:t>
      </w:r>
      <w:r>
        <w:rPr>
          <w:rFonts w:hint="eastAsia" w:ascii="仿宋_GB2312"/>
          <w:color w:val="auto"/>
          <w:highlight w:val="none"/>
          <w:lang w:eastAsia="zh-CN"/>
        </w:rPr>
        <w:t>购置种类”“</w:t>
      </w:r>
      <w:r>
        <w:rPr>
          <w:rFonts w:hint="eastAsia" w:ascii="仿宋_GB2312"/>
          <w:color w:val="auto"/>
          <w:highlight w:val="none"/>
        </w:rPr>
        <w:t>设备安装合格率</w:t>
      </w:r>
      <w:r>
        <w:rPr>
          <w:rFonts w:hint="eastAsia" w:ascii="仿宋_GB2312"/>
          <w:color w:val="auto"/>
          <w:highlight w:val="none"/>
          <w:lang w:eastAsia="zh-CN"/>
        </w:rPr>
        <w:t>”“资金支付及时率”成本</w:t>
      </w:r>
      <w:r>
        <w:rPr>
          <w:rFonts w:hint="eastAsia" w:ascii="仿宋_GB2312"/>
          <w:color w:val="auto"/>
          <w:highlight w:val="none"/>
        </w:rPr>
        <w:t>指标：</w:t>
      </w:r>
      <w:r>
        <w:rPr>
          <w:rFonts w:hint="eastAsia" w:ascii="仿宋_GB2312"/>
          <w:color w:val="auto"/>
          <w:highlight w:val="none"/>
          <w:lang w:eastAsia="zh-CN"/>
        </w:rPr>
        <w:t>“血透方舱”“水处理舱”“防护穿脱舱”</w:t>
      </w:r>
      <w:r>
        <w:rPr>
          <w:rFonts w:hint="eastAsia" w:ascii="仿宋_GB2312"/>
          <w:color w:val="auto"/>
          <w:highlight w:val="none"/>
        </w:rPr>
        <w:t>效益指标：</w:t>
      </w:r>
      <w:r>
        <w:rPr>
          <w:rFonts w:hint="eastAsia" w:ascii="仿宋_GB2312"/>
          <w:color w:val="auto"/>
          <w:highlight w:val="none"/>
          <w:lang w:eastAsia="zh-CN"/>
        </w:rPr>
        <w:t>“</w:t>
      </w:r>
      <w:r>
        <w:rPr>
          <w:rFonts w:hint="eastAsia" w:ascii="仿宋_GB2312"/>
          <w:color w:val="auto"/>
          <w:highlight w:val="none"/>
        </w:rPr>
        <w:t>保障医院工作正常开展</w:t>
      </w:r>
      <w:r>
        <w:rPr>
          <w:rFonts w:hint="eastAsia" w:ascii="仿宋_GB2312"/>
          <w:color w:val="auto"/>
          <w:highlight w:val="none"/>
          <w:lang w:eastAsia="zh-CN"/>
        </w:rPr>
        <w:t>”“</w:t>
      </w:r>
      <w:r>
        <w:rPr>
          <w:rFonts w:hint="eastAsia" w:ascii="仿宋_GB2312"/>
          <w:color w:val="auto"/>
          <w:highlight w:val="none"/>
        </w:rPr>
        <w:t>有效提升医疗服务能力</w:t>
      </w:r>
      <w:r>
        <w:rPr>
          <w:rFonts w:hint="eastAsia" w:ascii="仿宋_GB2312"/>
          <w:color w:val="auto"/>
          <w:highlight w:val="none"/>
          <w:lang w:eastAsia="zh-CN"/>
        </w:rPr>
        <w:t>”</w:t>
      </w:r>
      <w:r>
        <w:rPr>
          <w:rFonts w:hint="eastAsia" w:ascii="仿宋_GB2312"/>
          <w:color w:val="auto"/>
          <w:highlight w:val="none"/>
        </w:rPr>
        <w:t>。</w:t>
      </w:r>
      <w:r>
        <w:rPr>
          <w:rFonts w:hint="eastAsia" w:ascii="仿宋_GB2312"/>
          <w:color w:val="auto"/>
          <w:highlight w:val="none"/>
          <w:lang w:val="en-US" w:eastAsia="zh-CN"/>
        </w:rPr>
        <w:t>2024年</w:t>
      </w:r>
      <w:r>
        <w:rPr>
          <w:rFonts w:hint="eastAsia" w:ascii="仿宋_GB2312"/>
          <w:color w:val="auto"/>
          <w:highlight w:val="none"/>
        </w:rPr>
        <w:t>按时完成</w:t>
      </w:r>
      <w:r>
        <w:rPr>
          <w:rFonts w:hint="default" w:ascii="仿宋_GB2312" w:hAnsi="仿宋"/>
          <w:color w:val="auto"/>
          <w:szCs w:val="28"/>
          <w:highlight w:val="none"/>
          <w:lang w:val="en-US" w:eastAsia="zh-CN"/>
        </w:rPr>
        <w:t>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w:t>
      </w:r>
      <w:r>
        <w:rPr>
          <w:rFonts w:hint="eastAsia" w:ascii="仿宋_GB2312" w:hAnsi="仿宋"/>
          <w:color w:val="auto"/>
          <w:szCs w:val="28"/>
          <w:highlight w:val="none"/>
          <w:lang w:val="en-US" w:eastAsia="zh-CN"/>
        </w:rPr>
        <w:t>的投入使用</w:t>
      </w:r>
      <w:r>
        <w:rPr>
          <w:rFonts w:hint="eastAsia" w:ascii="仿宋_GB2312"/>
          <w:color w:val="auto"/>
          <w:highlight w:val="none"/>
        </w:rPr>
        <w:t>，设备验收合格率100%</w:t>
      </w:r>
      <w:r>
        <w:rPr>
          <w:rFonts w:hint="eastAsia" w:ascii="仿宋_GB2312"/>
          <w:color w:val="auto"/>
          <w:highlight w:val="none"/>
          <w:lang w:eastAsia="zh-CN"/>
        </w:rPr>
        <w:t>，支付费用</w:t>
      </w:r>
      <w:r>
        <w:rPr>
          <w:rFonts w:hint="eastAsia" w:ascii="仿宋_GB2312"/>
          <w:color w:val="auto"/>
          <w:highlight w:val="none"/>
          <w:lang w:val="en-US" w:eastAsia="zh-CN"/>
        </w:rPr>
        <w:t>1247万元。该项目的实施解决了疫情期间特殊患者的就医需求，</w:t>
      </w:r>
      <w:r>
        <w:rPr>
          <w:rFonts w:hint="eastAsia" w:ascii="仿宋_GB2312"/>
          <w:color w:val="auto"/>
          <w:highlight w:val="none"/>
          <w:lang w:eastAsia="zh-CN"/>
        </w:rPr>
        <w:t>保障医院工作的正常开展；设备的投入使用</w:t>
      </w:r>
      <w:r>
        <w:rPr>
          <w:rFonts w:hint="eastAsia" w:ascii="仿宋_GB2312"/>
          <w:color w:val="auto"/>
          <w:highlight w:val="none"/>
        </w:rPr>
        <w:t>有效提升医疗服务能力</w:t>
      </w:r>
      <w:r>
        <w:rPr>
          <w:rFonts w:hint="eastAsia" w:ascii="仿宋_GB2312"/>
          <w:color w:val="auto"/>
          <w:highlight w:val="none"/>
          <w:lang w:eastAsia="zh-CN"/>
        </w:rPr>
        <w:t>。在此次项目实施中我单位建立高效协同机制，跨部门协作，实现采购、安装、调试、使用全流程无缝对接，确保项目快速落地。目前存在的主要问题是项目时间压力过大，</w:t>
      </w:r>
      <w:r>
        <w:rPr>
          <w:rFonts w:hint="eastAsia" w:ascii="仿宋_GB2312"/>
          <w:color w:val="auto"/>
          <w:highlight w:val="none"/>
        </w:rPr>
        <w:t>项目从10月7日国家专家组论证到10月24日完成采购仅17天，</w:t>
      </w:r>
      <w:r>
        <w:rPr>
          <w:rFonts w:hint="eastAsia" w:ascii="仿宋_GB2312"/>
          <w:color w:val="auto"/>
          <w:highlight w:val="none"/>
          <w:lang w:eastAsia="zh-CN"/>
        </w:rPr>
        <w:t>紧急采购</w:t>
      </w:r>
      <w:r>
        <w:rPr>
          <w:rFonts w:hint="eastAsia" w:ascii="仿宋_GB2312"/>
          <w:color w:val="auto"/>
          <w:highlight w:val="none"/>
        </w:rPr>
        <w:t>流程可能压缩设备质量审查、供应商比选等关键环节，存在验收标准降低风险。特别是在疫情防控高压下，可能产生"重速度轻质量</w:t>
      </w:r>
      <w:r>
        <w:rPr>
          <w:rFonts w:hint="eastAsia" w:ascii="仿宋_GB2312"/>
          <w:color w:val="auto"/>
          <w:highlight w:val="none"/>
          <w:lang w:val="en-US" w:eastAsia="zh-CN"/>
        </w:rPr>
        <w:t>"</w:t>
      </w:r>
      <w:r>
        <w:rPr>
          <w:rFonts w:hint="eastAsia" w:ascii="仿宋_GB2312"/>
          <w:color w:val="auto"/>
          <w:highlight w:val="none"/>
        </w:rPr>
        <w:t>倾向。</w:t>
      </w:r>
    </w:p>
    <w:p>
      <w:pPr>
        <w:pStyle w:val="3"/>
        <w:ind w:firstLine="643"/>
        <w:rPr>
          <w:rFonts w:ascii="仿宋" w:hAnsi="仿宋" w:eastAsia="仿宋"/>
          <w:color w:val="auto"/>
          <w:highlight w:val="none"/>
          <w:lang w:bidi="en-US"/>
        </w:rPr>
      </w:pPr>
      <w:bookmarkStart w:id="16" w:name="_Toc67911606"/>
      <w:bookmarkStart w:id="17" w:name="_Hlk67586765"/>
      <w:bookmarkStart w:id="18" w:name="_Toc165277231"/>
      <w:r>
        <w:rPr>
          <w:rFonts w:hint="eastAsia" w:ascii="仿宋" w:hAnsi="仿宋" w:eastAsia="仿宋"/>
          <w:color w:val="auto"/>
          <w:highlight w:val="none"/>
          <w:lang w:bidi="en-US"/>
        </w:rPr>
        <w:t>（二）绩效评价原则、指标体系、方法及标准</w:t>
      </w:r>
      <w:bookmarkEnd w:id="16"/>
      <w:bookmarkEnd w:id="17"/>
      <w:bookmarkEnd w:id="18"/>
    </w:p>
    <w:p>
      <w:pPr>
        <w:pStyle w:val="4"/>
        <w:ind w:firstLine="643"/>
        <w:rPr>
          <w:color w:val="auto"/>
          <w:highlight w:val="none"/>
        </w:rPr>
      </w:pPr>
      <w:bookmarkStart w:id="19" w:name="_Toc165277232"/>
      <w:r>
        <w:rPr>
          <w:rFonts w:hint="eastAsia"/>
          <w:color w:val="auto"/>
          <w:highlight w:val="none"/>
        </w:rPr>
        <w:t>1</w:t>
      </w:r>
      <w:r>
        <w:rPr>
          <w:color w:val="auto"/>
          <w:highlight w:val="none"/>
        </w:rPr>
        <w:t>.</w:t>
      </w:r>
      <w:r>
        <w:rPr>
          <w:rFonts w:hint="eastAsia"/>
          <w:color w:val="auto"/>
          <w:highlight w:val="none"/>
        </w:rPr>
        <w:t>评价原则</w:t>
      </w:r>
      <w:bookmarkEnd w:id="19"/>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（一）科学公正。绩效评价应当运用科学合理的方法，按照规范的程序，对项目绩效进行客观、公正地反映。</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（三）激励约束。绩效评价结果应与预算安排、政策调整、改进管理实质性挂钩，体现奖优罚劣和激励相容导向，有效要安排、低效要压减、无效要问责。</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（四）公开透明。绩效评价结果应依法依规公开，并自觉接受社会监督。</w:t>
      </w:r>
    </w:p>
    <w:p>
      <w:pPr>
        <w:pStyle w:val="4"/>
        <w:ind w:firstLine="643"/>
        <w:rPr>
          <w:color w:val="auto"/>
          <w:highlight w:val="none"/>
        </w:rPr>
      </w:pPr>
      <w:bookmarkStart w:id="20" w:name="_Toc165277233"/>
      <w:r>
        <w:rPr>
          <w:color w:val="auto"/>
          <w:highlight w:val="none"/>
        </w:rPr>
        <w:t>2.</w:t>
      </w:r>
      <w:r>
        <w:rPr>
          <w:rFonts w:hint="eastAsia"/>
          <w:color w:val="auto"/>
          <w:highlight w:val="none"/>
        </w:rPr>
        <w:t>评价指标体系</w:t>
      </w:r>
      <w:bookmarkEnd w:id="20"/>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绩效评价指标体系作为衡量绩效目标实现程度的考核工具，一般遵循以下原则：</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（1）相关性原则：绩效评价指标应当与绩效目标有直接的联系，能够恰当反映目标的实现程度。</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（2）重要性原则：应当优先使用最具评价对象代表性、最能反映评价要求的核心指标。</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（3）可比性原则：对同类评价对象要设定共性的绩效评价指标，以便于评价结果可以相互比较。</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（4）系统性原则：绩效评价指标的设置应当将定量指标与定性指标相结合，能系统反映财政支出所产生的社会效益、经济效益和可持续影响等。</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（5）经济性原则：绩效评价指标设计应当通俗易懂、简便易行，数据的获得应当考虑现实条件和可操作性，符合成本效益原则。</w:t>
      </w:r>
    </w:p>
    <w:p>
      <w:pPr>
        <w:spacing w:line="360" w:lineRule="auto"/>
        <w:ind w:firstLine="560"/>
        <w:rPr>
          <w:rFonts w:hint="eastAsia" w:ascii="仿宋_GB2312"/>
          <w:color w:val="auto"/>
          <w:highlight w:val="none"/>
          <w:lang w:eastAsia="zh-CN"/>
        </w:rPr>
      </w:pPr>
      <w:r>
        <w:rPr>
          <w:rFonts w:hint="eastAsia" w:ascii="仿宋_GB2312"/>
          <w:color w:val="auto"/>
          <w:highlight w:val="none"/>
          <w:lang w:eastAsia="zh-CN"/>
        </w:rPr>
        <w:t>本项目的评价指标体系建立如下表所示。</w:t>
      </w:r>
    </w:p>
    <w:p>
      <w:pPr>
        <w:spacing w:line="360" w:lineRule="auto"/>
        <w:ind w:firstLine="560"/>
        <w:rPr>
          <w:rFonts w:hint="eastAsia" w:ascii="仿宋_GB2312"/>
          <w:color w:val="auto"/>
          <w:highlight w:val="none"/>
          <w:lang w:eastAsia="zh-CN"/>
        </w:rPr>
      </w:pPr>
    </w:p>
    <w:p>
      <w:pPr>
        <w:spacing w:line="360" w:lineRule="auto"/>
        <w:ind w:firstLine="560"/>
        <w:rPr>
          <w:rFonts w:hint="eastAsia" w:ascii="仿宋_GB2312"/>
          <w:color w:val="auto"/>
          <w:highlight w:val="none"/>
          <w:lang w:eastAsia="zh-CN"/>
        </w:rPr>
      </w:pPr>
    </w:p>
    <w:p>
      <w:pPr>
        <w:spacing w:line="360" w:lineRule="auto"/>
        <w:ind w:firstLine="560"/>
        <w:rPr>
          <w:rFonts w:hint="eastAsia" w:ascii="仿宋_GB2312"/>
          <w:color w:val="auto"/>
          <w:highlight w:val="none"/>
          <w:lang w:eastAsia="zh-CN"/>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color w:val="auto"/>
          <w:highlight w:val="none"/>
        </w:rPr>
      </w:pPr>
      <w:r>
        <w:rPr>
          <w:rFonts w:ascii="仿宋_GB2312"/>
          <w:b/>
          <w:bCs/>
          <w:color w:val="auto"/>
          <w:highlight w:val="none"/>
        </w:rPr>
        <w:t xml:space="preserve">  </w:t>
      </w:r>
      <w:r>
        <w:rPr>
          <w:rFonts w:hint="eastAsia" w:ascii="仿宋_GB2312"/>
          <w:b/>
          <w:bCs/>
          <w:color w:val="auto"/>
          <w:highlight w:val="none"/>
        </w:rPr>
        <w:t>项目支出绩效评价指标体系</w:t>
      </w:r>
    </w:p>
    <w:tbl>
      <w:tblPr>
        <w:tblStyle w:val="1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b/>
                <w:bCs/>
                <w:color w:val="auto"/>
                <w:kern w:val="0"/>
                <w:sz w:val="22"/>
                <w:highlight w:val="none"/>
              </w:rPr>
            </w:pPr>
            <w:bookmarkStart w:id="21" w:name="OLE_LINK1"/>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w:t>
            </w:r>
            <w:r>
              <w:rPr>
                <w:rFonts w:hint="eastAsia" w:ascii="宋体" w:hAnsi="宋体" w:eastAsia="宋体" w:cs="宋体"/>
                <w:color w:val="auto"/>
                <w:kern w:val="0"/>
                <w:sz w:val="22"/>
                <w:highlight w:val="none"/>
                <w:lang w:val="en-US" w:eastAsia="zh-CN"/>
              </w:rPr>
              <w:t>属于部门</w:t>
            </w:r>
            <w:r>
              <w:rPr>
                <w:rFonts w:hint="eastAsia" w:ascii="宋体" w:hAnsi="宋体" w:eastAsia="宋体" w:cs="宋体"/>
                <w:color w:val="auto"/>
                <w:kern w:val="0"/>
                <w:sz w:val="22"/>
                <w:highlight w:val="none"/>
              </w:rPr>
              <w:t>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pPr>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依据绩效目标设定的绩效指标是否清晰、细化、可衡量等，用以反映和考核项目绩效目标</w:t>
            </w:r>
            <w:r>
              <w:rPr>
                <w:rFonts w:hint="eastAsia" w:ascii="宋体" w:hAnsi="宋体" w:eastAsia="宋体" w:cs="宋体"/>
                <w:color w:val="auto"/>
                <w:kern w:val="0"/>
                <w:sz w:val="22"/>
                <w:highlight w:val="none"/>
                <w:lang w:eastAsia="zh-CN"/>
              </w:rPr>
              <w:t>的</w:t>
            </w:r>
            <w:r>
              <w:rPr>
                <w:rFonts w:hint="eastAsia" w:ascii="宋体" w:hAnsi="宋体" w:eastAsia="宋体" w:cs="宋体"/>
                <w:color w:val="auto"/>
                <w:kern w:val="0"/>
                <w:sz w:val="22"/>
                <w:highlight w:val="none"/>
              </w:rPr>
              <w:t>细化情况。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②资金分配额度是否合理，与项目单位或地方实际是否相适应。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1411"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p>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p>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设备购置种类</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设备验收合格率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质量达标率=（质量达标产出数/实际产出数）×100%。</w:t>
            </w:r>
          </w:p>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产出时效</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资金支付及时率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项目支付实际完成时间与计划完成时间的比较，用以反映和考核项目产出时效目标的实现程度。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实际完成时间：项目实施单位完成该项目实际所耗用的时间。</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计划完成时间：按照项目实施计划或相关规定完成该项目所需的时间。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0"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default"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血透方舱</w:t>
            </w:r>
          </w:p>
        </w:tc>
        <w:tc>
          <w:tcPr>
            <w:tcW w:w="2789" w:type="dxa"/>
            <w:vMerge w:val="restart"/>
            <w:tcBorders>
              <w:tl2br w:val="nil"/>
              <w:tr2bl w:val="nil"/>
            </w:tcBorders>
            <w:shd w:val="clear" w:color="000000" w:fill="FFFFFF"/>
            <w:vAlign w:val="center"/>
          </w:tcPr>
          <w:p>
            <w:pPr>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用以反映成本控制情况</w:t>
            </w:r>
          </w:p>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p>
        </w:tc>
        <w:tc>
          <w:tcPr>
            <w:tcW w:w="7341" w:type="dxa"/>
            <w:vMerge w:val="restart"/>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0"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水处理舱</w:t>
            </w:r>
          </w:p>
        </w:tc>
        <w:tc>
          <w:tcPr>
            <w:tcW w:w="2789"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0"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防护穿脱舱</w:t>
            </w:r>
          </w:p>
        </w:tc>
        <w:tc>
          <w:tcPr>
            <w:tcW w:w="2789"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99" w:hRule="atLeast"/>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保障医院工作正常开展</w:t>
            </w:r>
          </w:p>
        </w:tc>
        <w:tc>
          <w:tcPr>
            <w:tcW w:w="278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lang w:eastAsia="zh-CN"/>
              </w:rPr>
              <w:t>反映</w:t>
            </w:r>
            <w:r>
              <w:rPr>
                <w:rFonts w:hint="eastAsia" w:ascii="宋体" w:hAnsi="宋体" w:eastAsia="宋体" w:cs="宋体"/>
                <w:color w:val="auto"/>
                <w:kern w:val="0"/>
                <w:sz w:val="22"/>
                <w:highlight w:val="none"/>
              </w:rPr>
              <w:t>项目产生的社会效益</w:t>
            </w:r>
          </w:p>
        </w:tc>
        <w:tc>
          <w:tcPr>
            <w:tcW w:w="7341"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default"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有效提升医疗服务能力</w:t>
            </w:r>
          </w:p>
        </w:tc>
        <w:tc>
          <w:tcPr>
            <w:tcW w:w="2789"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keepNext w:val="0"/>
              <w:keepLines w:val="0"/>
              <w:widowControl/>
              <w:suppressLineNumbers w:val="0"/>
              <w:spacing w:before="0" w:beforeAutospacing="0" w:after="0" w:afterAutospacing="0"/>
              <w:ind w:left="0" w:leftChars="0" w:right="0" w:firstLine="0" w:firstLineChars="0"/>
              <w:rPr>
                <w:rFonts w:hint="eastAsia" w:ascii="宋体" w:hAnsi="宋体" w:eastAsia="宋体"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default" w:ascii="宋体" w:hAnsi="宋体" w:eastAsia="宋体" w:cs="宋体"/>
                <w:color w:val="auto"/>
                <w:kern w:val="0"/>
                <w:sz w:val="22"/>
                <w:highlight w:val="none"/>
              </w:rPr>
              <w:t>满意度指标完成情况分析</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lang w:eastAsia="zh-CN"/>
              </w:rPr>
              <w:t>设备使用人员</w:t>
            </w:r>
            <w:r>
              <w:rPr>
                <w:rFonts w:hint="eastAsia" w:ascii="宋体" w:hAnsi="宋体" w:eastAsia="宋体" w:cs="宋体"/>
                <w:color w:val="auto"/>
                <w:kern w:val="0"/>
                <w:sz w:val="22"/>
                <w:highlight w:val="none"/>
              </w:rPr>
              <w:t>满意度</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服务对象对项目实施效果的满意程度。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服务对象是指因该项目实施而受到影响的部门（单位）、群体或个人。一般采取社会调查的方式。</w:t>
            </w:r>
            <w:bookmarkEnd w:id="21"/>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both"/>
        <w:rPr>
          <w:rFonts w:ascii="仿宋_GB2312"/>
          <w:color w:val="auto"/>
          <w:highlight w:val="none"/>
        </w:rPr>
        <w:sectPr>
          <w:pgSz w:w="16838" w:h="11906" w:orient="landscape"/>
          <w:pgMar w:top="1800" w:right="1440" w:bottom="1800" w:left="1440" w:header="1276" w:footer="992" w:gutter="0"/>
          <w:cols w:space="425" w:num="1"/>
          <w:docGrid w:type="lines" w:linePitch="381" w:charSpace="0"/>
        </w:sectPr>
      </w:pPr>
    </w:p>
    <w:p>
      <w:pPr>
        <w:pStyle w:val="4"/>
        <w:ind w:firstLine="643"/>
        <w:rPr>
          <w:color w:val="auto"/>
          <w:highlight w:val="none"/>
        </w:rPr>
      </w:pPr>
      <w:bookmarkStart w:id="22" w:name="_Toc165277234"/>
      <w:bookmarkStart w:id="23" w:name="_Hlk67586038"/>
      <w:r>
        <w:rPr>
          <w:color w:val="auto"/>
          <w:highlight w:val="none"/>
        </w:rPr>
        <w:t>3.</w:t>
      </w:r>
      <w:r>
        <w:rPr>
          <w:rFonts w:hint="eastAsia"/>
          <w:color w:val="auto"/>
          <w:highlight w:val="none"/>
        </w:rPr>
        <w:t>评价方法</w:t>
      </w:r>
      <w:bookmarkEnd w:id="22"/>
      <w:bookmarkEnd w:id="23"/>
    </w:p>
    <w:p>
      <w:pPr>
        <w:spacing w:line="360" w:lineRule="auto"/>
        <w:ind w:firstLine="560"/>
        <w:rPr>
          <w:rFonts w:ascii="仿宋_GB2312"/>
          <w:color w:val="auto"/>
          <w:highlight w:val="none"/>
        </w:rPr>
      </w:pPr>
      <w:r>
        <w:rPr>
          <w:rFonts w:hint="eastAsia" w:ascii="仿宋_GB2312"/>
          <w:color w:val="auto"/>
          <w:highlight w:val="none"/>
        </w:rPr>
        <w:t>《关于印发</w:t>
      </w:r>
      <w:r>
        <w:rPr>
          <w:rFonts w:hint="eastAsia" w:ascii="仿宋_GB2312"/>
          <w:color w:val="auto"/>
          <w:highlight w:val="none"/>
          <w:lang w:eastAsia="zh-CN"/>
        </w:rPr>
        <w:t>〈</w:t>
      </w:r>
      <w:r>
        <w:rPr>
          <w:rFonts w:hint="eastAsia" w:ascii="仿宋_GB2312"/>
          <w:color w:val="auto"/>
          <w:highlight w:val="none"/>
        </w:rPr>
        <w:t>项目支出绩效评价管理办法</w:t>
      </w:r>
      <w:r>
        <w:rPr>
          <w:rFonts w:hint="eastAsia" w:ascii="仿宋_GB2312"/>
          <w:color w:val="auto"/>
          <w:highlight w:val="none"/>
          <w:lang w:eastAsia="zh-CN"/>
        </w:rPr>
        <w:t>〉</w:t>
      </w:r>
      <w:r>
        <w:rPr>
          <w:rFonts w:hint="eastAsia" w:ascii="仿宋_GB2312"/>
          <w:color w:val="auto"/>
          <w:highlight w:val="none"/>
        </w:rPr>
        <w:t>的通知》（财预〔2020〕10号）文件指出部门评价的方法主要包括成本效益分析法、比较法、因素分析法、最低成本法、公众评判法、标杆管理法等。</w:t>
      </w:r>
    </w:p>
    <w:p>
      <w:pPr>
        <w:spacing w:line="360" w:lineRule="auto"/>
        <w:ind w:firstLine="560"/>
        <w:rPr>
          <w:rFonts w:ascii="仿宋_GB2312"/>
          <w:color w:val="auto"/>
          <w:highlight w:val="none"/>
        </w:rPr>
      </w:pPr>
      <w:r>
        <w:rPr>
          <w:rFonts w:hint="eastAsia" w:ascii="仿宋_GB2312"/>
          <w:color w:val="auto"/>
          <w:highlight w:val="none"/>
        </w:rPr>
        <w:t>（1）成本效益分析法。是指将投入与产出、效益进行关联性分析的方法。</w:t>
      </w:r>
    </w:p>
    <w:p>
      <w:pPr>
        <w:spacing w:line="360" w:lineRule="auto"/>
        <w:ind w:firstLine="560"/>
        <w:rPr>
          <w:rFonts w:ascii="仿宋_GB2312"/>
          <w:color w:val="auto"/>
          <w:highlight w:val="none"/>
        </w:rPr>
      </w:pPr>
      <w:r>
        <w:rPr>
          <w:rFonts w:hint="eastAsia" w:ascii="仿宋_GB2312"/>
          <w:color w:val="auto"/>
          <w:highlight w:val="none"/>
        </w:rPr>
        <w:t>（2）比较法。是指将实施情况与绩效目标、历史情况、不同部门和地区同类支出情况进行比较的方法。</w:t>
      </w:r>
    </w:p>
    <w:p>
      <w:pPr>
        <w:spacing w:line="360" w:lineRule="auto"/>
        <w:ind w:firstLine="560"/>
        <w:rPr>
          <w:rFonts w:ascii="仿宋_GB2312"/>
          <w:color w:val="auto"/>
          <w:highlight w:val="none"/>
        </w:rPr>
      </w:pPr>
      <w:r>
        <w:rPr>
          <w:rFonts w:hint="eastAsia" w:ascii="仿宋_GB2312"/>
          <w:color w:val="auto"/>
          <w:highlight w:val="none"/>
          <w:lang w:eastAsia="zh-CN"/>
        </w:rPr>
        <w:t>（3）</w:t>
      </w:r>
      <w:r>
        <w:rPr>
          <w:rFonts w:hint="eastAsia" w:ascii="仿宋_GB2312"/>
          <w:color w:val="auto"/>
          <w:highlight w:val="none"/>
        </w:rPr>
        <w:t>因素分析法。是指综合分析影响绩效目标实现、实施效果的内外部因素的方法。</w:t>
      </w:r>
    </w:p>
    <w:p>
      <w:pPr>
        <w:spacing w:line="360" w:lineRule="auto"/>
        <w:ind w:firstLine="560"/>
        <w:rPr>
          <w:rFonts w:ascii="仿宋_GB2312"/>
          <w:color w:val="auto"/>
          <w:highlight w:val="none"/>
        </w:rPr>
      </w:pPr>
      <w:r>
        <w:rPr>
          <w:rFonts w:hint="eastAsia" w:ascii="仿宋_GB2312"/>
          <w:color w:val="auto"/>
          <w:highlight w:val="none"/>
          <w:lang w:eastAsia="zh-CN"/>
        </w:rPr>
        <w:t>（4）</w:t>
      </w:r>
      <w:r>
        <w:rPr>
          <w:rFonts w:hint="eastAsia" w:ascii="仿宋_GB2312"/>
          <w:color w:val="auto"/>
          <w:highlight w:val="none"/>
        </w:rPr>
        <w:t>最低成本法。是指在绩效目标确定的前提下，成本最小者为优的方法。</w:t>
      </w:r>
    </w:p>
    <w:p>
      <w:pPr>
        <w:spacing w:line="360" w:lineRule="auto"/>
        <w:ind w:firstLine="560"/>
        <w:rPr>
          <w:rFonts w:ascii="仿宋_GB2312"/>
          <w:color w:val="auto"/>
          <w:highlight w:val="none"/>
        </w:rPr>
      </w:pPr>
      <w:r>
        <w:rPr>
          <w:rFonts w:hint="eastAsia" w:ascii="仿宋_GB2312"/>
          <w:color w:val="auto"/>
          <w:highlight w:val="none"/>
        </w:rPr>
        <w:t>（5）公众评判法。是指通过专家评估、公众问卷及抽样调查等方式进行评判的方法。</w:t>
      </w:r>
    </w:p>
    <w:p>
      <w:pPr>
        <w:spacing w:line="360" w:lineRule="auto"/>
        <w:ind w:firstLine="560"/>
        <w:rPr>
          <w:rFonts w:ascii="仿宋_GB2312"/>
          <w:color w:val="auto"/>
          <w:highlight w:val="none"/>
        </w:rPr>
      </w:pPr>
      <w:r>
        <w:rPr>
          <w:rFonts w:hint="eastAsia" w:ascii="仿宋_GB2312"/>
          <w:color w:val="auto"/>
          <w:highlight w:val="none"/>
          <w:lang w:eastAsia="zh-CN"/>
        </w:rPr>
        <w:t>（6）</w:t>
      </w:r>
      <w:r>
        <w:rPr>
          <w:rFonts w:hint="eastAsia" w:ascii="仿宋_GB2312"/>
          <w:color w:val="auto"/>
          <w:highlight w:val="none"/>
        </w:rPr>
        <w:t>标杆管理法。是指以国内外同行业中较高的绩效水平为标杆进行评判的方法。</w:t>
      </w:r>
    </w:p>
    <w:p>
      <w:pPr>
        <w:spacing w:line="360" w:lineRule="auto"/>
        <w:ind w:firstLine="560"/>
        <w:rPr>
          <w:rFonts w:ascii="仿宋_GB2312"/>
          <w:color w:val="auto"/>
          <w:highlight w:val="none"/>
        </w:rPr>
      </w:pPr>
      <w:r>
        <w:rPr>
          <w:rFonts w:hint="eastAsia" w:ascii="仿宋_GB2312"/>
          <w:color w:val="auto"/>
          <w:highlight w:val="none"/>
        </w:rPr>
        <w:t>（7）其他评价方法。</w:t>
      </w:r>
    </w:p>
    <w:p>
      <w:pPr>
        <w:spacing w:line="360" w:lineRule="auto"/>
        <w:ind w:firstLine="560"/>
        <w:rPr>
          <w:rFonts w:ascii="仿宋_GB2312"/>
          <w:color w:val="auto"/>
          <w:highlight w:val="none"/>
        </w:rPr>
      </w:pPr>
      <w:r>
        <w:rPr>
          <w:rFonts w:hint="eastAsia" w:ascii="仿宋_GB2312"/>
          <w:color w:val="auto"/>
          <w:highlight w:val="none"/>
        </w:rPr>
        <w:t>根据本项目（2023年血透方舱建设项目（上年结转资金））的特点，本次评价主要采用比较法</w:t>
      </w:r>
      <w:r>
        <w:rPr>
          <w:rFonts w:ascii="仿宋_GB2312"/>
          <w:color w:val="auto"/>
          <w:highlight w:val="none"/>
        </w:rPr>
        <w:t>和</w:t>
      </w:r>
      <w:r>
        <w:rPr>
          <w:rFonts w:hint="eastAsia" w:ascii="仿宋_GB2312"/>
          <w:color w:val="auto"/>
          <w:highlight w:val="none"/>
        </w:rPr>
        <w:t>公众评判法，对项目总预算和明细预算的内容、标准、计划是否经济合理进行深入分析，以考察实际产出和效益是否达到预期。</w:t>
      </w:r>
    </w:p>
    <w:p>
      <w:pPr>
        <w:pStyle w:val="4"/>
        <w:ind w:firstLine="643"/>
        <w:rPr>
          <w:color w:val="auto"/>
          <w:highlight w:val="none"/>
        </w:rPr>
      </w:pPr>
      <w:bookmarkStart w:id="24" w:name="_Toc165277235"/>
      <w:r>
        <w:rPr>
          <w:color w:val="auto"/>
          <w:highlight w:val="none"/>
        </w:rPr>
        <w:t>4.</w:t>
      </w:r>
      <w:r>
        <w:rPr>
          <w:rFonts w:hint="eastAsia"/>
          <w:color w:val="auto"/>
          <w:highlight w:val="none"/>
        </w:rPr>
        <w:t>评价标准</w:t>
      </w:r>
      <w:bookmarkEnd w:id="24"/>
    </w:p>
    <w:p>
      <w:pPr>
        <w:spacing w:line="360" w:lineRule="auto"/>
        <w:ind w:firstLine="560"/>
        <w:rPr>
          <w:rFonts w:ascii="仿宋_GB2312"/>
          <w:color w:val="auto"/>
          <w:highlight w:val="none"/>
        </w:rPr>
      </w:pPr>
      <w:r>
        <w:rPr>
          <w:rFonts w:hint="eastAsia" w:ascii="仿宋_GB2312"/>
          <w:color w:val="auto"/>
          <w:highlight w:val="none"/>
        </w:rPr>
        <w:t>绩效评价标准主要包括计划标准、行业标准、历史标准等，用于对绩效指标完成情况进行比较。</w:t>
      </w:r>
    </w:p>
    <w:p>
      <w:pPr>
        <w:spacing w:line="360" w:lineRule="auto"/>
        <w:ind w:firstLine="560"/>
        <w:rPr>
          <w:rFonts w:ascii="仿宋_GB2312"/>
          <w:color w:val="auto"/>
          <w:highlight w:val="none"/>
        </w:rPr>
      </w:pPr>
      <w:r>
        <w:rPr>
          <w:rFonts w:hint="eastAsia" w:ascii="仿宋_GB2312"/>
          <w:color w:val="auto"/>
          <w:highlight w:val="none"/>
          <w:lang w:eastAsia="zh-CN"/>
        </w:rPr>
        <w:t>（1）</w:t>
      </w:r>
      <w:r>
        <w:rPr>
          <w:rFonts w:hint="eastAsia" w:ascii="仿宋_GB2312"/>
          <w:color w:val="auto"/>
          <w:highlight w:val="none"/>
        </w:rPr>
        <w:t>计划标准。指以预先制定的目标、计划、预算、定额等作为评价标准。</w:t>
      </w:r>
    </w:p>
    <w:p>
      <w:pPr>
        <w:spacing w:line="360" w:lineRule="auto"/>
        <w:ind w:firstLine="560"/>
        <w:rPr>
          <w:rFonts w:ascii="仿宋_GB2312"/>
          <w:color w:val="auto"/>
          <w:highlight w:val="none"/>
        </w:rPr>
      </w:pPr>
      <w:r>
        <w:rPr>
          <w:rFonts w:hint="eastAsia" w:ascii="仿宋_GB2312"/>
          <w:color w:val="auto"/>
          <w:highlight w:val="none"/>
          <w:lang w:eastAsia="zh-CN"/>
        </w:rPr>
        <w:t>（2）</w:t>
      </w:r>
      <w:r>
        <w:rPr>
          <w:rFonts w:hint="eastAsia" w:ascii="仿宋_GB2312"/>
          <w:color w:val="auto"/>
          <w:highlight w:val="none"/>
        </w:rPr>
        <w:t>行业标准。指参照国家公布的行业指标数据制定的评价标准。</w:t>
      </w:r>
    </w:p>
    <w:p>
      <w:pPr>
        <w:spacing w:line="360" w:lineRule="auto"/>
        <w:ind w:firstLine="560"/>
        <w:rPr>
          <w:rFonts w:ascii="仿宋_GB2312"/>
          <w:color w:val="auto"/>
          <w:highlight w:val="none"/>
        </w:rPr>
      </w:pPr>
      <w:r>
        <w:rPr>
          <w:rFonts w:hint="eastAsia" w:ascii="仿宋_GB2312"/>
          <w:color w:val="auto"/>
          <w:highlight w:val="none"/>
          <w:lang w:eastAsia="zh-CN"/>
        </w:rPr>
        <w:t>（3）</w:t>
      </w:r>
      <w:r>
        <w:rPr>
          <w:rFonts w:hint="eastAsia" w:ascii="仿宋_GB2312"/>
          <w:color w:val="auto"/>
          <w:highlight w:val="none"/>
        </w:rPr>
        <w:t>历史标准。指参照历史数据制定的评价标准，为体现绩效改进的原则，在可实现的条件下应当确定相对较高的评价标准。</w:t>
      </w:r>
    </w:p>
    <w:p>
      <w:pPr>
        <w:spacing w:line="360" w:lineRule="auto"/>
        <w:ind w:firstLine="560"/>
        <w:rPr>
          <w:rFonts w:ascii="仿宋_GB2312"/>
          <w:color w:val="auto"/>
          <w:highlight w:val="none"/>
        </w:rPr>
      </w:pPr>
      <w:r>
        <w:rPr>
          <w:rFonts w:hint="eastAsia" w:ascii="仿宋_GB2312"/>
          <w:color w:val="auto"/>
          <w:highlight w:val="none"/>
        </w:rPr>
        <w:t>在上述评价标准的基础上，本次评价依据以下文件为重要指导和准绳：</w:t>
      </w:r>
    </w:p>
    <w:p>
      <w:pPr>
        <w:spacing w:line="360" w:lineRule="auto"/>
        <w:ind w:firstLine="560"/>
        <w:rPr>
          <w:rFonts w:hint="eastAsia"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lang w:eastAsia="zh-CN"/>
        </w:rPr>
        <w:t>《中共中央 国务院</w:t>
      </w:r>
      <w:r>
        <w:rPr>
          <w:rFonts w:hint="eastAsia" w:ascii="仿宋_GB2312"/>
          <w:color w:val="auto"/>
          <w:highlight w:val="none"/>
        </w:rPr>
        <w:t>关于全面实施预算绩效管理的意见》（中发〔2018〕34号）</w:t>
      </w:r>
    </w:p>
    <w:p>
      <w:pPr>
        <w:spacing w:line="360" w:lineRule="auto"/>
        <w:ind w:firstLine="560"/>
        <w:rPr>
          <w:rFonts w:hint="eastAsia" w:ascii="仿宋_GB2312"/>
          <w:color w:val="auto"/>
          <w:highlight w:val="none"/>
        </w:rPr>
      </w:pPr>
      <w:r>
        <w:rPr>
          <w:rFonts w:hint="eastAsia" w:ascii="仿宋_GB2312"/>
          <w:color w:val="auto"/>
          <w:highlight w:val="none"/>
        </w:rPr>
        <w:t>·《关于印发</w:t>
      </w:r>
      <w:r>
        <w:rPr>
          <w:rFonts w:hint="eastAsia" w:ascii="仿宋_GB2312"/>
          <w:color w:val="auto"/>
          <w:highlight w:val="none"/>
          <w:lang w:eastAsia="zh-CN"/>
        </w:rPr>
        <w:t>〈</w:t>
      </w:r>
      <w:r>
        <w:rPr>
          <w:rFonts w:hint="eastAsia" w:ascii="仿宋_GB2312"/>
          <w:color w:val="auto"/>
          <w:highlight w:val="none"/>
        </w:rPr>
        <w:t>乌鲁木齐市本级部门预算绩效目标管理暂行办法</w:t>
      </w:r>
      <w:r>
        <w:rPr>
          <w:rFonts w:hint="eastAsia" w:ascii="仿宋_GB2312"/>
          <w:color w:val="auto"/>
          <w:highlight w:val="none"/>
          <w:lang w:eastAsia="zh-CN"/>
        </w:rPr>
        <w:t>〉</w:t>
      </w:r>
      <w:r>
        <w:rPr>
          <w:rFonts w:hint="eastAsia" w:ascii="仿宋_GB2312"/>
          <w:color w:val="auto"/>
          <w:highlight w:val="none"/>
        </w:rPr>
        <w:t>的通知》（乌财预〔2018〕56号）</w:t>
      </w:r>
    </w:p>
    <w:p>
      <w:pPr>
        <w:spacing w:line="360" w:lineRule="auto"/>
        <w:ind w:firstLine="560"/>
        <w:rPr>
          <w:rFonts w:hint="eastAsia" w:ascii="仿宋_GB2312"/>
          <w:color w:val="auto"/>
          <w:highlight w:val="none"/>
        </w:rPr>
      </w:pPr>
      <w:r>
        <w:rPr>
          <w:rFonts w:hint="eastAsia" w:ascii="仿宋_GB2312"/>
          <w:color w:val="auto"/>
          <w:highlight w:val="none"/>
        </w:rPr>
        <w:t>·《关于做好2019年部门预算项目支出绩效目标管理有关事宜的通知》（乌财预〔2018〕76号）</w:t>
      </w:r>
    </w:p>
    <w:p>
      <w:pPr>
        <w:spacing w:line="360" w:lineRule="auto"/>
        <w:ind w:firstLine="560"/>
        <w:rPr>
          <w:rFonts w:hint="eastAsia" w:ascii="仿宋_GB2312"/>
          <w:color w:val="auto"/>
          <w:highlight w:val="none"/>
        </w:rPr>
      </w:pPr>
      <w:r>
        <w:rPr>
          <w:rFonts w:hint="eastAsia" w:ascii="仿宋_GB2312"/>
          <w:color w:val="auto"/>
          <w:highlight w:val="none"/>
        </w:rPr>
        <w:t>·《项目支出绩效评价管理办法》（财预〔2020〕10号）</w:t>
      </w:r>
    </w:p>
    <w:p>
      <w:pPr>
        <w:spacing w:line="360" w:lineRule="auto"/>
        <w:ind w:firstLine="560"/>
        <w:rPr>
          <w:rFonts w:hint="eastAsia" w:ascii="仿宋_GB2312"/>
          <w:color w:val="auto"/>
          <w:highlight w:val="none"/>
        </w:rPr>
      </w:pPr>
      <w:r>
        <w:rPr>
          <w:rFonts w:hint="eastAsia" w:ascii="仿宋_GB2312"/>
          <w:color w:val="auto"/>
          <w:highlight w:val="none"/>
        </w:rPr>
        <w:t>·《关于2024年市卫健委所属单位预算的批复》-乌卫财〔2024〕1号</w:t>
      </w:r>
      <w:bookmarkStart w:id="25" w:name="_Toc165277236"/>
      <w:bookmarkStart w:id="26" w:name="_Toc67911607"/>
    </w:p>
    <w:p>
      <w:pPr>
        <w:spacing w:line="360" w:lineRule="auto"/>
        <w:ind w:firstLine="560"/>
        <w:rPr>
          <w:rFonts w:hint="default" w:ascii="仿宋_GB2312"/>
          <w:color w:val="auto"/>
          <w:highlight w:val="none"/>
        </w:rPr>
      </w:pPr>
      <w:r>
        <w:rPr>
          <w:rFonts w:hint="eastAsia" w:ascii="仿宋_GB2312"/>
          <w:color w:val="auto"/>
          <w:highlight w:val="none"/>
        </w:rPr>
        <w:t>·</w:t>
      </w:r>
      <w:r>
        <w:rPr>
          <w:rFonts w:hint="default" w:ascii="仿宋_GB2312"/>
          <w:color w:val="auto"/>
          <w:highlight w:val="none"/>
          <w:lang w:val="en-US" w:eastAsia="zh-CN"/>
        </w:rPr>
        <w:t>眼耳鼻喉专科医院总支部委员会会议纪要</w:t>
      </w:r>
      <w:r>
        <w:rPr>
          <w:rFonts w:hint="eastAsia" w:ascii="仿宋_GB2312"/>
          <w:color w:val="auto"/>
          <w:highlight w:val="none"/>
          <w:lang w:val="en-US" w:eastAsia="zh-CN"/>
        </w:rPr>
        <w:t>－</w:t>
      </w:r>
      <w:r>
        <w:rPr>
          <w:rFonts w:hint="default" w:ascii="仿宋_GB2312"/>
          <w:color w:val="auto"/>
          <w:highlight w:val="none"/>
          <w:lang w:val="en-US" w:eastAsia="zh-CN"/>
        </w:rPr>
        <w:t>乌眼党纪</w:t>
      </w:r>
      <w:r>
        <w:rPr>
          <w:rFonts w:hint="eastAsia" w:ascii="仿宋_GB2312"/>
          <w:color w:val="auto"/>
          <w:highlight w:val="none"/>
          <w:lang w:val="en-US" w:eastAsia="zh-CN"/>
        </w:rPr>
        <w:t>〔2023〕13号</w:t>
      </w:r>
      <w:r>
        <w:rPr>
          <w:rFonts w:hint="default" w:ascii="仿宋_GB2312"/>
          <w:color w:val="auto"/>
          <w:highlight w:val="none"/>
          <w:lang w:val="en-US" w:eastAsia="zh-CN"/>
        </w:rPr>
        <w:t>-2023年第13次党总支委员会会议纪要。</w:t>
      </w:r>
    </w:p>
    <w:p>
      <w:pPr>
        <w:pStyle w:val="5"/>
        <w:widowControl/>
        <w:spacing w:before="247" w:beforeAutospacing="0"/>
        <w:jc w:val="both"/>
        <w:rPr>
          <w:rFonts w:hint="default" w:ascii="仿宋_GB2312" w:hAnsi="Calibri" w:eastAsia="仿宋_GB2312" w:cs="黑体"/>
          <w:color w:val="auto"/>
          <w:kern w:val="2"/>
          <w:sz w:val="28"/>
          <w:szCs w:val="22"/>
          <w:highlight w:val="none"/>
          <w:lang w:val="en-US" w:eastAsia="zh-CN" w:bidi="ar-SA"/>
        </w:rPr>
      </w:pPr>
      <w:r>
        <w:rPr>
          <w:rFonts w:hint="eastAsia" w:ascii="黑体" w:hAnsi="黑体" w:eastAsia="黑体" w:cs="Times New Roman"/>
          <w:color w:val="auto"/>
          <w:szCs w:val="28"/>
          <w:highlight w:val="none"/>
        </w:rPr>
        <w:t>·</w:t>
      </w:r>
      <w:r>
        <w:rPr>
          <w:rFonts w:hint="default" w:ascii="仿宋_GB2312" w:hAnsi="Calibri" w:eastAsia="仿宋_GB2312" w:cs="黑体"/>
          <w:color w:val="auto"/>
          <w:kern w:val="2"/>
          <w:sz w:val="28"/>
          <w:szCs w:val="22"/>
          <w:highlight w:val="none"/>
          <w:lang w:val="en-US" w:eastAsia="zh-CN" w:bidi="ar-SA"/>
        </w:rPr>
        <w:t>新疆维吾尔自治区新冠肺炎疫情防控工作指挥部</w:t>
      </w:r>
      <w:r>
        <w:rPr>
          <w:rFonts w:hint="eastAsia" w:ascii="仿宋_GB2312" w:hAnsi="Calibri" w:eastAsia="仿宋_GB2312" w:cs="黑体"/>
          <w:color w:val="auto"/>
          <w:kern w:val="2"/>
          <w:sz w:val="28"/>
          <w:szCs w:val="22"/>
          <w:highlight w:val="none"/>
          <w:lang w:val="en-US" w:eastAsia="zh-CN" w:bidi="ar-SA"/>
        </w:rPr>
        <w:t>－</w:t>
      </w:r>
      <w:r>
        <w:rPr>
          <w:rFonts w:hint="default" w:ascii="仿宋_GB2312" w:hAnsi="Calibri" w:eastAsia="仿宋_GB2312" w:cs="黑体"/>
          <w:color w:val="auto"/>
          <w:kern w:val="2"/>
          <w:sz w:val="28"/>
          <w:szCs w:val="22"/>
          <w:highlight w:val="none"/>
          <w:lang w:val="en-US" w:eastAsia="zh-CN" w:bidi="ar-SA"/>
        </w:rPr>
        <w:t>特急                      新指函〔2022〕823号</w:t>
      </w:r>
      <w:r>
        <w:rPr>
          <w:rFonts w:hint="eastAsia" w:ascii="仿宋_GB2312" w:hAnsi="Calibri" w:eastAsia="仿宋_GB2312" w:cs="黑体"/>
          <w:color w:val="auto"/>
          <w:kern w:val="2"/>
          <w:sz w:val="28"/>
          <w:szCs w:val="22"/>
          <w:highlight w:val="none"/>
          <w:lang w:val="en-US" w:eastAsia="zh-CN" w:bidi="ar-SA"/>
        </w:rPr>
        <w:t>－</w:t>
      </w:r>
      <w:r>
        <w:rPr>
          <w:rFonts w:hint="default" w:ascii="仿宋_GB2312" w:hAnsi="Calibri" w:eastAsia="仿宋_GB2312" w:cs="黑体"/>
          <w:color w:val="auto"/>
          <w:kern w:val="2"/>
          <w:sz w:val="28"/>
          <w:szCs w:val="22"/>
          <w:highlight w:val="none"/>
          <w:lang w:val="en-US" w:eastAsia="zh-CN" w:bidi="ar-SA"/>
        </w:rPr>
        <w:t>关于统筹调配使用血透方舱的通知</w:t>
      </w:r>
    </w:p>
    <w:p>
      <w:pPr>
        <w:pStyle w:val="14"/>
        <w:keepNext w:val="0"/>
        <w:keepLines w:val="0"/>
        <w:widowControl w:val="0"/>
        <w:suppressLineNumbers w:val="0"/>
        <w:spacing w:before="247" w:beforeAutospacing="0" w:after="0" w:afterAutospacing="0"/>
        <w:ind w:left="0" w:leftChars="0" w:right="0" w:firstLine="280" w:firstLineChars="100"/>
        <w:jc w:val="both"/>
        <w:rPr>
          <w:rFonts w:hint="eastAsia" w:ascii="仿宋_GB2312" w:hAnsi="Calibri" w:eastAsia="仿宋_GB2312" w:cs="黑体"/>
          <w:color w:val="auto"/>
          <w:kern w:val="2"/>
          <w:sz w:val="28"/>
          <w:szCs w:val="22"/>
          <w:highlight w:val="none"/>
          <w:lang w:val="en-US" w:bidi="ar-SA"/>
        </w:rPr>
      </w:pPr>
      <w:r>
        <w:rPr>
          <w:rFonts w:hint="eastAsia" w:ascii="仿宋_GB2312" w:hAnsi="Calibri" w:eastAsia="仿宋_GB2312" w:cs="黑体"/>
          <w:color w:val="auto"/>
          <w:kern w:val="2"/>
          <w:sz w:val="28"/>
          <w:szCs w:val="22"/>
          <w:highlight w:val="none"/>
          <w:lang w:val="en-US" w:eastAsia="zh-CN" w:bidi="ar-SA"/>
        </w:rPr>
        <w:t>·</w:t>
      </w:r>
      <w:r>
        <w:rPr>
          <w:rFonts w:hint="default" w:ascii="仿宋_GB2312" w:hAnsi="Calibri" w:eastAsia="仿宋_GB2312" w:cs="黑体"/>
          <w:color w:val="auto"/>
          <w:kern w:val="2"/>
          <w:sz w:val="28"/>
          <w:szCs w:val="22"/>
          <w:highlight w:val="none"/>
          <w:lang w:val="en-US" w:eastAsia="zh-CN" w:bidi="ar-SA"/>
        </w:rPr>
        <w:t>乌鲁木齐市新冠肺炎疫情防控工作指挥部文件批阅单</w:t>
      </w:r>
      <w:r>
        <w:rPr>
          <w:rFonts w:hint="eastAsia" w:ascii="仿宋_GB2312" w:cs="黑体"/>
          <w:color w:val="auto"/>
          <w:kern w:val="2"/>
          <w:sz w:val="28"/>
          <w:szCs w:val="22"/>
          <w:highlight w:val="none"/>
          <w:lang w:val="en-US" w:eastAsia="zh-CN" w:bidi="ar-SA"/>
        </w:rPr>
        <w:t>－</w:t>
      </w:r>
      <w:r>
        <w:rPr>
          <w:rFonts w:hint="default" w:ascii="仿宋_GB2312" w:hAnsi="Calibri" w:eastAsia="仿宋_GB2312" w:cs="黑体"/>
          <w:color w:val="auto"/>
          <w:kern w:val="2"/>
          <w:sz w:val="28"/>
          <w:szCs w:val="22"/>
          <w:highlight w:val="none"/>
          <w:lang w:val="en-US" w:eastAsia="zh-CN" w:bidi="ar-SA"/>
        </w:rPr>
        <w:t>收文编号：5285</w:t>
      </w:r>
    </w:p>
    <w:p>
      <w:pPr>
        <w:pStyle w:val="3"/>
        <w:ind w:firstLine="643"/>
        <w:rPr>
          <w:rFonts w:hint="eastAsia" w:ascii="仿宋" w:hAnsi="仿宋" w:eastAsia="仿宋"/>
          <w:color w:val="auto"/>
          <w:highlight w:val="none"/>
          <w:lang w:val="en-US" w:eastAsia="zh-CN" w:bidi="en-US"/>
        </w:rPr>
      </w:pPr>
      <w:r>
        <w:rPr>
          <w:rFonts w:hint="eastAsia" w:ascii="仿宋" w:hAnsi="仿宋" w:eastAsia="仿宋"/>
          <w:color w:val="auto"/>
          <w:highlight w:val="none"/>
          <w:lang w:val="en-US" w:eastAsia="zh-CN" w:bidi="en-US"/>
        </w:rPr>
        <w:t>（三）绩效评价工作过程</w:t>
      </w:r>
      <w:bookmarkEnd w:id="25"/>
      <w:bookmarkEnd w:id="26"/>
    </w:p>
    <w:p>
      <w:pPr>
        <w:spacing w:line="360" w:lineRule="auto"/>
        <w:ind w:firstLine="560"/>
        <w:rPr>
          <w:rFonts w:ascii="仿宋_GB2312"/>
          <w:color w:val="auto"/>
          <w:highlight w:val="none"/>
        </w:rPr>
      </w:pPr>
      <w:r>
        <w:rPr>
          <w:rFonts w:hint="eastAsia" w:ascii="仿宋_GB2312"/>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9"/>
          <w:rFonts w:ascii="仿宋_GB2312"/>
          <w:color w:val="auto"/>
          <w:highlight w:val="none"/>
        </w:rPr>
        <w:footnoteReference w:id="0"/>
      </w:r>
      <w:r>
        <w:rPr>
          <w:rFonts w:hint="eastAsia" w:ascii="仿宋_GB2312"/>
          <w:color w:val="auto"/>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auto"/>
          <w:sz w:val="36"/>
          <w:szCs w:val="36"/>
          <w:highlight w:val="none"/>
          <w:lang w:bidi="en-US"/>
        </w:rPr>
      </w:pPr>
      <w:bookmarkStart w:id="27" w:name="_Toc67911608"/>
      <w:bookmarkStart w:id="28" w:name="_Toc165277237"/>
      <w:r>
        <w:rPr>
          <w:rFonts w:hint="eastAsia" w:ascii="仿宋" w:hAnsi="仿宋" w:eastAsia="仿宋"/>
          <w:color w:val="auto"/>
          <w:sz w:val="36"/>
          <w:szCs w:val="36"/>
          <w:highlight w:val="none"/>
          <w:lang w:bidi="en-US"/>
        </w:rPr>
        <w:t>三、综合评价情况及评价结论</w:t>
      </w:r>
      <w:bookmarkEnd w:id="27"/>
      <w:bookmarkEnd w:id="28"/>
    </w:p>
    <w:p>
      <w:pPr>
        <w:pStyle w:val="3"/>
        <w:ind w:firstLine="643"/>
        <w:rPr>
          <w:rFonts w:ascii="仿宋" w:hAnsi="仿宋" w:eastAsia="仿宋"/>
          <w:color w:val="auto"/>
          <w:highlight w:val="none"/>
          <w:lang w:bidi="en-US"/>
        </w:rPr>
      </w:pPr>
      <w:bookmarkStart w:id="29" w:name="_Toc67911609"/>
      <w:bookmarkStart w:id="30" w:name="_Toc165277238"/>
      <w:r>
        <w:rPr>
          <w:rFonts w:hint="eastAsia" w:ascii="仿宋" w:hAnsi="仿宋" w:eastAsia="仿宋"/>
          <w:color w:val="auto"/>
          <w:highlight w:val="none"/>
          <w:lang w:bidi="en-US"/>
        </w:rPr>
        <w:t>（一）评价结论</w:t>
      </w:r>
      <w:bookmarkEnd w:id="29"/>
      <w:bookmarkEnd w:id="30"/>
    </w:p>
    <w:p>
      <w:pPr>
        <w:spacing w:line="360" w:lineRule="auto"/>
        <w:ind w:firstLine="560"/>
        <w:rPr>
          <w:rFonts w:ascii="仿宋_GB2312"/>
          <w:color w:val="auto"/>
          <w:szCs w:val="28"/>
          <w:highlight w:val="none"/>
        </w:rPr>
      </w:pPr>
      <w:r>
        <w:rPr>
          <w:rFonts w:hint="eastAsia" w:ascii="仿宋_GB2312"/>
          <w:color w:val="auto"/>
          <w:szCs w:val="28"/>
          <w:highlight w:val="none"/>
        </w:rPr>
        <w:t>结合项目特点，制定符合项目实际的绩效评价指标体系及评分标准，通过数据采集、问卷调查及访谈等形式，对2024年《2023年血透方舱建设项目（上年结转资金）》项目进行客观评价，最终评分结果为：总分为</w:t>
      </w:r>
      <w:r>
        <w:rPr>
          <w:rFonts w:hint="eastAsia" w:ascii="仿宋_GB2312"/>
          <w:color w:val="auto"/>
          <w:szCs w:val="28"/>
          <w:highlight w:val="none"/>
          <w:lang w:val="en-US" w:eastAsia="zh-CN"/>
        </w:rPr>
        <w:t>97.74</w:t>
      </w:r>
      <w:r>
        <w:rPr>
          <w:rFonts w:hint="eastAsia" w:ascii="仿宋_GB2312"/>
          <w:color w:val="auto"/>
          <w:szCs w:val="28"/>
          <w:highlight w:val="none"/>
        </w:rPr>
        <w:t>分，绩效评级为“优”</w:t>
      </w:r>
      <w:r>
        <w:rPr>
          <w:rStyle w:val="19"/>
          <w:rFonts w:ascii="仿宋_GB2312"/>
          <w:color w:val="auto"/>
          <w:szCs w:val="28"/>
          <w:highlight w:val="none"/>
        </w:rPr>
        <w:footnoteReference w:id="1"/>
      </w:r>
      <w:r>
        <w:rPr>
          <w:rFonts w:hint="eastAsia" w:ascii="仿宋_GB2312"/>
          <w:color w:val="auto"/>
          <w:szCs w:val="28"/>
          <w:highlight w:val="none"/>
        </w:rPr>
        <w:t>。</w:t>
      </w:r>
    </w:p>
    <w:p>
      <w:pPr>
        <w:spacing w:line="360" w:lineRule="auto"/>
        <w:ind w:firstLine="560"/>
        <w:rPr>
          <w:rFonts w:ascii="仿宋_GB2312"/>
          <w:color w:val="auto"/>
          <w:szCs w:val="28"/>
          <w:highlight w:val="none"/>
        </w:rPr>
      </w:pPr>
      <w:r>
        <w:rPr>
          <w:rFonts w:hint="eastAsia" w:ascii="仿宋_GB2312"/>
          <w:color w:val="auto"/>
          <w:szCs w:val="28"/>
          <w:highlight w:val="none"/>
        </w:rPr>
        <w:t>项目各部分权重和绩效分值如附表所示：</w:t>
      </w:r>
    </w:p>
    <w:p>
      <w:pPr>
        <w:spacing w:line="360" w:lineRule="auto"/>
        <w:ind w:firstLine="0" w:firstLineChars="0"/>
        <w:jc w:val="center"/>
        <w:rPr>
          <w:rFonts w:ascii="仿宋_GB2312"/>
          <w:b/>
          <w:bCs/>
          <w:color w:val="auto"/>
          <w:szCs w:val="28"/>
          <w:highlight w:val="none"/>
        </w:rPr>
      </w:pPr>
      <w:r>
        <w:rPr>
          <w:rFonts w:ascii="仿宋_GB2312"/>
          <w:b/>
          <w:bCs/>
          <w:color w:val="auto"/>
          <w:szCs w:val="28"/>
          <w:highlight w:val="none"/>
        </w:rPr>
        <w:t xml:space="preserve">  </w:t>
      </w:r>
      <w:r>
        <w:rPr>
          <w:rFonts w:hint="eastAsia" w:ascii="仿宋_GB2312"/>
          <w:b/>
          <w:bCs/>
          <w:color w:val="auto"/>
          <w:szCs w:val="28"/>
          <w:highlight w:val="none"/>
        </w:rPr>
        <w:t>项目各部分权重和绩效分值</w:t>
      </w:r>
    </w:p>
    <w:tbl>
      <w:tblPr>
        <w:tblStyle w:val="15"/>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一级指标</w:t>
            </w:r>
          </w:p>
        </w:tc>
        <w:tc>
          <w:tcPr>
            <w:tcW w:w="1984"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二级指标</w:t>
            </w:r>
          </w:p>
        </w:tc>
        <w:tc>
          <w:tcPr>
            <w:tcW w:w="2693"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三级指标</w:t>
            </w:r>
          </w:p>
        </w:tc>
        <w:tc>
          <w:tcPr>
            <w:tcW w:w="898"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分值</w:t>
            </w:r>
          </w:p>
        </w:tc>
        <w:tc>
          <w:tcPr>
            <w:tcW w:w="898"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得分</w:t>
            </w:r>
          </w:p>
        </w:tc>
        <w:tc>
          <w:tcPr>
            <w:tcW w:w="103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hint="default" w:ascii="仿宋_GB2312" w:hAnsi="Gungsuh" w:cs="宋体"/>
                <w:b/>
                <w:bCs/>
                <w:color w:val="auto"/>
                <w:kern w:val="0"/>
                <w:sz w:val="24"/>
                <w:szCs w:val="24"/>
                <w:highlight w:val="none"/>
              </w:rPr>
            </w:pPr>
            <w:r>
              <w:rPr>
                <w:rFonts w:hint="eastAsia" w:ascii="仿宋_GB2312" w:hAnsi="Gungsuh" w:cs="宋体"/>
                <w:b/>
                <w:bCs/>
                <w:color w:val="auto"/>
                <w:kern w:val="0"/>
                <w:sz w:val="24"/>
                <w:szCs w:val="24"/>
                <w:highlight w:val="none"/>
              </w:rPr>
              <w:t>得分率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立项依据充分性</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立项程序规范性</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绩效目标合理性</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绩效指标明确性</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预算编制科学性</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7"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资金分配合理性</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2.74</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54.74%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资金使用合规性</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管理制度健全性</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制度执行有效性</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1" w:hRule="atLeast"/>
          <w:jc w:val="center"/>
        </w:trPr>
        <w:tc>
          <w:tcPr>
            <w:tcW w:w="155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984"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2693"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设备购置种类</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设备验收合格率</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w:t>
            </w:r>
            <w:r>
              <w:rPr>
                <w:rFonts w:hint="default" w:ascii="宋体" w:hAnsi="宋体" w:eastAsia="宋体" w:cs="宋体"/>
                <w:color w:val="auto"/>
                <w:kern w:val="0"/>
                <w:sz w:val="22"/>
                <w:highlight w:val="none"/>
              </w:rPr>
              <w:t>0</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1"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产出时效</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资金支付及时率</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血透方舱</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水处理舱</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防护穿脱舱</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984"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项目效益</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保障医院工作正常开展</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default" w:ascii="宋体" w:hAnsi="宋体" w:eastAsia="宋体" w:cs="宋体"/>
                <w:color w:val="auto"/>
                <w:kern w:val="0"/>
                <w:sz w:val="22"/>
                <w:highlight w:val="none"/>
              </w:rPr>
              <w:t>10</w:t>
            </w:r>
          </w:p>
        </w:tc>
        <w:tc>
          <w:tcPr>
            <w:tcW w:w="898"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w:t>
            </w:r>
          </w:p>
        </w:tc>
        <w:tc>
          <w:tcPr>
            <w:tcW w:w="103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1984" w:type="dxa"/>
            <w:vMerge w:val="continu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有效提升医疗服务能力</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default" w:ascii="宋体" w:hAnsi="宋体" w:eastAsia="宋体" w:cs="宋体"/>
                <w:color w:val="auto"/>
                <w:kern w:val="0"/>
                <w:sz w:val="22"/>
                <w:highlight w:val="none"/>
              </w:rPr>
              <w:t>5</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default" w:ascii="宋体" w:hAnsi="宋体" w:eastAsia="宋体" w:cs="宋体"/>
                <w:color w:val="auto"/>
                <w:kern w:val="0"/>
                <w:sz w:val="22"/>
                <w:highlight w:val="none"/>
              </w:rPr>
              <w:t>满意度指标完成情况分析</w:t>
            </w:r>
          </w:p>
        </w:tc>
        <w:tc>
          <w:tcPr>
            <w:tcW w:w="1984"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2693"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lang w:eastAsia="zh-CN"/>
              </w:rPr>
              <w:t>设备使用人员</w:t>
            </w:r>
            <w:r>
              <w:rPr>
                <w:rFonts w:hint="eastAsia" w:ascii="宋体" w:hAnsi="宋体" w:eastAsia="宋体" w:cs="宋体"/>
                <w:color w:val="auto"/>
                <w:kern w:val="0"/>
                <w:sz w:val="22"/>
                <w:highlight w:val="none"/>
              </w:rPr>
              <w:t>满意度</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898"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103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100%</w:t>
            </w:r>
          </w:p>
        </w:tc>
      </w:tr>
    </w:tbl>
    <w:p>
      <w:pPr>
        <w:pStyle w:val="3"/>
        <w:ind w:firstLine="643"/>
        <w:rPr>
          <w:rFonts w:ascii="仿宋" w:hAnsi="仿宋" w:eastAsia="仿宋"/>
          <w:color w:val="auto"/>
          <w:highlight w:val="none"/>
          <w:lang w:bidi="en-US"/>
        </w:rPr>
      </w:pPr>
      <w:bookmarkStart w:id="31" w:name="_Toc67911610"/>
      <w:bookmarkStart w:id="32" w:name="_Toc165277239"/>
      <w:r>
        <w:rPr>
          <w:rFonts w:hint="eastAsia" w:ascii="仿宋" w:hAnsi="仿宋" w:eastAsia="仿宋"/>
          <w:color w:val="auto"/>
          <w:highlight w:val="none"/>
          <w:lang w:bidi="en-US"/>
        </w:rPr>
        <w:t>（二）主要绩效</w:t>
      </w:r>
      <w:bookmarkEnd w:id="31"/>
      <w:bookmarkEnd w:id="32"/>
    </w:p>
    <w:p>
      <w:pPr>
        <w:spacing w:line="360" w:lineRule="auto"/>
        <w:ind w:firstLine="548" w:firstLineChars="196"/>
        <w:rPr>
          <w:rFonts w:hint="default"/>
          <w:color w:val="auto"/>
          <w:highlight w:val="none"/>
          <w:lang w:val="en-US"/>
        </w:rPr>
      </w:pPr>
      <w:r>
        <w:rPr>
          <w:rFonts w:hint="eastAsia" w:ascii="仿宋_GB2312"/>
          <w:bCs/>
          <w:color w:val="auto"/>
          <w:szCs w:val="28"/>
          <w:highlight w:val="none"/>
        </w:rPr>
        <w:t>该项目资金市</w:t>
      </w:r>
      <w:r>
        <w:rPr>
          <w:rFonts w:hint="eastAsia" w:ascii="仿宋_GB2312"/>
          <w:color w:val="auto"/>
          <w:highlight w:val="none"/>
          <w:lang w:val="en-US" w:eastAsia="zh-CN"/>
        </w:rPr>
        <w:t>财政及时拨付，单位在此次评价期间内，有序完成设定目标的工作任务</w:t>
      </w:r>
      <w:r>
        <w:rPr>
          <w:rFonts w:hint="eastAsia" w:ascii="仿宋_GB2312"/>
          <w:color w:val="auto"/>
          <w:highlight w:val="none"/>
        </w:rPr>
        <w:t>。</w:t>
      </w:r>
      <w:r>
        <w:rPr>
          <w:rFonts w:hint="eastAsia" w:ascii="仿宋_GB2312"/>
          <w:color w:val="auto"/>
          <w:highlight w:val="none"/>
          <w:lang w:val="en-US" w:eastAsia="zh-CN"/>
        </w:rPr>
        <w:t>2024年</w:t>
      </w:r>
      <w:r>
        <w:rPr>
          <w:rFonts w:hint="eastAsia" w:ascii="仿宋_GB2312"/>
          <w:color w:val="auto"/>
          <w:highlight w:val="none"/>
        </w:rPr>
        <w:t>按时完成</w:t>
      </w:r>
      <w:r>
        <w:rPr>
          <w:rFonts w:hint="default" w:ascii="仿宋_GB2312" w:hAnsi="仿宋"/>
          <w:color w:val="auto"/>
          <w:szCs w:val="28"/>
          <w:highlight w:val="none"/>
          <w:lang w:val="en-US" w:eastAsia="zh-CN"/>
        </w:rPr>
        <w:t>5</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威高血透方舱（共计20台血透机）、</w:t>
      </w:r>
      <w:r>
        <w:rPr>
          <w:rFonts w:hint="eastAsia" w:ascii="仿宋_GB2312" w:hAnsi="仿宋"/>
          <w:color w:val="auto"/>
          <w:szCs w:val="28"/>
          <w:highlight w:val="none"/>
          <w:lang w:val="en-US" w:eastAsia="zh-CN"/>
        </w:rPr>
        <w:t>1套</w:t>
      </w:r>
      <w:r>
        <w:rPr>
          <w:rFonts w:hint="default" w:ascii="仿宋_GB2312" w:hAnsi="仿宋"/>
          <w:color w:val="auto"/>
          <w:szCs w:val="28"/>
          <w:highlight w:val="none"/>
          <w:lang w:val="en-US" w:eastAsia="zh-CN"/>
        </w:rPr>
        <w:t>更衣舱、1</w:t>
      </w:r>
      <w:r>
        <w:rPr>
          <w:rFonts w:hint="eastAsia" w:ascii="仿宋_GB2312" w:hAnsi="仿宋"/>
          <w:color w:val="auto"/>
          <w:szCs w:val="28"/>
          <w:highlight w:val="none"/>
          <w:lang w:val="en-US" w:eastAsia="zh-CN"/>
        </w:rPr>
        <w:t>套</w:t>
      </w:r>
      <w:r>
        <w:rPr>
          <w:rFonts w:hint="default" w:ascii="仿宋_GB2312" w:hAnsi="仿宋"/>
          <w:color w:val="auto"/>
          <w:szCs w:val="28"/>
          <w:highlight w:val="none"/>
          <w:lang w:val="en-US" w:eastAsia="zh-CN"/>
        </w:rPr>
        <w:t>水机舱</w:t>
      </w:r>
      <w:r>
        <w:rPr>
          <w:rFonts w:hint="eastAsia" w:ascii="仿宋_GB2312"/>
          <w:color w:val="auto"/>
          <w:highlight w:val="none"/>
        </w:rPr>
        <w:t>的采购与安装，设备验收合格率100%</w:t>
      </w:r>
      <w:r>
        <w:rPr>
          <w:rFonts w:hint="eastAsia" w:ascii="仿宋_GB2312"/>
          <w:color w:val="auto"/>
          <w:highlight w:val="none"/>
          <w:lang w:eastAsia="zh-CN"/>
        </w:rPr>
        <w:t>，支付费用</w:t>
      </w:r>
      <w:r>
        <w:rPr>
          <w:rFonts w:hint="eastAsia" w:ascii="仿宋_GB2312"/>
          <w:color w:val="auto"/>
          <w:highlight w:val="none"/>
          <w:lang w:val="en-US" w:eastAsia="zh-CN"/>
        </w:rPr>
        <w:t>1247万元。该项目的实施解决了疫情期间特殊患者的就医需求，</w:t>
      </w:r>
      <w:r>
        <w:rPr>
          <w:rFonts w:hint="eastAsia" w:ascii="仿宋_GB2312"/>
          <w:color w:val="auto"/>
          <w:highlight w:val="none"/>
          <w:lang w:eastAsia="zh-CN"/>
        </w:rPr>
        <w:t>保障医院工作的正常开展；设备的投入使用</w:t>
      </w:r>
      <w:r>
        <w:rPr>
          <w:rFonts w:hint="eastAsia" w:ascii="仿宋_GB2312"/>
          <w:color w:val="auto"/>
          <w:highlight w:val="none"/>
        </w:rPr>
        <w:t>有效提升医疗服务能力</w:t>
      </w:r>
      <w:r>
        <w:rPr>
          <w:rFonts w:hint="eastAsia" w:ascii="仿宋_GB2312"/>
          <w:color w:val="auto"/>
          <w:highlight w:val="none"/>
          <w:lang w:eastAsia="zh-CN"/>
        </w:rPr>
        <w:t>。新增</w:t>
      </w:r>
      <w:r>
        <w:rPr>
          <w:rFonts w:hint="eastAsia" w:ascii="仿宋_GB2312"/>
          <w:color w:val="auto"/>
          <w:highlight w:val="none"/>
          <w:lang w:val="en-US" w:eastAsia="zh-CN"/>
        </w:rPr>
        <w:t>20个血透机位，日均单机服务4-6名患者，日接诊能力约100人次，较改造前提升100%。提高危急重症患者救治成功率，分担乌鲁木齐市30%以上新冠透析患者压力。设备科室使用满意度达到100%。智能化设备减少人工操作，降低了防护物资的消耗量，减轻了医务工作人员的工作负荷。</w:t>
      </w:r>
      <w:r>
        <w:rPr>
          <w:rFonts w:hint="eastAsia" w:ascii="仿宋_GB2312"/>
          <w:color w:val="auto"/>
          <w:highlight w:val="none"/>
          <w:lang w:eastAsia="zh-CN"/>
        </w:rPr>
        <w:t>在此次项目实施中我单位建立高效协同机制，跨部门协作，实现采购、安装、调试、使用全流程无缝对接，确保项目快速落地。方舱设备可通过资源重新配置，用于基层医院常规透析使用，延长投资生命周期。</w:t>
      </w:r>
    </w:p>
    <w:p>
      <w:pPr>
        <w:pStyle w:val="2"/>
        <w:ind w:firstLine="0" w:firstLineChars="0"/>
        <w:jc w:val="left"/>
        <w:rPr>
          <w:rFonts w:ascii="仿宋" w:hAnsi="仿宋" w:eastAsia="仿宋"/>
          <w:color w:val="auto"/>
          <w:sz w:val="36"/>
          <w:szCs w:val="36"/>
          <w:highlight w:val="none"/>
          <w:lang w:bidi="en-US"/>
        </w:rPr>
      </w:pPr>
      <w:bookmarkStart w:id="33" w:name="_Toc165277240"/>
      <w:bookmarkStart w:id="34" w:name="_Toc67911611"/>
      <w:r>
        <w:rPr>
          <w:rFonts w:hint="eastAsia" w:ascii="仿宋" w:hAnsi="仿宋" w:eastAsia="仿宋"/>
          <w:color w:val="auto"/>
          <w:sz w:val="36"/>
          <w:szCs w:val="36"/>
          <w:highlight w:val="none"/>
          <w:lang w:bidi="en-US"/>
        </w:rPr>
        <w:t>四、绩效评价指标分析</w:t>
      </w:r>
      <w:bookmarkEnd w:id="33"/>
      <w:bookmarkEnd w:id="34"/>
    </w:p>
    <w:p>
      <w:pPr>
        <w:pStyle w:val="3"/>
        <w:ind w:firstLine="643"/>
        <w:rPr>
          <w:rFonts w:ascii="仿宋" w:hAnsi="仿宋" w:eastAsia="仿宋"/>
          <w:color w:val="auto"/>
          <w:highlight w:val="none"/>
          <w:lang w:bidi="en-US"/>
        </w:rPr>
      </w:pPr>
      <w:bookmarkStart w:id="35" w:name="_Toc165277241"/>
      <w:bookmarkStart w:id="36" w:name="_Toc67911612"/>
      <w:r>
        <w:rPr>
          <w:rFonts w:hint="eastAsia" w:ascii="仿宋" w:hAnsi="仿宋" w:eastAsia="仿宋"/>
          <w:color w:val="auto"/>
          <w:highlight w:val="none"/>
          <w:lang w:bidi="en-US"/>
        </w:rPr>
        <w:t>（一）项目决策情况</w:t>
      </w:r>
      <w:bookmarkEnd w:id="35"/>
      <w:bookmarkEnd w:id="36"/>
    </w:p>
    <w:p>
      <w:pPr>
        <w:spacing w:line="360" w:lineRule="auto"/>
        <w:ind w:firstLine="560"/>
        <w:rPr>
          <w:rFonts w:ascii="仿宋_GB2312"/>
          <w:color w:val="auto"/>
          <w:szCs w:val="28"/>
          <w:highlight w:val="none"/>
        </w:rPr>
      </w:pPr>
      <w:r>
        <w:rPr>
          <w:rFonts w:hint="eastAsia" w:ascii="仿宋_GB2312"/>
          <w:color w:val="auto"/>
          <w:szCs w:val="28"/>
          <w:highlight w:val="none"/>
        </w:rPr>
        <w:t>项目决算指标由3个二级指标和6个三级指标构成，权重为</w:t>
      </w:r>
      <w:r>
        <w:rPr>
          <w:rFonts w:ascii="仿宋_GB2312"/>
          <w:color w:val="auto"/>
          <w:szCs w:val="28"/>
          <w:highlight w:val="none"/>
        </w:rPr>
        <w:t>20</w:t>
      </w:r>
      <w:r>
        <w:rPr>
          <w:rFonts w:hint="eastAsia" w:ascii="仿宋_GB2312"/>
          <w:color w:val="auto"/>
          <w:szCs w:val="28"/>
          <w:highlight w:val="none"/>
        </w:rPr>
        <w:t>分，实际得分</w:t>
      </w:r>
      <w:r>
        <w:rPr>
          <w:rFonts w:hint="eastAsia" w:ascii="仿宋_GB2312"/>
          <w:color w:val="auto"/>
          <w:szCs w:val="28"/>
          <w:highlight w:val="none"/>
          <w:lang w:val="en-US" w:eastAsia="zh-CN"/>
        </w:rPr>
        <w:t>20</w:t>
      </w:r>
      <w:r>
        <w:rPr>
          <w:rFonts w:hint="eastAsia" w:ascii="仿宋_GB2312"/>
          <w:color w:val="auto"/>
          <w:szCs w:val="28"/>
          <w:highlight w:val="none"/>
        </w:rPr>
        <w:t>分。</w:t>
      </w:r>
    </w:p>
    <w:p>
      <w:pPr>
        <w:pStyle w:val="4"/>
        <w:ind w:firstLine="643"/>
        <w:rPr>
          <w:color w:val="auto"/>
          <w:highlight w:val="none"/>
        </w:rPr>
      </w:pPr>
      <w:bookmarkStart w:id="37" w:name="_Toc165277242"/>
      <w:r>
        <w:rPr>
          <w:color w:val="auto"/>
          <w:highlight w:val="none"/>
        </w:rPr>
        <w:t>1.</w:t>
      </w:r>
      <w:r>
        <w:rPr>
          <w:rFonts w:hint="eastAsia"/>
          <w:color w:val="auto"/>
          <w:highlight w:val="none"/>
        </w:rPr>
        <w:t>项目立项</w:t>
      </w:r>
      <w:bookmarkEnd w:id="37"/>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立项依据充分性</w:t>
      </w:r>
      <w:r>
        <w:rPr>
          <w:rFonts w:hint="eastAsia" w:ascii="仿宋_GB2312"/>
          <w:b/>
          <w:bCs/>
          <w:color w:val="auto"/>
          <w:szCs w:val="28"/>
          <w:highlight w:val="none"/>
          <w:lang w:eastAsia="zh-CN"/>
        </w:rPr>
        <w:t>：</w:t>
      </w:r>
      <w:r>
        <w:rPr>
          <w:rFonts w:hint="eastAsia" w:ascii="仿宋_GB2312"/>
          <w:color w:val="auto"/>
          <w:szCs w:val="28"/>
          <w:highlight w:val="none"/>
        </w:rPr>
        <w:t>项目立项符合《关于下达中央疫情防控财力补助预算的通知》</w:t>
      </w:r>
      <w:r>
        <w:rPr>
          <w:rFonts w:hint="eastAsia" w:ascii="仿宋_GB2312"/>
          <w:color w:val="auto"/>
          <w:szCs w:val="28"/>
          <w:highlight w:val="none"/>
          <w:lang w:eastAsia="zh-CN"/>
        </w:rPr>
        <w:t>（</w:t>
      </w:r>
      <w:r>
        <w:rPr>
          <w:rFonts w:hint="eastAsia" w:ascii="仿宋_GB2312"/>
          <w:color w:val="auto"/>
          <w:szCs w:val="28"/>
          <w:highlight w:val="none"/>
        </w:rPr>
        <w:t>新财预</w:t>
      </w:r>
      <w:r>
        <w:rPr>
          <w:rFonts w:hint="eastAsia" w:ascii="仿宋_GB2312"/>
          <w:color w:val="auto"/>
          <w:szCs w:val="28"/>
          <w:highlight w:val="none"/>
          <w:lang w:eastAsia="zh-CN"/>
        </w:rPr>
        <w:t>〔2023〕29号）</w:t>
      </w:r>
      <w:r>
        <w:rPr>
          <w:rFonts w:hint="eastAsia" w:ascii="仿宋_GB2312"/>
          <w:color w:val="auto"/>
          <w:szCs w:val="28"/>
          <w:highlight w:val="none"/>
        </w:rPr>
        <w:t>、《关于进</w:t>
      </w:r>
      <w:r>
        <w:rPr>
          <w:rFonts w:hint="eastAsia" w:ascii="仿宋_GB2312"/>
          <w:color w:val="auto"/>
          <w:szCs w:val="28"/>
          <w:highlight w:val="none"/>
          <w:lang w:val="en-US" w:eastAsia="zh-CN"/>
        </w:rPr>
        <w:t>一</w:t>
      </w:r>
      <w:r>
        <w:rPr>
          <w:rFonts w:hint="eastAsia" w:ascii="仿宋_GB2312"/>
          <w:color w:val="auto"/>
          <w:szCs w:val="28"/>
          <w:highlight w:val="none"/>
        </w:rPr>
        <w:t>步加强和规范新型冠状病毒肺炎疫情防控资金管理工作的通知》</w:t>
      </w:r>
      <w:r>
        <w:rPr>
          <w:rFonts w:hint="eastAsia" w:ascii="仿宋_GB2312"/>
          <w:color w:val="auto"/>
          <w:szCs w:val="28"/>
          <w:highlight w:val="none"/>
          <w:lang w:eastAsia="zh-CN"/>
        </w:rPr>
        <w:t>（</w:t>
      </w:r>
      <w:r>
        <w:rPr>
          <w:rFonts w:hint="eastAsia" w:ascii="仿宋_GB2312"/>
          <w:color w:val="auto"/>
          <w:szCs w:val="28"/>
          <w:highlight w:val="none"/>
        </w:rPr>
        <w:t>乌财社</w:t>
      </w:r>
      <w:r>
        <w:rPr>
          <w:rFonts w:hint="eastAsia" w:ascii="仿宋_GB2312"/>
          <w:color w:val="auto"/>
          <w:szCs w:val="28"/>
          <w:highlight w:val="none"/>
          <w:lang w:eastAsia="zh-CN"/>
        </w:rPr>
        <w:t>〔2021〕285号）</w:t>
      </w:r>
      <w:r>
        <w:rPr>
          <w:rFonts w:hint="eastAsia" w:ascii="仿宋_GB2312"/>
          <w:color w:val="auto"/>
          <w:szCs w:val="28"/>
          <w:highlight w:val="none"/>
        </w:rPr>
        <w:t>、《关于乌鲁木齐市疫情防控期间政府采购事宜的通知》</w:t>
      </w:r>
      <w:r>
        <w:rPr>
          <w:rFonts w:hint="eastAsia" w:ascii="仿宋_GB2312"/>
          <w:color w:val="auto"/>
          <w:szCs w:val="28"/>
          <w:highlight w:val="none"/>
          <w:lang w:eastAsia="zh-CN"/>
        </w:rPr>
        <w:t>（</w:t>
      </w:r>
      <w:r>
        <w:rPr>
          <w:rFonts w:hint="eastAsia" w:ascii="仿宋_GB2312"/>
          <w:color w:val="auto"/>
          <w:szCs w:val="28"/>
          <w:highlight w:val="none"/>
        </w:rPr>
        <w:t>乌财购</w:t>
      </w:r>
      <w:r>
        <w:rPr>
          <w:rFonts w:hint="eastAsia" w:ascii="仿宋_GB2312"/>
          <w:color w:val="auto"/>
          <w:szCs w:val="28"/>
          <w:highlight w:val="none"/>
          <w:lang w:eastAsia="zh-CN"/>
        </w:rPr>
        <w:t>〔2020〕6号）</w:t>
      </w:r>
      <w:r>
        <w:rPr>
          <w:rFonts w:hint="eastAsia" w:ascii="仿宋_GB2312"/>
          <w:color w:val="auto"/>
          <w:szCs w:val="28"/>
          <w:highlight w:val="none"/>
        </w:rPr>
        <w:t>等政策要求。同时，根据《关于乌鲁木齐国际医院机构编制方案的通知》</w:t>
      </w:r>
      <w:r>
        <w:rPr>
          <w:rFonts w:hint="eastAsia" w:ascii="仿宋_GB2312"/>
          <w:color w:val="auto"/>
          <w:szCs w:val="28"/>
          <w:highlight w:val="none"/>
          <w:lang w:eastAsia="zh-CN"/>
        </w:rPr>
        <w:t>（</w:t>
      </w:r>
      <w:r>
        <w:rPr>
          <w:rFonts w:hint="eastAsia" w:ascii="仿宋_GB2312"/>
          <w:color w:val="auto"/>
          <w:szCs w:val="28"/>
          <w:highlight w:val="none"/>
        </w:rPr>
        <w:t>乌编办</w:t>
      </w:r>
      <w:r>
        <w:rPr>
          <w:rFonts w:hint="eastAsia" w:ascii="仿宋_GB2312"/>
          <w:color w:val="auto"/>
          <w:szCs w:val="28"/>
          <w:highlight w:val="none"/>
          <w:lang w:eastAsia="zh-CN"/>
        </w:rPr>
        <w:t>〔2019〕296号）</w:t>
      </w:r>
      <w:r>
        <w:rPr>
          <w:rFonts w:hint="eastAsia" w:ascii="仿宋_GB2312"/>
          <w:color w:val="auto"/>
          <w:szCs w:val="28"/>
          <w:highlight w:val="none"/>
        </w:rPr>
        <w:t>中对单位主要职责规定，该项目与单位主要职责范围中的</w:t>
      </w:r>
      <w:r>
        <w:rPr>
          <w:rFonts w:hint="eastAsia" w:ascii="仿宋_GB2312"/>
          <w:color w:val="auto"/>
          <w:szCs w:val="28"/>
          <w:highlight w:val="none"/>
          <w:lang w:eastAsia="zh-CN"/>
        </w:rPr>
        <w:t>（</w:t>
      </w:r>
      <w:r>
        <w:rPr>
          <w:rFonts w:hint="eastAsia" w:ascii="仿宋_GB2312"/>
          <w:color w:val="auto"/>
          <w:szCs w:val="28"/>
          <w:highlight w:val="none"/>
          <w:lang w:val="en-US" w:eastAsia="zh-CN"/>
        </w:rPr>
        <w:t>一）</w:t>
      </w:r>
      <w:r>
        <w:rPr>
          <w:rFonts w:hint="eastAsia" w:ascii="仿宋_GB2312"/>
          <w:color w:val="auto"/>
          <w:szCs w:val="28"/>
          <w:highlight w:val="none"/>
        </w:rPr>
        <w:t>贯彻执行国家、自治区和我市有关卫生健康工作的方针、政策和法律、</w:t>
      </w:r>
      <w:r>
        <w:rPr>
          <w:rFonts w:hint="eastAsia" w:ascii="仿宋_GB2312"/>
          <w:color w:val="auto"/>
          <w:szCs w:val="28"/>
          <w:highlight w:val="none"/>
          <w:lang w:eastAsia="zh-CN"/>
        </w:rPr>
        <w:t>法规及相关标准和技术</w:t>
      </w:r>
      <w:r>
        <w:rPr>
          <w:rFonts w:hint="eastAsia" w:ascii="仿宋_GB2312"/>
          <w:color w:val="auto"/>
          <w:szCs w:val="28"/>
          <w:highlight w:val="none"/>
        </w:rPr>
        <w:t>规范，加强医疗质量管理，确保医疗安全和服务质量，不断提高服务水平，保障人民群众身体健康。</w:t>
      </w:r>
      <w:r>
        <w:rPr>
          <w:rFonts w:hint="eastAsia" w:ascii="仿宋_GB2312"/>
          <w:color w:val="auto"/>
          <w:szCs w:val="28"/>
          <w:highlight w:val="none"/>
          <w:lang w:eastAsia="zh-CN"/>
        </w:rPr>
        <w:t>（</w:t>
      </w:r>
      <w:r>
        <w:rPr>
          <w:rFonts w:hint="eastAsia" w:ascii="仿宋_GB2312"/>
          <w:color w:val="auto"/>
          <w:szCs w:val="28"/>
          <w:highlight w:val="none"/>
        </w:rPr>
        <w:t>四</w:t>
      </w:r>
      <w:r>
        <w:rPr>
          <w:rFonts w:hint="eastAsia" w:ascii="仿宋_GB2312"/>
          <w:color w:val="auto"/>
          <w:szCs w:val="28"/>
          <w:highlight w:val="none"/>
          <w:lang w:eastAsia="zh-CN"/>
        </w:rPr>
        <w:t>）</w:t>
      </w:r>
      <w:r>
        <w:rPr>
          <w:rFonts w:hint="eastAsia" w:ascii="仿宋_GB2312"/>
          <w:color w:val="auto"/>
          <w:szCs w:val="28"/>
          <w:highlight w:val="none"/>
        </w:rPr>
        <w:t>承担各类突发公共事件、自然灾害的医学救治等工作。本项目的立项依据充分性及程序规范性表现较为突出。从立项依据充分性看，项目严格遵循自治区疫情防控指挥部督导要求和区域疫情防控总体部署，紧密围绕新冠肺炎患者救治中"多溶质治疗及肾功能衰竭"的临床刚需，结合本院收治能力缺口和专家组论证结论，针对性提出血透机设备补充需求，既符合《新型冠状病毒肺炎诊疗方案（试行第九版）》关于危重症患者多器官功能支持的治疗原则，也契合国家关于提升定点医院血液净化救治能力的政策导向，体现了疫情防控"平急结合"的战略要求。故立项</w:t>
      </w:r>
      <w:r>
        <w:rPr>
          <w:rFonts w:hint="eastAsia" w:ascii="仿宋_GB2312"/>
          <w:color w:val="auto"/>
          <w:szCs w:val="28"/>
          <w:highlight w:val="none"/>
          <w:lang w:eastAsia="zh-CN"/>
        </w:rPr>
        <w:t>依据充分</w:t>
      </w:r>
      <w:r>
        <w:rPr>
          <w:rFonts w:hint="eastAsia" w:ascii="仿宋_GB2312"/>
          <w:color w:val="auto"/>
          <w:szCs w:val="28"/>
          <w:highlight w:val="none"/>
        </w:rPr>
        <w:t>，得4分</w:t>
      </w:r>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立项程序规范性</w:t>
      </w:r>
      <w:r>
        <w:rPr>
          <w:rFonts w:hint="eastAsia" w:ascii="仿宋_GB2312"/>
          <w:b/>
          <w:bCs/>
          <w:color w:val="auto"/>
          <w:szCs w:val="28"/>
          <w:highlight w:val="none"/>
          <w:lang w:eastAsia="zh-CN"/>
        </w:rPr>
        <w:t>：</w:t>
      </w:r>
      <w:r>
        <w:rPr>
          <w:rFonts w:hint="eastAsia" w:ascii="仿宋_GB2312"/>
          <w:color w:val="auto"/>
          <w:szCs w:val="28"/>
          <w:highlight w:val="none"/>
        </w:rPr>
        <w:t>项目按照规定的程序申请设立，审批文件、材料符合相关要求，从程序规范性角度看，项目启动基于国家专家组现场实地考察的权威论证（10月7日），决策链条包含疫情研判、临床需求分析、设备缺口测算、专家技术评估等关键环节，通过专家组论证、上级任务指派等方式确保了决策程序的合规性，符合《突发公共卫生事件应急条例》中关于紧急医疗资源配置的特殊程序规定，具有应急状态下程序规范的典型特征。故立项程序规范，得4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8</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8</w:t>
      </w:r>
      <w:r>
        <w:rPr>
          <w:rFonts w:hint="eastAsia" w:ascii="仿宋_GB2312" w:hAnsi="仿宋" w:cs="宋体"/>
          <w:b/>
          <w:color w:val="auto"/>
          <w:kern w:val="0"/>
          <w:szCs w:val="28"/>
          <w:highlight w:val="none"/>
        </w:rPr>
        <w:t>分。</w:t>
      </w:r>
    </w:p>
    <w:p>
      <w:pPr>
        <w:pStyle w:val="4"/>
        <w:ind w:firstLine="643"/>
        <w:rPr>
          <w:color w:val="auto"/>
          <w:highlight w:val="none"/>
        </w:rPr>
      </w:pPr>
      <w:bookmarkStart w:id="38" w:name="_Toc165277243"/>
      <w:r>
        <w:rPr>
          <w:rFonts w:hint="eastAsia"/>
          <w:color w:val="auto"/>
          <w:highlight w:val="none"/>
        </w:rPr>
        <w:t>2</w:t>
      </w:r>
      <w:r>
        <w:rPr>
          <w:color w:val="auto"/>
          <w:highlight w:val="none"/>
        </w:rPr>
        <w:t>.</w:t>
      </w:r>
      <w:r>
        <w:rPr>
          <w:rFonts w:hint="eastAsia"/>
          <w:color w:val="auto"/>
          <w:highlight w:val="none"/>
        </w:rPr>
        <w:t>绩效目标</w:t>
      </w:r>
      <w:bookmarkEnd w:id="38"/>
    </w:p>
    <w:p>
      <w:pPr>
        <w:spacing w:line="360" w:lineRule="auto"/>
        <w:ind w:firstLine="562"/>
        <w:rPr>
          <w:rFonts w:ascii="仿宋_GB2312"/>
          <w:color w:val="auto"/>
          <w:szCs w:val="28"/>
          <w:highlight w:val="none"/>
        </w:rPr>
      </w:pPr>
      <w:r>
        <w:rPr>
          <w:rFonts w:hint="eastAsia" w:ascii="仿宋_GB2312"/>
          <w:b/>
          <w:bCs/>
          <w:color w:val="auto"/>
          <w:szCs w:val="28"/>
          <w:highlight w:val="none"/>
        </w:rPr>
        <w:t>绩效目标合理性：</w:t>
      </w:r>
      <w:r>
        <w:rPr>
          <w:rFonts w:hint="eastAsia" w:ascii="仿宋_GB2312"/>
          <w:color w:val="auto"/>
          <w:szCs w:val="28"/>
          <w:highlight w:val="none"/>
        </w:rPr>
        <w:t>本项目的绩效目标按照产出、效益和满意度构建绩效评价指标，且具有明确性、可衡量性、可实现性、相关性和时限性等特点，</w:t>
      </w:r>
      <w:r>
        <w:rPr>
          <w:rFonts w:hint="eastAsia" w:ascii="仿宋_GB2312"/>
          <w:color w:val="auto"/>
          <w:szCs w:val="28"/>
          <w:highlight w:val="none"/>
          <w:lang w:eastAsia="zh-CN"/>
        </w:rPr>
        <w:t>设置数量指标“</w:t>
      </w:r>
      <w:r>
        <w:rPr>
          <w:rFonts w:hint="eastAsia" w:ascii="仿宋_GB2312"/>
          <w:color w:val="auto"/>
          <w:szCs w:val="28"/>
          <w:highlight w:val="none"/>
        </w:rPr>
        <w:t>设备购置种类</w:t>
      </w:r>
      <w:r>
        <w:rPr>
          <w:rFonts w:hint="eastAsia" w:ascii="仿宋_GB2312"/>
          <w:color w:val="auto"/>
          <w:szCs w:val="28"/>
          <w:highlight w:val="none"/>
          <w:lang w:eastAsia="zh-CN"/>
        </w:rPr>
        <w:t>”</w:t>
      </w:r>
      <w:r>
        <w:rPr>
          <w:rFonts w:hint="eastAsia" w:ascii="仿宋_GB2312"/>
          <w:color w:val="auto"/>
          <w:szCs w:val="28"/>
          <w:highlight w:val="none"/>
        </w:rPr>
        <w:t>，从医院业务开展角度，多种类设备有助于丰富诊疗手段，满足不同医疗需求，该目标合理且业绩值达到</w:t>
      </w:r>
      <w:r>
        <w:rPr>
          <w:rFonts w:hint="eastAsia" w:ascii="仿宋_GB2312"/>
          <w:color w:val="auto"/>
          <w:szCs w:val="28"/>
          <w:highlight w:val="none"/>
          <w:lang w:eastAsia="zh-CN"/>
        </w:rPr>
        <w:t>目标值</w:t>
      </w:r>
      <w:r>
        <w:rPr>
          <w:rFonts w:hint="eastAsia" w:ascii="仿宋_GB2312"/>
          <w:color w:val="auto"/>
          <w:szCs w:val="28"/>
          <w:highlight w:val="none"/>
        </w:rPr>
        <w:t>，说明目标设定符合实际执行能力，不会因过高或过低影响项目推进</w:t>
      </w:r>
      <w:r>
        <w:rPr>
          <w:rFonts w:hint="eastAsia" w:ascii="仿宋_GB2312"/>
          <w:color w:val="auto"/>
          <w:szCs w:val="28"/>
          <w:highlight w:val="none"/>
          <w:lang w:eastAsia="zh-CN"/>
        </w:rPr>
        <w:t>；设置质量指标“设备验收合格率”，设备合格是保障医疗服务质量和安全的基础，此目标合理且必要，体现对设备质量的严格把控；设置时效指标“资金支付及时率”，有效体现项目资金使用效率，此目标合理且必要；设置经济成本指标“血透方舱”“水处理舱”以及“防护穿脱舱”分别设定成本上限，是基于对各舱建设或配置成本的合理预估，能有效监控项目预算控制率，避免成本失控，符合项目成本管理需求，目标合理。设置社会效益指标“保障医院工作正常开展”，项目开展的核心目的之一就是保障日常工作顺利进行，设定此目标能引导项目实施方向，且“有效保障”的表述符合医院实际需求，目标合理。</w:t>
      </w:r>
      <w:r>
        <w:rPr>
          <w:rFonts w:hint="eastAsia" w:ascii="仿宋_GB2312"/>
          <w:color w:val="auto"/>
          <w:szCs w:val="28"/>
          <w:highlight w:val="none"/>
          <w:lang w:val="en-US" w:eastAsia="zh-CN"/>
        </w:rPr>
        <w:t>“有效提升医疗服务能力”是医院发展的重要目标，通过项目实施推动医疗服务能力提升，符合医院长期发展战略，目标合理。</w:t>
      </w:r>
      <w:r>
        <w:rPr>
          <w:rFonts w:hint="eastAsia" w:ascii="仿宋_GB2312"/>
          <w:color w:val="auto"/>
          <w:szCs w:val="28"/>
          <w:highlight w:val="none"/>
        </w:rPr>
        <w:t>故绩效目标合理性指标得分</w:t>
      </w:r>
      <w:r>
        <w:rPr>
          <w:rFonts w:ascii="仿宋_GB2312"/>
          <w:color w:val="auto"/>
          <w:szCs w:val="28"/>
          <w:highlight w:val="none"/>
        </w:rPr>
        <w:t>3</w:t>
      </w:r>
      <w:r>
        <w:rPr>
          <w:rFonts w:hint="eastAsia" w:ascii="仿宋_GB2312"/>
          <w:color w:val="auto"/>
          <w:szCs w:val="28"/>
          <w:highlight w:val="none"/>
        </w:rPr>
        <w:t>分。</w:t>
      </w:r>
    </w:p>
    <w:p>
      <w:pPr>
        <w:autoSpaceDE w:val="0"/>
        <w:spacing w:line="600" w:lineRule="exact"/>
        <w:ind w:firstLine="562"/>
        <w:rPr>
          <w:rFonts w:ascii="仿宋_GB2312" w:hAnsi="仿宋" w:cs="宋体"/>
          <w:color w:val="auto"/>
          <w:kern w:val="0"/>
          <w:szCs w:val="28"/>
          <w:highlight w:val="none"/>
        </w:rPr>
      </w:pPr>
      <w:r>
        <w:rPr>
          <w:rFonts w:hint="eastAsia" w:ascii="仿宋_GB2312" w:hAnsi="仿宋" w:cs="宋体"/>
          <w:b/>
          <w:color w:val="auto"/>
          <w:kern w:val="0"/>
          <w:szCs w:val="28"/>
          <w:highlight w:val="none"/>
        </w:rPr>
        <w:t>绩效目标明确性：</w:t>
      </w:r>
      <w:r>
        <w:rPr>
          <w:rFonts w:hint="eastAsia" w:ascii="仿宋_GB2312" w:hAnsi="仿宋" w:cs="宋体"/>
          <w:color w:val="auto"/>
          <w:kern w:val="0"/>
          <w:szCs w:val="28"/>
          <w:highlight w:val="none"/>
        </w:rPr>
        <w:t>其中，数量指标明确规定设备购置种类的数量下限，质量指标明确设备验收合格率需达到100%，时效指标</w:t>
      </w:r>
      <w:r>
        <w:rPr>
          <w:rFonts w:hint="eastAsia" w:ascii="仿宋_GB2312" w:hAnsi="仿宋" w:cs="宋体"/>
          <w:color w:val="auto"/>
          <w:kern w:val="0"/>
          <w:szCs w:val="28"/>
          <w:highlight w:val="none"/>
          <w:lang w:eastAsia="zh-CN"/>
        </w:rPr>
        <w:t>明确资金支付及时率需达</w:t>
      </w:r>
      <w:r>
        <w:rPr>
          <w:rFonts w:hint="eastAsia" w:ascii="仿宋_GB2312" w:hAnsi="仿宋" w:cs="宋体"/>
          <w:color w:val="auto"/>
          <w:kern w:val="0"/>
          <w:szCs w:val="28"/>
          <w:highlight w:val="none"/>
          <w:lang w:val="en-US" w:eastAsia="zh-CN"/>
        </w:rPr>
        <w:t>100%</w:t>
      </w:r>
      <w:r>
        <w:rPr>
          <w:rFonts w:hint="eastAsia" w:ascii="仿宋_GB2312" w:hAnsi="仿宋" w:cs="宋体"/>
          <w:color w:val="auto"/>
          <w:kern w:val="0"/>
          <w:szCs w:val="28"/>
          <w:highlight w:val="none"/>
        </w:rPr>
        <w:t>，整体产出指标的关键内容清晰明确，便于衡量项目产出成果。社会效益指标中“保障医院工作正常开展”“有效提升医疗服务能力”，明确了项目实施期望达成的社会效益方向，且“有效保障”“有效提升” 虽未完全量化，但结合医院实际工作可进行定性评估，目标明确性较高。各项指标均能在现实条件下收集到相关数据进行佐证</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评价数据</w:t>
      </w:r>
      <w:r>
        <w:rPr>
          <w:rFonts w:hint="eastAsia" w:ascii="仿宋_GB2312" w:hAnsi="仿宋" w:cs="宋体"/>
          <w:color w:val="auto"/>
          <w:kern w:val="0"/>
          <w:szCs w:val="28"/>
          <w:highlight w:val="none"/>
          <w:lang w:eastAsia="zh-CN"/>
        </w:rPr>
        <w:t>中的</w:t>
      </w:r>
      <w:r>
        <w:rPr>
          <w:rFonts w:hint="eastAsia" w:ascii="仿宋_GB2312" w:hAnsi="仿宋" w:cs="宋体"/>
          <w:color w:val="auto"/>
          <w:kern w:val="0"/>
          <w:szCs w:val="28"/>
          <w:highlight w:val="none"/>
        </w:rPr>
        <w:t>设备采购与安装数据来源于设备管理部门的采购合同、验收报告</w:t>
      </w:r>
      <w:r>
        <w:rPr>
          <w:rFonts w:hint="eastAsia" w:ascii="仿宋_GB2312" w:hAnsi="仿宋" w:cs="宋体"/>
          <w:color w:val="auto"/>
          <w:kern w:val="0"/>
          <w:szCs w:val="28"/>
          <w:highlight w:val="none"/>
          <w:lang w:eastAsia="zh-CN"/>
        </w:rPr>
        <w:t>等资料；</w:t>
      </w:r>
      <w:r>
        <w:rPr>
          <w:rFonts w:hint="eastAsia" w:ascii="仿宋_GB2312" w:hAnsi="仿宋" w:cs="宋体"/>
          <w:color w:val="auto"/>
          <w:kern w:val="0"/>
          <w:szCs w:val="28"/>
          <w:highlight w:val="none"/>
        </w:rPr>
        <w:t>费用数据取自医院</w:t>
      </w:r>
      <w:r>
        <w:rPr>
          <w:rFonts w:hint="eastAsia" w:ascii="仿宋_GB2312" w:hAnsi="仿宋" w:cs="宋体"/>
          <w:color w:val="auto"/>
          <w:kern w:val="0"/>
          <w:szCs w:val="28"/>
          <w:highlight w:val="none"/>
          <w:lang w:eastAsia="zh-CN"/>
        </w:rPr>
        <w:t>金蝶</w:t>
      </w:r>
      <w:r>
        <w:rPr>
          <w:rFonts w:hint="eastAsia" w:ascii="仿宋_GB2312" w:hAnsi="仿宋" w:cs="宋体"/>
          <w:color w:val="auto"/>
          <w:kern w:val="0"/>
          <w:szCs w:val="28"/>
          <w:highlight w:val="none"/>
        </w:rPr>
        <w:t>系统的资金支付凭证</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服务数据</w:t>
      </w:r>
      <w:r>
        <w:rPr>
          <w:rFonts w:hint="eastAsia" w:ascii="仿宋_GB2312" w:hAnsi="仿宋" w:cs="宋体"/>
          <w:color w:val="auto"/>
          <w:kern w:val="0"/>
          <w:szCs w:val="28"/>
          <w:highlight w:val="none"/>
          <w:lang w:eastAsia="zh-CN"/>
        </w:rPr>
        <w:t>来源于</w:t>
      </w:r>
      <w:r>
        <w:rPr>
          <w:rFonts w:hint="eastAsia" w:ascii="仿宋_GB2312" w:hAnsi="仿宋" w:cs="宋体"/>
          <w:color w:val="auto"/>
          <w:kern w:val="0"/>
          <w:szCs w:val="28"/>
          <w:highlight w:val="none"/>
        </w:rPr>
        <w:t>满意度调查的反馈数据</w:t>
      </w:r>
      <w:r>
        <w:rPr>
          <w:rFonts w:hint="eastAsia" w:ascii="仿宋_GB2312" w:hAnsi="仿宋" w:cs="宋体"/>
          <w:color w:val="auto"/>
          <w:kern w:val="0"/>
          <w:szCs w:val="28"/>
          <w:highlight w:val="none"/>
          <w:lang w:eastAsia="zh-CN"/>
        </w:rPr>
        <w:t>，为绩效评价提供可靠依据，</w:t>
      </w:r>
      <w:r>
        <w:rPr>
          <w:rFonts w:hint="eastAsia" w:ascii="仿宋_GB2312" w:hAnsi="仿宋" w:cs="宋体"/>
          <w:color w:val="auto"/>
          <w:kern w:val="0"/>
          <w:szCs w:val="28"/>
          <w:highlight w:val="none"/>
        </w:rPr>
        <w:t>并与当年项目年度计划相对应，故绩效目标明确性指标得分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6</w:t>
      </w:r>
      <w:r>
        <w:rPr>
          <w:rFonts w:hint="eastAsia" w:ascii="仿宋_GB2312" w:hAnsi="仿宋" w:cs="宋体"/>
          <w:b/>
          <w:color w:val="auto"/>
          <w:kern w:val="0"/>
          <w:szCs w:val="28"/>
          <w:highlight w:val="none"/>
        </w:rPr>
        <w:t>分。</w:t>
      </w:r>
    </w:p>
    <w:p>
      <w:pPr>
        <w:pStyle w:val="4"/>
        <w:ind w:firstLine="643"/>
        <w:rPr>
          <w:color w:val="auto"/>
          <w:highlight w:val="none"/>
        </w:rPr>
      </w:pPr>
      <w:bookmarkStart w:id="39" w:name="_Toc165277244"/>
      <w:r>
        <w:rPr>
          <w:rFonts w:hint="eastAsia"/>
          <w:color w:val="auto"/>
          <w:highlight w:val="none"/>
        </w:rPr>
        <w:t>3.资金投入</w:t>
      </w:r>
      <w:bookmarkEnd w:id="39"/>
    </w:p>
    <w:p>
      <w:pPr>
        <w:autoSpaceDE w:val="0"/>
        <w:spacing w:line="600" w:lineRule="exact"/>
        <w:ind w:firstLine="562"/>
        <w:rPr>
          <w:rFonts w:hint="eastAsia" w:ascii="仿宋_GB2312" w:hAnsi="仿宋" w:cs="宋体"/>
          <w:color w:val="auto"/>
          <w:kern w:val="0"/>
          <w:szCs w:val="28"/>
          <w:highlight w:val="none"/>
        </w:rPr>
      </w:pPr>
      <w:r>
        <w:rPr>
          <w:rFonts w:hint="eastAsia" w:ascii="仿宋_GB2312" w:hAnsi="仿宋" w:cs="宋体"/>
          <w:b/>
          <w:color w:val="auto"/>
          <w:kern w:val="0"/>
          <w:szCs w:val="28"/>
          <w:highlight w:val="none"/>
        </w:rPr>
        <w:t>预算编制科学性：</w:t>
      </w:r>
      <w:r>
        <w:rPr>
          <w:rFonts w:hint="eastAsia" w:ascii="仿宋_GB2312" w:hAnsi="仿宋" w:cs="宋体"/>
          <w:color w:val="auto"/>
          <w:kern w:val="0"/>
          <w:szCs w:val="28"/>
          <w:highlight w:val="none"/>
        </w:rPr>
        <w:t>按照自治区和乌鲁木齐市两级指挥部的要求，乌鲁木齐国际医院紧急建设各类方舱产生费用2634.04万元，最终优惠总价为2578.04万元，其中包括10套血透方舱1784.7万元、2套水处理舱317.90万元、2套防护穿脱舱326.2万元、1套水处理设备15万元、1批透析应急耗材122.54万元、运输费及其他</w:t>
      </w:r>
      <w:r>
        <w:rPr>
          <w:rFonts w:hint="eastAsia" w:ascii="仿宋_GB2312" w:hAnsi="仿宋" w:cs="宋体"/>
          <w:color w:val="auto"/>
          <w:kern w:val="0"/>
          <w:szCs w:val="28"/>
          <w:highlight w:val="none"/>
          <w:lang w:val="en-US" w:eastAsia="zh-CN"/>
        </w:rPr>
        <w:t>11.7</w:t>
      </w:r>
      <w:r>
        <w:rPr>
          <w:rFonts w:hint="eastAsia" w:ascii="仿宋_GB2312" w:hAnsi="仿宋" w:cs="宋体"/>
          <w:color w:val="auto"/>
          <w:kern w:val="0"/>
          <w:szCs w:val="28"/>
          <w:highlight w:val="none"/>
        </w:rPr>
        <w:t>万元。根据财政要求，财政按照申请金额2578.0404万元的60%给予一次性补助1547万元，剩余40%的款项1031.04万元由单位自筹，专项用于上述设备采购。</w:t>
      </w:r>
    </w:p>
    <w:p>
      <w:pPr>
        <w:autoSpaceDE w:val="0"/>
        <w:spacing w:line="600" w:lineRule="exact"/>
        <w:ind w:firstLine="562"/>
        <w:rPr>
          <w:rFonts w:ascii="仿宋_GB2312" w:hAnsi="仿宋" w:cs="宋体"/>
          <w:bCs/>
          <w:color w:val="auto"/>
          <w:kern w:val="0"/>
          <w:szCs w:val="28"/>
          <w:highlight w:val="none"/>
        </w:rPr>
      </w:pPr>
      <w:r>
        <w:rPr>
          <w:rFonts w:hint="eastAsia" w:ascii="仿宋_GB2312" w:hAnsi="仿宋" w:cs="宋体"/>
          <w:color w:val="auto"/>
          <w:kern w:val="0"/>
          <w:szCs w:val="28"/>
          <w:highlight w:val="none"/>
        </w:rPr>
        <w:t>项目2023年已使用财政资金支付300万元，剩余资金2278.04万元安排至2024年年初预算，其中1247万元为财政拨款、1031.04万元为自有资金。故预算编制科学性指标得分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0" w:firstLineChars="0"/>
        <w:rPr>
          <w:rFonts w:ascii="仿宋_GB2312" w:hAnsi="仿宋" w:cs="宋体"/>
          <w:bCs/>
          <w:color w:val="auto"/>
          <w:kern w:val="0"/>
          <w:szCs w:val="28"/>
          <w:highlight w:val="none"/>
        </w:rPr>
      </w:pPr>
    </w:p>
    <w:p>
      <w:pPr>
        <w:spacing w:line="360" w:lineRule="auto"/>
        <w:ind w:firstLine="562"/>
        <w:rPr>
          <w:rFonts w:hint="eastAsia"/>
          <w:color w:val="auto"/>
          <w:highlight w:val="none"/>
        </w:rPr>
      </w:pPr>
      <w:r>
        <w:rPr>
          <w:rFonts w:hint="eastAsia"/>
          <w:b/>
          <w:bCs/>
          <w:color w:val="auto"/>
          <w:highlight w:val="none"/>
        </w:rPr>
        <w:t>资金分配合理性</w:t>
      </w:r>
      <w:r>
        <w:rPr>
          <w:rFonts w:hint="eastAsia"/>
          <w:color w:val="auto"/>
          <w:highlight w:val="none"/>
        </w:rPr>
        <w:t>：资金支付按照血透方舱、水处理舱以及防护穿脱舱</w:t>
      </w:r>
      <w:r>
        <w:rPr>
          <w:rFonts w:hint="eastAsia"/>
          <w:color w:val="auto"/>
          <w:highlight w:val="none"/>
          <w:lang w:eastAsia="zh-CN"/>
        </w:rPr>
        <w:t>三项资产</w:t>
      </w:r>
      <w:r>
        <w:rPr>
          <w:rFonts w:hint="eastAsia"/>
          <w:color w:val="auto"/>
          <w:highlight w:val="none"/>
        </w:rPr>
        <w:t>在</w:t>
      </w:r>
      <w:r>
        <w:rPr>
          <w:rFonts w:hint="eastAsia"/>
          <w:color w:val="auto"/>
          <w:highlight w:val="none"/>
          <w:lang w:eastAsia="zh-CN"/>
        </w:rPr>
        <w:t>年初</w:t>
      </w:r>
      <w:r>
        <w:rPr>
          <w:rFonts w:hint="eastAsia"/>
          <w:color w:val="auto"/>
          <w:highlight w:val="none"/>
        </w:rPr>
        <w:t>预算中的占比分配支付资金</w:t>
      </w:r>
      <w:r>
        <w:rPr>
          <w:rFonts w:hint="eastAsia"/>
          <w:color w:val="auto"/>
          <w:highlight w:val="none"/>
          <w:lang w:eastAsia="zh-CN"/>
        </w:rPr>
        <w:t>数，</w:t>
      </w:r>
      <w:r>
        <w:rPr>
          <w:rFonts w:hint="eastAsia"/>
          <w:color w:val="auto"/>
          <w:highlight w:val="none"/>
        </w:rPr>
        <w:t>即血透方舱</w:t>
      </w:r>
      <w:r>
        <w:rPr>
          <w:rFonts w:hint="eastAsia"/>
          <w:color w:val="auto"/>
          <w:highlight w:val="none"/>
          <w:lang w:eastAsia="zh-CN"/>
        </w:rPr>
        <w:t>占</w:t>
      </w:r>
      <w:r>
        <w:rPr>
          <w:rFonts w:hint="eastAsia"/>
          <w:color w:val="auto"/>
          <w:highlight w:val="none"/>
        </w:rPr>
        <w:t>78.34%</w:t>
      </w:r>
      <w:r>
        <w:rPr>
          <w:rFonts w:hint="eastAsia"/>
          <w:color w:val="auto"/>
          <w:highlight w:val="none"/>
          <w:lang w:eastAsia="zh-CN"/>
        </w:rPr>
        <w:t>；</w:t>
      </w:r>
      <w:r>
        <w:rPr>
          <w:rFonts w:hint="eastAsia"/>
          <w:color w:val="auto"/>
          <w:highlight w:val="none"/>
        </w:rPr>
        <w:t>水处理舱</w:t>
      </w:r>
      <w:r>
        <w:rPr>
          <w:rFonts w:hint="eastAsia"/>
          <w:color w:val="auto"/>
          <w:highlight w:val="none"/>
          <w:lang w:eastAsia="zh-CN"/>
        </w:rPr>
        <w:t>占比</w:t>
      </w:r>
      <w:r>
        <w:rPr>
          <w:rFonts w:hint="eastAsia"/>
          <w:color w:val="auto"/>
          <w:highlight w:val="none"/>
        </w:rPr>
        <w:t>13.96%；防护穿脱舱</w:t>
      </w:r>
      <w:r>
        <w:rPr>
          <w:rFonts w:hint="eastAsia"/>
          <w:color w:val="auto"/>
          <w:highlight w:val="none"/>
          <w:lang w:eastAsia="zh-CN"/>
        </w:rPr>
        <w:t>占比</w:t>
      </w:r>
      <w:r>
        <w:rPr>
          <w:rFonts w:hint="eastAsia"/>
          <w:color w:val="auto"/>
          <w:highlight w:val="none"/>
        </w:rPr>
        <w:t>7.7%</w:t>
      </w:r>
      <w:r>
        <w:rPr>
          <w:rFonts w:hint="eastAsia"/>
          <w:color w:val="auto"/>
          <w:highlight w:val="none"/>
          <w:lang w:eastAsia="zh-CN"/>
        </w:rPr>
        <w:t>。相应</w:t>
      </w:r>
      <w:r>
        <w:rPr>
          <w:rFonts w:hint="eastAsia"/>
          <w:color w:val="auto"/>
          <w:highlight w:val="none"/>
        </w:rPr>
        <w:t>血透方舱</w:t>
      </w:r>
      <w:r>
        <w:rPr>
          <w:rFonts w:hint="eastAsia"/>
          <w:color w:val="auto"/>
          <w:highlight w:val="none"/>
          <w:lang w:eastAsia="zh-CN"/>
        </w:rPr>
        <w:t>本年预算</w:t>
      </w:r>
      <w:r>
        <w:rPr>
          <w:rFonts w:hint="eastAsia"/>
          <w:color w:val="auto"/>
          <w:highlight w:val="none"/>
          <w:lang w:val="en-US" w:eastAsia="zh-CN"/>
        </w:rPr>
        <w:t>976.9</w:t>
      </w:r>
      <w:r>
        <w:rPr>
          <w:rFonts w:hint="eastAsia"/>
          <w:color w:val="auto"/>
          <w:highlight w:val="none"/>
          <w:lang w:eastAsia="zh-CN"/>
        </w:rPr>
        <w:t>；</w:t>
      </w:r>
      <w:r>
        <w:rPr>
          <w:rFonts w:hint="eastAsia"/>
          <w:color w:val="auto"/>
          <w:highlight w:val="none"/>
        </w:rPr>
        <w:t>水处理舱</w:t>
      </w:r>
      <w:r>
        <w:rPr>
          <w:rFonts w:hint="eastAsia"/>
          <w:color w:val="auto"/>
          <w:highlight w:val="none"/>
          <w:lang w:eastAsia="zh-CN"/>
        </w:rPr>
        <w:t>本年预算</w:t>
      </w:r>
      <w:r>
        <w:rPr>
          <w:rFonts w:hint="eastAsia"/>
          <w:color w:val="auto"/>
          <w:highlight w:val="none"/>
          <w:lang w:val="en-US" w:eastAsia="zh-CN"/>
        </w:rPr>
        <w:t>174.08万元</w:t>
      </w:r>
      <w:r>
        <w:rPr>
          <w:rFonts w:hint="eastAsia"/>
          <w:color w:val="auto"/>
          <w:highlight w:val="none"/>
        </w:rPr>
        <w:t>；防护穿脱舱</w:t>
      </w:r>
      <w:r>
        <w:rPr>
          <w:rFonts w:hint="eastAsia"/>
          <w:color w:val="auto"/>
          <w:highlight w:val="none"/>
          <w:lang w:eastAsia="zh-CN"/>
        </w:rPr>
        <w:t>本年预算</w:t>
      </w:r>
      <w:r>
        <w:rPr>
          <w:rFonts w:hint="eastAsia"/>
          <w:color w:val="auto"/>
          <w:highlight w:val="none"/>
          <w:lang w:val="en-US" w:eastAsia="zh-CN"/>
        </w:rPr>
        <w:t>96.02万元，</w:t>
      </w:r>
      <w:r>
        <w:rPr>
          <w:rFonts w:hint="eastAsia"/>
          <w:color w:val="auto"/>
          <w:highlight w:val="none"/>
        </w:rPr>
        <w:t>故资金分配合理性指标得分3分。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分，得分6分。</w:t>
      </w:r>
    </w:p>
    <w:p>
      <w:pPr>
        <w:pStyle w:val="3"/>
        <w:ind w:firstLine="643"/>
        <w:rPr>
          <w:rFonts w:ascii="仿宋" w:hAnsi="仿宋" w:eastAsia="仿宋"/>
          <w:color w:val="auto"/>
          <w:highlight w:val="none"/>
          <w:lang w:bidi="en-US"/>
        </w:rPr>
      </w:pPr>
      <w:bookmarkStart w:id="40" w:name="_Toc165277245"/>
      <w:bookmarkStart w:id="41" w:name="_Toc67911613"/>
      <w:r>
        <w:rPr>
          <w:rFonts w:hint="eastAsia" w:ascii="仿宋" w:hAnsi="仿宋" w:eastAsia="仿宋"/>
          <w:color w:val="auto"/>
          <w:highlight w:val="none"/>
          <w:lang w:bidi="en-US"/>
        </w:rPr>
        <w:t>（二）项目过程情况</w:t>
      </w:r>
      <w:bookmarkEnd w:id="40"/>
      <w:bookmarkEnd w:id="41"/>
    </w:p>
    <w:p>
      <w:pPr>
        <w:spacing w:line="360" w:lineRule="auto"/>
        <w:ind w:firstLine="560"/>
        <w:rPr>
          <w:rFonts w:ascii="仿宋_GB2312"/>
          <w:color w:val="auto"/>
          <w:szCs w:val="28"/>
          <w:highlight w:val="none"/>
        </w:rPr>
      </w:pPr>
      <w:r>
        <w:rPr>
          <w:rFonts w:hint="eastAsia" w:ascii="仿宋_GB2312"/>
          <w:color w:val="auto"/>
          <w:szCs w:val="28"/>
          <w:highlight w:val="none"/>
        </w:rPr>
        <w:t>项目过程指标由2个二级指标和</w:t>
      </w:r>
      <w:r>
        <w:rPr>
          <w:rFonts w:ascii="仿宋_GB2312"/>
          <w:color w:val="auto"/>
          <w:szCs w:val="28"/>
          <w:highlight w:val="none"/>
        </w:rPr>
        <w:t>5</w:t>
      </w:r>
      <w:r>
        <w:rPr>
          <w:rFonts w:hint="eastAsia" w:ascii="仿宋_GB2312"/>
          <w:color w:val="auto"/>
          <w:szCs w:val="28"/>
          <w:highlight w:val="none"/>
        </w:rPr>
        <w:t>个三级指标构成，权重为</w:t>
      </w:r>
      <w:r>
        <w:rPr>
          <w:rFonts w:ascii="仿宋_GB2312"/>
          <w:color w:val="auto"/>
          <w:szCs w:val="28"/>
          <w:highlight w:val="none"/>
        </w:rPr>
        <w:t>20</w:t>
      </w:r>
      <w:r>
        <w:rPr>
          <w:rFonts w:hint="eastAsia" w:ascii="仿宋_GB2312"/>
          <w:color w:val="auto"/>
          <w:szCs w:val="28"/>
          <w:highlight w:val="none"/>
        </w:rPr>
        <w:t>分，实际得分20分。</w:t>
      </w:r>
    </w:p>
    <w:p>
      <w:pPr>
        <w:pStyle w:val="4"/>
        <w:ind w:firstLine="643"/>
        <w:rPr>
          <w:color w:val="auto"/>
          <w:highlight w:val="none"/>
        </w:rPr>
      </w:pPr>
      <w:bookmarkStart w:id="42" w:name="_Toc165277246"/>
      <w:r>
        <w:rPr>
          <w:color w:val="auto"/>
          <w:highlight w:val="none"/>
        </w:rPr>
        <w:t>1.</w:t>
      </w:r>
      <w:r>
        <w:rPr>
          <w:rFonts w:hint="eastAsia"/>
          <w:color w:val="auto"/>
          <w:highlight w:val="none"/>
        </w:rPr>
        <w:t>资金管理</w:t>
      </w:r>
      <w:bookmarkEnd w:id="42"/>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资金到位率</w:t>
      </w:r>
      <w:r>
        <w:rPr>
          <w:rFonts w:hint="eastAsia" w:ascii="仿宋_GB2312"/>
          <w:color w:val="auto"/>
          <w:szCs w:val="28"/>
          <w:highlight w:val="none"/>
        </w:rPr>
        <w:t>：该项目由财政拨付，在2024年2月18日到位，资金直接支付给山东威高集团医用高分子制品股份有限公司。</w:t>
      </w:r>
      <w:r>
        <w:rPr>
          <w:rFonts w:hint="eastAsia" w:ascii="仿宋_GB2312"/>
          <w:color w:val="auto"/>
          <w:szCs w:val="28"/>
          <w:highlight w:val="none"/>
          <w:lang w:eastAsia="zh-CN"/>
        </w:rPr>
        <w:t>项目资金年初预算数</w:t>
      </w:r>
      <w:r>
        <w:rPr>
          <w:rFonts w:hint="eastAsia" w:ascii="仿宋_GB2312"/>
          <w:color w:val="auto"/>
          <w:szCs w:val="28"/>
          <w:highlight w:val="none"/>
          <w:lang w:val="en-US" w:eastAsia="zh-CN"/>
        </w:rPr>
        <w:t>2278.04万元，全年预算数1247万元，资金到位率=1247/2278.04*100%=54.74%，</w:t>
      </w:r>
      <w:r>
        <w:rPr>
          <w:rFonts w:hint="eastAsia" w:ascii="仿宋_GB2312"/>
          <w:color w:val="auto"/>
          <w:szCs w:val="28"/>
          <w:highlight w:val="none"/>
        </w:rPr>
        <w:t>故资金到位率指标得分</w:t>
      </w:r>
      <w:r>
        <w:rPr>
          <w:rFonts w:hint="eastAsia" w:ascii="仿宋_GB2312"/>
          <w:color w:val="auto"/>
          <w:szCs w:val="28"/>
          <w:highlight w:val="none"/>
          <w:lang w:val="en-US" w:eastAsia="zh-CN"/>
        </w:rPr>
        <w:t>2.74</w:t>
      </w:r>
      <w:r>
        <w:rPr>
          <w:rFonts w:hint="eastAsia" w:ascii="仿宋_GB2312"/>
          <w:color w:val="auto"/>
          <w:szCs w:val="28"/>
          <w:highlight w:val="none"/>
        </w:rPr>
        <w:t>分。</w:t>
      </w:r>
    </w:p>
    <w:p>
      <w:pPr>
        <w:spacing w:line="360" w:lineRule="auto"/>
        <w:ind w:firstLine="560"/>
        <w:rPr>
          <w:rFonts w:ascii="仿宋_GB2312"/>
          <w:color w:val="auto"/>
          <w:szCs w:val="28"/>
          <w:highlight w:val="none"/>
        </w:rPr>
      </w:pPr>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预算执行率：</w:t>
      </w:r>
      <w:r>
        <w:rPr>
          <w:rFonts w:hint="eastAsia" w:ascii="仿宋_GB2312"/>
          <w:color w:val="auto"/>
          <w:szCs w:val="28"/>
          <w:highlight w:val="none"/>
        </w:rPr>
        <w:t>该项目资金1247万元，具体支付情况：2024年7月向山东威高集团医用高分子制品股份有限公司支付100万元以及2024年11月向山东威高集团医用高分子制品股份有限公司支付3笔共1147万元。预算执行率100%。故预算执行率得分为5分。</w:t>
      </w:r>
    </w:p>
    <w:p>
      <w:pPr>
        <w:spacing w:line="360" w:lineRule="auto"/>
        <w:ind w:firstLine="562"/>
        <w:rPr>
          <w:rFonts w:ascii="仿宋_GB2312"/>
          <w:b/>
          <w:bCs/>
          <w:color w:val="auto"/>
          <w:szCs w:val="28"/>
          <w:highlight w:val="none"/>
        </w:rPr>
      </w:pPr>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资金使用合规性：</w:t>
      </w:r>
      <w:r>
        <w:rPr>
          <w:rFonts w:hint="eastAsia" w:ascii="仿宋_GB2312"/>
          <w:color w:val="auto"/>
          <w:szCs w:val="28"/>
          <w:highlight w:val="none"/>
        </w:rPr>
        <w:t>本项目资金的使用符合</w:t>
      </w:r>
      <w:r>
        <w:rPr>
          <w:rFonts w:hint="eastAsia" w:ascii="仿宋_GB2312"/>
          <w:color w:val="auto"/>
          <w:szCs w:val="28"/>
          <w:highlight w:val="none"/>
          <w:lang w:val="en-US"/>
        </w:rPr>
        <w:t>新疆维吾尔自治区新冠肺炎疫情防控工作指挥部特急</w:t>
      </w:r>
      <w:r>
        <w:rPr>
          <w:rFonts w:hint="eastAsia" w:ascii="仿宋_GB2312"/>
          <w:color w:val="auto"/>
          <w:szCs w:val="28"/>
          <w:highlight w:val="none"/>
          <w:lang w:val="en-US" w:eastAsia="zh-CN"/>
        </w:rPr>
        <w:t>《</w:t>
      </w:r>
      <w:r>
        <w:rPr>
          <w:rFonts w:hint="eastAsia" w:ascii="仿宋_GB2312"/>
          <w:color w:val="auto"/>
          <w:szCs w:val="28"/>
          <w:highlight w:val="none"/>
          <w:lang w:val="en-US"/>
        </w:rPr>
        <w:t>关于统筹调配使用血透方舱的通知</w:t>
      </w:r>
      <w:r>
        <w:rPr>
          <w:rFonts w:hint="eastAsia" w:ascii="仿宋_GB2312"/>
          <w:color w:val="auto"/>
          <w:szCs w:val="28"/>
          <w:highlight w:val="none"/>
          <w:lang w:val="en-US" w:eastAsia="zh-CN"/>
        </w:rPr>
        <w:t>》（</w:t>
      </w:r>
      <w:r>
        <w:rPr>
          <w:rFonts w:hint="eastAsia" w:ascii="仿宋_GB2312"/>
          <w:color w:val="auto"/>
          <w:szCs w:val="28"/>
          <w:highlight w:val="none"/>
          <w:lang w:val="en-US"/>
        </w:rPr>
        <w:t>新指函〔2022〕823号</w:t>
      </w:r>
      <w:r>
        <w:rPr>
          <w:rFonts w:hint="eastAsia" w:ascii="仿宋_GB2312"/>
          <w:color w:val="auto"/>
          <w:szCs w:val="28"/>
          <w:highlight w:val="none"/>
          <w:lang w:val="en-US" w:eastAsia="zh-CN"/>
        </w:rPr>
        <w:t>）以及</w:t>
      </w:r>
      <w:r>
        <w:rPr>
          <w:rFonts w:hint="eastAsia" w:ascii="仿宋_GB2312"/>
          <w:color w:val="auto"/>
          <w:szCs w:val="28"/>
          <w:highlight w:val="none"/>
        </w:rPr>
        <w:t>《乌鲁木齐市财政专项资金使用跟踪反馈管理暂行办法》（乌财预〔2018〕47号）的规定。同时，资金的拨付有完</w:t>
      </w:r>
      <w:r>
        <w:rPr>
          <w:rFonts w:hint="eastAsia" w:ascii="仿宋_GB2312"/>
          <w:color w:val="auto"/>
          <w:szCs w:val="28"/>
          <w:highlight w:val="none"/>
          <w:lang w:eastAsia="zh-CN"/>
        </w:rPr>
        <w:t>整的</w:t>
      </w:r>
      <w:r>
        <w:rPr>
          <w:rFonts w:hint="eastAsia" w:ascii="仿宋_GB2312"/>
          <w:color w:val="auto"/>
          <w:szCs w:val="28"/>
          <w:highlight w:val="none"/>
        </w:rPr>
        <w:t>审批程序，2022年11月向市指挥部医疗救治专班递交《关于支付乌鲁木齐国际医院血透方舱经费的请示》，通过层级审批最终于2022年12月通过审批安排至2023年初预算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13</w:t>
      </w:r>
      <w:r>
        <w:rPr>
          <w:rFonts w:hint="eastAsia" w:ascii="仿宋_GB2312" w:hAnsi="仿宋" w:cs="宋体"/>
          <w:b/>
          <w:color w:val="auto"/>
          <w:kern w:val="0"/>
          <w:szCs w:val="28"/>
          <w:highlight w:val="none"/>
        </w:rPr>
        <w:t>分，得分13分。</w:t>
      </w:r>
    </w:p>
    <w:p>
      <w:pPr>
        <w:pStyle w:val="4"/>
        <w:ind w:firstLine="643"/>
        <w:rPr>
          <w:color w:val="auto"/>
          <w:highlight w:val="none"/>
        </w:rPr>
      </w:pPr>
      <w:bookmarkStart w:id="43" w:name="_Toc165277247"/>
      <w:r>
        <w:rPr>
          <w:color w:val="auto"/>
          <w:highlight w:val="none"/>
        </w:rPr>
        <w:t>2.</w:t>
      </w:r>
      <w:r>
        <w:rPr>
          <w:rFonts w:hint="eastAsia"/>
          <w:color w:val="auto"/>
          <w:highlight w:val="none"/>
        </w:rPr>
        <w:t>组织实施</w:t>
      </w:r>
      <w:bookmarkEnd w:id="43"/>
    </w:p>
    <w:p>
      <w:pPr>
        <w:spacing w:line="360" w:lineRule="auto"/>
        <w:ind w:firstLine="562"/>
        <w:rPr>
          <w:rFonts w:ascii="仿宋_GB2312"/>
          <w:color w:val="auto"/>
          <w:szCs w:val="28"/>
          <w:highlight w:val="none"/>
        </w:rPr>
      </w:pPr>
      <w:r>
        <w:rPr>
          <w:rFonts w:hint="eastAsia" w:ascii="仿宋_GB2312"/>
          <w:b/>
          <w:bCs/>
          <w:color w:val="auto"/>
          <w:szCs w:val="28"/>
          <w:highlight w:val="none"/>
        </w:rPr>
        <w:t>管理制度健全性</w:t>
      </w:r>
      <w:r>
        <w:rPr>
          <w:rFonts w:hint="eastAsia" w:ascii="仿宋_GB2312"/>
          <w:color w:val="auto"/>
          <w:szCs w:val="28"/>
          <w:highlight w:val="none"/>
        </w:rPr>
        <w:t>：乌鲁木齐国际医院</w:t>
      </w:r>
      <w:r>
        <w:rPr>
          <w:rFonts w:hint="default" w:ascii="仿宋_GB2312" w:hAnsi="Calibri" w:eastAsia="仿宋_GB2312" w:cs="仿宋_GB2312"/>
          <w:color w:val="auto"/>
          <w:kern w:val="2"/>
          <w:sz w:val="28"/>
          <w:szCs w:val="28"/>
          <w:highlight w:val="none"/>
          <w:lang w:val="en-US" w:eastAsia="zh-CN"/>
        </w:rPr>
        <w:t>已制定相应的《财务管理制度》和《内部控制制度》管理</w:t>
      </w:r>
      <w:r>
        <w:rPr>
          <w:rFonts w:hint="eastAsia" w:ascii="仿宋_GB2312" w:cs="仿宋_GB2312"/>
          <w:color w:val="auto"/>
          <w:kern w:val="2"/>
          <w:sz w:val="28"/>
          <w:szCs w:val="28"/>
          <w:highlight w:val="none"/>
          <w:lang w:val="en-US" w:eastAsia="zh-CN"/>
        </w:rPr>
        <w:t>制度</w:t>
      </w:r>
      <w:r>
        <w:rPr>
          <w:rFonts w:hint="eastAsia" w:ascii="仿宋_GB2312"/>
          <w:color w:val="auto"/>
          <w:szCs w:val="28"/>
          <w:highlight w:val="none"/>
        </w:rPr>
        <w:t>合法、合规、完整，为项目顺利实施提供重要保障</w:t>
      </w:r>
      <w:r>
        <w:rPr>
          <w:rFonts w:hint="eastAsia" w:ascii="仿宋_GB2312"/>
          <w:color w:val="auto"/>
          <w:szCs w:val="28"/>
          <w:highlight w:val="none"/>
          <w:lang w:eastAsia="zh-CN"/>
        </w:rPr>
        <w:t>。</w:t>
      </w:r>
      <w:r>
        <w:rPr>
          <w:rFonts w:hint="eastAsia" w:ascii="仿宋_GB2312" w:cs="仿宋_GB2312"/>
          <w:color w:val="auto"/>
          <w:kern w:val="2"/>
          <w:sz w:val="28"/>
          <w:szCs w:val="28"/>
          <w:highlight w:val="none"/>
          <w:lang w:val="en-US" w:eastAsia="zh-CN"/>
        </w:rPr>
        <w:t>随着财政专项资金投入规模扩大，对项目资金的收入管理与支出管理均作出了相应要求。财政资金的收入管理实行国库集中支付，确保资金直达。支付时严格执行分级审批，3000元以上的支出需要提交院长办公会审议；3万元以上需提交党支委会审批。财务通过金蝶系统对项目资金实行专账核算。风险防控方面实行不相容岗位分离，项目申报、审批、执行、验收、核算岗位相互分离，形成制衡机制</w:t>
      </w:r>
      <w:r>
        <w:rPr>
          <w:rFonts w:hint="eastAsia" w:ascii="仿宋_GB2312"/>
          <w:color w:val="auto"/>
          <w:szCs w:val="28"/>
          <w:highlight w:val="none"/>
        </w:rPr>
        <w:t>。故管理制度健全性得分为3分。</w:t>
      </w:r>
    </w:p>
    <w:p>
      <w:pPr>
        <w:spacing w:line="360" w:lineRule="auto"/>
        <w:ind w:firstLine="562"/>
        <w:rPr>
          <w:rFonts w:ascii="仿宋_GB2312"/>
          <w:color w:val="auto"/>
          <w:szCs w:val="28"/>
          <w:highlight w:val="none"/>
        </w:rPr>
      </w:pPr>
      <w:r>
        <w:rPr>
          <w:rFonts w:hint="eastAsia" w:ascii="仿宋_GB2312"/>
          <w:b/>
          <w:bCs/>
          <w:color w:val="auto"/>
          <w:szCs w:val="28"/>
          <w:highlight w:val="none"/>
        </w:rPr>
        <w:t>制度执行有效性：</w:t>
      </w:r>
      <w:r>
        <w:rPr>
          <w:rFonts w:hint="eastAsia" w:ascii="仿宋_GB2312"/>
          <w:color w:val="auto"/>
          <w:szCs w:val="28"/>
          <w:highlight w:val="none"/>
        </w:rPr>
        <w:t>根据评价小组核查情况，2023年血透方舱建设项目（上年结转资金）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auto"/>
          <w:szCs w:val="28"/>
          <w:highlight w:val="none"/>
        </w:rPr>
        <w:t>4</w:t>
      </w:r>
      <w:r>
        <w:rPr>
          <w:rFonts w:hint="eastAsia" w:ascii="仿宋_GB2312"/>
          <w:color w:val="auto"/>
          <w:szCs w:val="28"/>
          <w:highlight w:val="none"/>
        </w:rPr>
        <w:t>分。</w:t>
      </w:r>
    </w:p>
    <w:p>
      <w:pPr>
        <w:autoSpaceDE w:val="0"/>
        <w:spacing w:line="600" w:lineRule="exact"/>
        <w:ind w:firstLine="562"/>
        <w:rPr>
          <w:rFonts w:ascii="仿宋_GB2312" w:hAnsi="仿宋" w:cs="宋体"/>
          <w:b/>
          <w:color w:val="auto"/>
          <w:kern w:val="0"/>
          <w:szCs w:val="28"/>
          <w:highlight w:val="none"/>
        </w:rPr>
      </w:pPr>
      <w:bookmarkStart w:id="44" w:name="_Hlk67670213"/>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分，得分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bookmarkEnd w:id="44"/>
    </w:p>
    <w:p>
      <w:pPr>
        <w:pStyle w:val="3"/>
        <w:ind w:firstLine="643"/>
        <w:rPr>
          <w:rFonts w:ascii="仿宋" w:hAnsi="仿宋" w:eastAsia="仿宋"/>
          <w:color w:val="auto"/>
          <w:highlight w:val="none"/>
          <w:lang w:bidi="en-US"/>
        </w:rPr>
      </w:pPr>
      <w:bookmarkStart w:id="45" w:name="_Toc165277248"/>
      <w:bookmarkStart w:id="46" w:name="_Toc67911614"/>
      <w:r>
        <w:rPr>
          <w:rFonts w:hint="eastAsia" w:ascii="仿宋" w:hAnsi="仿宋" w:eastAsia="仿宋"/>
          <w:color w:val="auto"/>
          <w:highlight w:val="none"/>
          <w:lang w:bidi="en-US"/>
        </w:rPr>
        <w:t>（三）项目产出情况</w:t>
      </w:r>
      <w:bookmarkEnd w:id="45"/>
      <w:bookmarkEnd w:id="46"/>
    </w:p>
    <w:p>
      <w:pPr>
        <w:spacing w:line="360" w:lineRule="auto"/>
        <w:ind w:firstLine="560"/>
        <w:rPr>
          <w:rFonts w:ascii="仿宋_GB2312"/>
          <w:color w:val="auto"/>
          <w:szCs w:val="28"/>
          <w:highlight w:val="none"/>
        </w:rPr>
      </w:pPr>
      <w:r>
        <w:rPr>
          <w:rFonts w:hint="eastAsia" w:ascii="仿宋_GB2312"/>
          <w:color w:val="auto"/>
          <w:szCs w:val="28"/>
          <w:highlight w:val="none"/>
        </w:rPr>
        <w:t>项目产出指标由</w:t>
      </w:r>
      <w:r>
        <w:rPr>
          <w:rFonts w:ascii="仿宋_GB2312"/>
          <w:color w:val="auto"/>
          <w:szCs w:val="28"/>
          <w:highlight w:val="none"/>
        </w:rPr>
        <w:t>4</w:t>
      </w:r>
      <w:r>
        <w:rPr>
          <w:rFonts w:hint="eastAsia" w:ascii="仿宋_GB2312"/>
          <w:color w:val="auto"/>
          <w:szCs w:val="28"/>
          <w:highlight w:val="none"/>
        </w:rPr>
        <w:t>个二级指标和6个三级指标构成，权重为</w:t>
      </w:r>
      <w:r>
        <w:rPr>
          <w:rFonts w:ascii="仿宋_GB2312"/>
          <w:color w:val="auto"/>
          <w:szCs w:val="28"/>
          <w:highlight w:val="none"/>
        </w:rPr>
        <w:t>40</w:t>
      </w:r>
      <w:r>
        <w:rPr>
          <w:rFonts w:hint="eastAsia" w:ascii="仿宋_GB2312"/>
          <w:color w:val="auto"/>
          <w:szCs w:val="28"/>
          <w:highlight w:val="none"/>
        </w:rPr>
        <w:t>分，实际得分40分。</w:t>
      </w:r>
    </w:p>
    <w:p>
      <w:pPr>
        <w:pStyle w:val="4"/>
        <w:ind w:firstLine="643"/>
        <w:rPr>
          <w:color w:val="auto"/>
          <w:highlight w:val="none"/>
        </w:rPr>
      </w:pPr>
      <w:bookmarkStart w:id="47" w:name="_Toc165277249"/>
      <w:r>
        <w:rPr>
          <w:rFonts w:hint="eastAsia"/>
          <w:color w:val="auto"/>
          <w:highlight w:val="none"/>
        </w:rPr>
        <w:t>1</w:t>
      </w:r>
      <w:r>
        <w:rPr>
          <w:color w:val="auto"/>
          <w:highlight w:val="none"/>
        </w:rPr>
        <w:t>.</w:t>
      </w:r>
      <w:r>
        <w:rPr>
          <w:rFonts w:hint="eastAsia"/>
          <w:color w:val="auto"/>
          <w:highlight w:val="none"/>
        </w:rPr>
        <w:t>产出数量</w:t>
      </w:r>
      <w:bookmarkEnd w:id="47"/>
    </w:p>
    <w:p>
      <w:pPr>
        <w:spacing w:line="360" w:lineRule="auto"/>
        <w:ind w:firstLine="560"/>
        <w:rPr>
          <w:rFonts w:ascii="仿宋_GB2312"/>
          <w:color w:val="auto"/>
          <w:szCs w:val="28"/>
          <w:highlight w:val="none"/>
        </w:rPr>
      </w:pPr>
      <w:r>
        <w:rPr>
          <w:rFonts w:hint="eastAsia" w:ascii="仿宋_GB2312"/>
          <w:bCs/>
          <w:color w:val="auto"/>
          <w:szCs w:val="28"/>
          <w:highlight w:val="none"/>
        </w:rPr>
        <w:t>数量指标 “设备购置种类”的目标值是3种，2024</w:t>
      </w:r>
      <w:r>
        <w:rPr>
          <w:rFonts w:ascii="仿宋_GB2312"/>
          <w:bCs/>
          <w:color w:val="auto"/>
          <w:szCs w:val="28"/>
          <w:highlight w:val="none"/>
        </w:rPr>
        <w:t>年度我单位实际</w:t>
      </w:r>
      <w:r>
        <w:rPr>
          <w:rFonts w:hint="eastAsia" w:ascii="仿宋_GB2312"/>
          <w:bCs/>
          <w:color w:val="auto"/>
          <w:szCs w:val="28"/>
          <w:highlight w:val="none"/>
          <w:lang w:eastAsia="zh-CN"/>
        </w:rPr>
        <w:t>购置血透方舱、水处理舱以及防护穿脱舱</w:t>
      </w:r>
      <w:r>
        <w:rPr>
          <w:rFonts w:hint="eastAsia" w:ascii="仿宋_GB2312"/>
          <w:bCs/>
          <w:color w:val="auto"/>
          <w:szCs w:val="28"/>
          <w:highlight w:val="none"/>
        </w:rPr>
        <w:t>3种，</w:t>
      </w:r>
      <w:r>
        <w:rPr>
          <w:rFonts w:hint="eastAsia" w:ascii="仿宋_GB2312"/>
          <w:b/>
          <w:bCs/>
          <w:color w:val="auto"/>
          <w:szCs w:val="28"/>
          <w:highlight w:val="none"/>
        </w:rPr>
        <w:t>实际完成率：100%</w:t>
      </w:r>
      <w:r>
        <w:rPr>
          <w:rFonts w:hint="eastAsia" w:ascii="仿宋_GB2312"/>
          <w:color w:val="auto"/>
          <w:szCs w:val="28"/>
          <w:highlight w:val="none"/>
        </w:rPr>
        <w:t>，故实</w:t>
      </w:r>
      <w:r>
        <w:rPr>
          <w:rFonts w:hint="eastAsia" w:ascii="仿宋_GB2312"/>
          <w:color w:val="auto"/>
          <w:szCs w:val="28"/>
          <w:highlight w:val="none"/>
          <w:lang w:eastAsia="zh-CN"/>
        </w:rPr>
        <w:t>数量指标</w:t>
      </w:r>
      <w:r>
        <w:rPr>
          <w:rFonts w:hint="eastAsia" w:ascii="仿宋_GB2312"/>
          <w:color w:val="auto"/>
          <w:szCs w:val="28"/>
          <w:highlight w:val="none"/>
        </w:rPr>
        <w:t>得分为10分。</w:t>
      </w:r>
    </w:p>
    <w:p>
      <w:pPr>
        <w:pStyle w:val="4"/>
        <w:numPr>
          <w:ilvl w:val="0"/>
          <w:numId w:val="1"/>
        </w:numPr>
        <w:ind w:firstLine="643"/>
        <w:rPr>
          <w:color w:val="auto"/>
          <w:highlight w:val="none"/>
        </w:rPr>
      </w:pPr>
      <w:bookmarkStart w:id="48" w:name="_Toc165277250"/>
      <w:r>
        <w:rPr>
          <w:rFonts w:hint="eastAsia"/>
          <w:color w:val="auto"/>
          <w:highlight w:val="none"/>
        </w:rPr>
        <w:t>产出质量</w:t>
      </w:r>
      <w:bookmarkEnd w:id="48"/>
    </w:p>
    <w:p>
      <w:pPr>
        <w:spacing w:line="360" w:lineRule="auto"/>
        <w:ind w:firstLine="562"/>
        <w:rPr>
          <w:rFonts w:ascii="仿宋_GB2312"/>
          <w:color w:val="auto"/>
          <w:szCs w:val="28"/>
          <w:highlight w:val="none"/>
        </w:rPr>
      </w:pPr>
      <w:r>
        <w:rPr>
          <w:rFonts w:hint="eastAsia" w:ascii="仿宋_GB2312"/>
          <w:bCs/>
          <w:color w:val="auto"/>
          <w:szCs w:val="28"/>
          <w:highlight w:val="none"/>
        </w:rPr>
        <w:t>质量指标“设备验收合格率”的目标设置是100%，</w:t>
      </w:r>
      <w:r>
        <w:rPr>
          <w:rFonts w:hint="eastAsia" w:ascii="仿宋_GB2312"/>
          <w:bCs/>
          <w:color w:val="auto"/>
          <w:szCs w:val="28"/>
          <w:highlight w:val="none"/>
          <w:lang w:eastAsia="zh-CN"/>
        </w:rPr>
        <w:t>我单位</w:t>
      </w:r>
      <w:r>
        <w:rPr>
          <w:rFonts w:hint="eastAsia" w:ascii="仿宋_GB2312"/>
          <w:bCs/>
          <w:color w:val="auto"/>
          <w:szCs w:val="28"/>
          <w:highlight w:val="none"/>
        </w:rPr>
        <w:t>严格</w:t>
      </w:r>
      <w:r>
        <w:rPr>
          <w:rFonts w:ascii="仿宋_GB2312"/>
          <w:bCs/>
          <w:color w:val="auto"/>
          <w:szCs w:val="28"/>
          <w:highlight w:val="none"/>
        </w:rPr>
        <w:t>遵循采购流程与质量标准，设备采购达标率</w:t>
      </w:r>
      <w:r>
        <w:rPr>
          <w:rFonts w:hint="eastAsia" w:ascii="仿宋_GB2312"/>
          <w:bCs/>
          <w:color w:val="auto"/>
          <w:szCs w:val="28"/>
          <w:highlight w:val="none"/>
        </w:rPr>
        <w:t>100</w:t>
      </w:r>
      <w:r>
        <w:rPr>
          <w:rFonts w:ascii="仿宋_GB2312"/>
          <w:bCs/>
          <w:color w:val="auto"/>
          <w:szCs w:val="28"/>
          <w:highlight w:val="none"/>
        </w:rPr>
        <w:t>%</w:t>
      </w:r>
      <w:r>
        <w:rPr>
          <w:rFonts w:hint="eastAsia" w:ascii="仿宋_GB2312"/>
          <w:bCs/>
          <w:color w:val="auto"/>
          <w:szCs w:val="28"/>
          <w:highlight w:val="none"/>
        </w:rPr>
        <w:t>，采购设备在</w:t>
      </w:r>
      <w:r>
        <w:rPr>
          <w:rFonts w:ascii="仿宋_GB2312"/>
          <w:bCs/>
          <w:color w:val="auto"/>
          <w:szCs w:val="28"/>
          <w:highlight w:val="none"/>
        </w:rPr>
        <w:t>技术参数、性能指标上完全符合项目需求</w:t>
      </w:r>
      <w:r>
        <w:rPr>
          <w:rFonts w:hint="eastAsia" w:ascii="仿宋_GB2312"/>
          <w:bCs/>
          <w:color w:val="auto"/>
          <w:szCs w:val="28"/>
          <w:highlight w:val="none"/>
        </w:rPr>
        <w:t>。设备</w:t>
      </w:r>
      <w:r>
        <w:rPr>
          <w:rFonts w:hint="eastAsia" w:ascii="仿宋_GB2312"/>
          <w:color w:val="auto"/>
          <w:szCs w:val="28"/>
          <w:highlight w:val="none"/>
        </w:rPr>
        <w:t>质量达标率得分为10分。</w:t>
      </w:r>
    </w:p>
    <w:p>
      <w:pPr>
        <w:spacing w:line="360" w:lineRule="auto"/>
        <w:ind w:firstLine="562"/>
        <w:rPr>
          <w:rFonts w:hint="eastAsia" w:ascii="仿宋_GB2312"/>
          <w:bCs/>
          <w:color w:val="auto"/>
          <w:szCs w:val="28"/>
          <w:highlight w:val="none"/>
        </w:rPr>
      </w:pPr>
    </w:p>
    <w:p>
      <w:pPr>
        <w:pStyle w:val="4"/>
        <w:ind w:firstLine="643"/>
        <w:rPr>
          <w:color w:val="auto"/>
          <w:highlight w:val="none"/>
        </w:rPr>
      </w:pPr>
      <w:bookmarkStart w:id="49" w:name="_Toc165277251"/>
      <w:r>
        <w:rPr>
          <w:rFonts w:hint="eastAsia"/>
          <w:color w:val="auto"/>
          <w:highlight w:val="none"/>
        </w:rPr>
        <w:t>3</w:t>
      </w:r>
      <w:r>
        <w:rPr>
          <w:color w:val="auto"/>
          <w:highlight w:val="none"/>
        </w:rPr>
        <w:t>.</w:t>
      </w:r>
      <w:r>
        <w:rPr>
          <w:rFonts w:hint="eastAsia"/>
          <w:color w:val="auto"/>
          <w:highlight w:val="none"/>
        </w:rPr>
        <w:t>产出时效</w:t>
      </w:r>
      <w:bookmarkEnd w:id="49"/>
    </w:p>
    <w:p>
      <w:pPr>
        <w:spacing w:line="360" w:lineRule="auto"/>
        <w:ind w:firstLine="562"/>
        <w:rPr>
          <w:rFonts w:hint="eastAsia" w:ascii="仿宋_GB2312"/>
          <w:color w:val="auto"/>
          <w:szCs w:val="28"/>
          <w:highlight w:val="none"/>
        </w:rPr>
      </w:pPr>
      <w:r>
        <w:rPr>
          <w:rFonts w:hint="eastAsia" w:ascii="仿宋_GB2312"/>
          <w:b/>
          <w:bCs/>
          <w:color w:val="auto"/>
          <w:szCs w:val="28"/>
          <w:highlight w:val="none"/>
        </w:rPr>
        <w:t>完成及时性</w:t>
      </w:r>
      <w:r>
        <w:rPr>
          <w:rFonts w:hint="eastAsia" w:ascii="仿宋_GB2312"/>
          <w:color w:val="auto"/>
          <w:szCs w:val="28"/>
          <w:highlight w:val="none"/>
        </w:rPr>
        <w:t>：项目资金年初下达，本年完成所有支付，预算执行率100%，故完成及时性得分为10分。</w:t>
      </w:r>
    </w:p>
    <w:p>
      <w:pPr>
        <w:pStyle w:val="4"/>
        <w:ind w:firstLine="643"/>
        <w:rPr>
          <w:rFonts w:hint="eastAsia"/>
          <w:color w:val="auto"/>
          <w:highlight w:val="none"/>
        </w:rPr>
      </w:pPr>
      <w:bookmarkStart w:id="50" w:name="_Toc67911615"/>
      <w:bookmarkStart w:id="51" w:name="_Toc165277253"/>
      <w:r>
        <w:rPr>
          <w:rFonts w:hint="eastAsia"/>
          <w:color w:val="auto"/>
          <w:highlight w:val="none"/>
          <w:lang w:val="en-US" w:eastAsia="zh-CN"/>
        </w:rPr>
        <w:t>4.</w:t>
      </w:r>
      <w:r>
        <w:rPr>
          <w:rFonts w:hint="eastAsia"/>
          <w:color w:val="auto"/>
          <w:highlight w:val="none"/>
        </w:rPr>
        <w:t>产出成本</w:t>
      </w:r>
      <w:bookmarkEnd w:id="50"/>
      <w:bookmarkEnd w:id="51"/>
    </w:p>
    <w:p>
      <w:pPr>
        <w:pStyle w:val="4"/>
        <w:ind w:firstLine="643"/>
        <w:rPr>
          <w:color w:val="auto"/>
          <w:highlight w:val="none"/>
        </w:rPr>
      </w:pPr>
      <w:bookmarkStart w:id="52" w:name="_Toc165277252"/>
      <w:r>
        <w:rPr>
          <w:rFonts w:hint="eastAsia"/>
          <w:color w:val="auto"/>
          <w:highlight w:val="none"/>
          <w:lang w:eastAsia="zh-CN"/>
        </w:rPr>
        <w:t>（1）</w:t>
      </w:r>
      <w:r>
        <w:rPr>
          <w:rFonts w:hint="eastAsia"/>
          <w:color w:val="auto"/>
          <w:highlight w:val="none"/>
        </w:rPr>
        <w:t>经济成本</w:t>
      </w:r>
      <w:bookmarkEnd w:id="52"/>
    </w:p>
    <w:p>
      <w:pPr>
        <w:spacing w:line="360" w:lineRule="auto"/>
        <w:ind w:left="0" w:leftChars="0" w:firstLine="562" w:firstLineChars="200"/>
        <w:rPr>
          <w:rFonts w:ascii="仿宋_GB2312"/>
          <w:bCs/>
          <w:color w:val="auto"/>
          <w:szCs w:val="28"/>
          <w:highlight w:val="none"/>
        </w:rPr>
      </w:pPr>
      <w:r>
        <w:rPr>
          <w:rFonts w:hint="eastAsia" w:ascii="仿宋_GB2312"/>
          <w:b/>
          <w:bCs/>
          <w:color w:val="auto"/>
          <w:szCs w:val="28"/>
          <w:highlight w:val="none"/>
        </w:rPr>
        <w:t>血透方舱：</w:t>
      </w:r>
      <w:r>
        <w:rPr>
          <w:rFonts w:hint="eastAsia" w:ascii="仿宋_GB2312"/>
          <w:bCs/>
          <w:color w:val="auto"/>
          <w:szCs w:val="28"/>
          <w:highlight w:val="none"/>
        </w:rPr>
        <w:t>本项目实际支出976.9万元，无超支情况，项目资金全部完成，得分为</w:t>
      </w:r>
      <w:r>
        <w:rPr>
          <w:rFonts w:hint="eastAsia" w:ascii="仿宋_GB2312"/>
          <w:bCs/>
          <w:color w:val="auto"/>
          <w:szCs w:val="28"/>
          <w:highlight w:val="none"/>
          <w:lang w:val="en-US" w:eastAsia="zh-CN"/>
        </w:rPr>
        <w:t>3分</w:t>
      </w:r>
      <w:r>
        <w:rPr>
          <w:rFonts w:ascii="仿宋_GB2312"/>
          <w:bCs/>
          <w:color w:val="auto"/>
          <w:szCs w:val="28"/>
          <w:highlight w:val="none"/>
        </w:rPr>
        <w:t>。</w:t>
      </w:r>
    </w:p>
    <w:p>
      <w:pPr>
        <w:spacing w:line="360" w:lineRule="auto"/>
        <w:ind w:left="0" w:leftChars="0" w:firstLine="562" w:firstLineChars="200"/>
        <w:rPr>
          <w:rFonts w:ascii="仿宋_GB2312"/>
          <w:b/>
          <w:bCs/>
          <w:color w:val="auto"/>
          <w:szCs w:val="28"/>
          <w:highlight w:val="none"/>
        </w:rPr>
      </w:pPr>
      <w:r>
        <w:rPr>
          <w:rFonts w:hint="eastAsia" w:ascii="仿宋_GB2312"/>
          <w:b/>
          <w:bCs/>
          <w:color w:val="auto"/>
          <w:szCs w:val="28"/>
          <w:highlight w:val="none"/>
        </w:rPr>
        <w:t>水处理舱：</w:t>
      </w:r>
      <w:r>
        <w:rPr>
          <w:rFonts w:hint="eastAsia" w:ascii="仿宋_GB2312"/>
          <w:bCs/>
          <w:color w:val="auto"/>
          <w:szCs w:val="28"/>
          <w:highlight w:val="none"/>
        </w:rPr>
        <w:t>本项目实际支出</w:t>
      </w:r>
      <w:r>
        <w:rPr>
          <w:rFonts w:hint="eastAsia" w:ascii="仿宋_GB2312"/>
          <w:bCs/>
          <w:color w:val="auto"/>
          <w:szCs w:val="28"/>
          <w:highlight w:val="none"/>
          <w:lang w:val="en-US" w:eastAsia="zh-CN"/>
        </w:rPr>
        <w:t>174.08</w:t>
      </w:r>
      <w:r>
        <w:rPr>
          <w:rFonts w:hint="eastAsia" w:ascii="仿宋_GB2312"/>
          <w:bCs/>
          <w:color w:val="auto"/>
          <w:szCs w:val="28"/>
          <w:highlight w:val="none"/>
        </w:rPr>
        <w:t>万元，无超支情况，项目资金全部完成，得分为</w:t>
      </w:r>
      <w:r>
        <w:rPr>
          <w:rFonts w:hint="eastAsia" w:ascii="仿宋_GB2312"/>
          <w:bCs/>
          <w:color w:val="auto"/>
          <w:szCs w:val="28"/>
          <w:highlight w:val="none"/>
          <w:lang w:val="en-US" w:eastAsia="zh-CN"/>
        </w:rPr>
        <w:t>3分</w:t>
      </w:r>
      <w:r>
        <w:rPr>
          <w:rFonts w:ascii="仿宋_GB2312"/>
          <w:bCs/>
          <w:color w:val="auto"/>
          <w:szCs w:val="28"/>
          <w:highlight w:val="none"/>
        </w:rPr>
        <w:t>。</w:t>
      </w:r>
    </w:p>
    <w:p>
      <w:pPr>
        <w:spacing w:line="360" w:lineRule="auto"/>
        <w:ind w:left="0" w:leftChars="0" w:firstLine="562" w:firstLineChars="200"/>
        <w:rPr>
          <w:rFonts w:ascii="仿宋_GB2312"/>
          <w:bCs/>
          <w:color w:val="auto"/>
          <w:szCs w:val="28"/>
          <w:highlight w:val="none"/>
        </w:rPr>
      </w:pPr>
      <w:r>
        <w:rPr>
          <w:rFonts w:hint="eastAsia" w:ascii="仿宋_GB2312"/>
          <w:b/>
          <w:bCs/>
          <w:color w:val="auto"/>
          <w:szCs w:val="28"/>
          <w:highlight w:val="none"/>
        </w:rPr>
        <w:t>防护穿脱舱：</w:t>
      </w:r>
      <w:r>
        <w:rPr>
          <w:rFonts w:hint="eastAsia" w:ascii="仿宋_GB2312"/>
          <w:bCs/>
          <w:color w:val="auto"/>
          <w:szCs w:val="28"/>
          <w:highlight w:val="none"/>
        </w:rPr>
        <w:t>本项目实际支出</w:t>
      </w:r>
      <w:r>
        <w:rPr>
          <w:rFonts w:hint="eastAsia" w:ascii="仿宋_GB2312"/>
          <w:bCs/>
          <w:color w:val="auto"/>
          <w:szCs w:val="28"/>
          <w:highlight w:val="none"/>
          <w:lang w:val="en-US" w:eastAsia="zh-CN"/>
        </w:rPr>
        <w:t>96.02</w:t>
      </w:r>
      <w:r>
        <w:rPr>
          <w:rFonts w:hint="eastAsia" w:ascii="仿宋_GB2312"/>
          <w:bCs/>
          <w:color w:val="auto"/>
          <w:szCs w:val="28"/>
          <w:highlight w:val="none"/>
        </w:rPr>
        <w:t>万元，无超支情况，项目资金全部完成，得分为</w:t>
      </w:r>
      <w:r>
        <w:rPr>
          <w:rFonts w:hint="eastAsia" w:ascii="仿宋_GB2312"/>
          <w:bCs/>
          <w:color w:val="auto"/>
          <w:szCs w:val="28"/>
          <w:highlight w:val="none"/>
          <w:lang w:val="en-US" w:eastAsia="zh-CN"/>
        </w:rPr>
        <w:t>4分</w:t>
      </w:r>
      <w:r>
        <w:rPr>
          <w:rFonts w:ascii="仿宋_GB2312"/>
          <w:bCs/>
          <w:color w:val="auto"/>
          <w:szCs w:val="28"/>
          <w:highlight w:val="none"/>
        </w:rPr>
        <w:t>。</w:t>
      </w:r>
    </w:p>
    <w:p>
      <w:pPr>
        <w:spacing w:line="360" w:lineRule="auto"/>
        <w:ind w:left="0" w:leftChars="0" w:firstLine="560" w:firstLineChars="200"/>
        <w:rPr>
          <w:rFonts w:hint="default" w:ascii="仿宋_GB2312" w:eastAsia="仿宋_GB2312"/>
          <w:bCs/>
          <w:color w:val="auto"/>
          <w:szCs w:val="28"/>
          <w:highlight w:val="none"/>
          <w:lang w:val="en-US" w:eastAsia="zh-CN"/>
        </w:rPr>
      </w:pPr>
      <w:r>
        <w:rPr>
          <w:rFonts w:hint="eastAsia" w:ascii="仿宋_GB2312"/>
          <w:bCs/>
          <w:color w:val="auto"/>
          <w:szCs w:val="28"/>
          <w:highlight w:val="none"/>
          <w:lang w:val="en-US" w:eastAsia="zh-CN"/>
        </w:rPr>
        <w:t>故成本指标得分10分。</w:t>
      </w:r>
    </w:p>
    <w:p>
      <w:pPr>
        <w:pStyle w:val="3"/>
        <w:ind w:left="0" w:leftChars="0" w:firstLine="321" w:firstLineChars="100"/>
        <w:rPr>
          <w:rFonts w:ascii="仿宋" w:hAnsi="仿宋" w:eastAsia="仿宋"/>
          <w:color w:val="auto"/>
          <w:highlight w:val="none"/>
          <w:lang w:bidi="en-US"/>
        </w:rPr>
      </w:pPr>
      <w:r>
        <w:rPr>
          <w:rFonts w:ascii="仿宋" w:hAnsi="仿宋" w:eastAsia="仿宋"/>
          <w:color w:val="auto"/>
          <w:highlight w:val="none"/>
          <w:lang w:bidi="en-US"/>
        </w:rPr>
        <w:t>（</w:t>
      </w:r>
      <w:r>
        <w:rPr>
          <w:rFonts w:hint="eastAsia" w:ascii="仿宋" w:hAnsi="仿宋" w:eastAsia="仿宋"/>
          <w:color w:val="auto"/>
          <w:highlight w:val="none"/>
          <w:lang w:val="en-US" w:eastAsia="zh-CN" w:bidi="en-US"/>
        </w:rPr>
        <w:t>四</w:t>
      </w:r>
      <w:r>
        <w:rPr>
          <w:rFonts w:ascii="仿宋" w:hAnsi="仿宋" w:eastAsia="仿宋"/>
          <w:color w:val="auto"/>
          <w:highlight w:val="none"/>
          <w:lang w:bidi="en-US"/>
        </w:rPr>
        <w:t>）项目效益</w:t>
      </w:r>
    </w:p>
    <w:p>
      <w:pPr>
        <w:spacing w:line="360" w:lineRule="auto"/>
        <w:ind w:firstLine="560"/>
        <w:rPr>
          <w:rFonts w:ascii="仿宋_GB2312"/>
          <w:color w:val="auto"/>
          <w:szCs w:val="28"/>
          <w:highlight w:val="none"/>
        </w:rPr>
      </w:pPr>
      <w:r>
        <w:rPr>
          <w:rFonts w:hint="eastAsia" w:ascii="仿宋_GB2312"/>
          <w:color w:val="auto"/>
          <w:szCs w:val="28"/>
          <w:highlight w:val="none"/>
        </w:rPr>
        <w:t>项目效益指标由</w:t>
      </w:r>
      <w:r>
        <w:rPr>
          <w:rFonts w:ascii="仿宋_GB2312"/>
          <w:color w:val="auto"/>
          <w:szCs w:val="28"/>
          <w:highlight w:val="none"/>
        </w:rPr>
        <w:t>1</w:t>
      </w:r>
      <w:r>
        <w:rPr>
          <w:rFonts w:hint="eastAsia" w:ascii="仿宋_GB2312"/>
          <w:color w:val="auto"/>
          <w:szCs w:val="28"/>
          <w:highlight w:val="none"/>
        </w:rPr>
        <w:t>个二级指标和</w:t>
      </w:r>
      <w:r>
        <w:rPr>
          <w:rFonts w:ascii="仿宋_GB2312"/>
          <w:color w:val="auto"/>
          <w:szCs w:val="28"/>
          <w:highlight w:val="none"/>
        </w:rPr>
        <w:t>2</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15</w:t>
      </w:r>
      <w:r>
        <w:rPr>
          <w:rFonts w:hint="eastAsia" w:ascii="仿宋_GB2312"/>
          <w:color w:val="auto"/>
          <w:szCs w:val="28"/>
          <w:highlight w:val="none"/>
        </w:rPr>
        <w:t>分，实际得分</w:t>
      </w:r>
      <w:r>
        <w:rPr>
          <w:rFonts w:hint="eastAsia" w:ascii="仿宋_GB2312"/>
          <w:color w:val="auto"/>
          <w:szCs w:val="28"/>
          <w:highlight w:val="none"/>
          <w:lang w:val="en-US" w:eastAsia="zh-CN"/>
        </w:rPr>
        <w:t>15</w:t>
      </w:r>
      <w:r>
        <w:rPr>
          <w:rFonts w:hint="eastAsia" w:ascii="仿宋_GB2312"/>
          <w:color w:val="auto"/>
          <w:szCs w:val="28"/>
          <w:highlight w:val="none"/>
        </w:rPr>
        <w:t>分。</w:t>
      </w:r>
      <w:r>
        <w:rPr>
          <w:rFonts w:ascii="仿宋_GB2312"/>
          <w:color w:val="auto"/>
          <w:szCs w:val="28"/>
          <w:highlight w:val="none"/>
        </w:rPr>
        <w:t xml:space="preserve"> </w:t>
      </w:r>
    </w:p>
    <w:p>
      <w:pPr>
        <w:spacing w:line="360" w:lineRule="auto"/>
        <w:ind w:firstLine="562"/>
        <w:rPr>
          <w:rFonts w:ascii="仿宋_GB2312"/>
          <w:b/>
          <w:bCs/>
          <w:color w:val="auto"/>
          <w:szCs w:val="28"/>
          <w:highlight w:val="none"/>
        </w:rPr>
      </w:pPr>
      <w:r>
        <w:rPr>
          <w:rFonts w:hint="eastAsia" w:ascii="仿宋_GB2312"/>
          <w:b/>
          <w:bCs/>
          <w:color w:val="auto"/>
          <w:szCs w:val="28"/>
          <w:highlight w:val="none"/>
          <w:lang w:eastAsia="zh-CN"/>
        </w:rPr>
        <w:t>（1）</w:t>
      </w:r>
      <w:r>
        <w:rPr>
          <w:rFonts w:hint="eastAsia" w:ascii="仿宋_GB2312"/>
          <w:b/>
          <w:bCs/>
          <w:color w:val="auto"/>
          <w:szCs w:val="28"/>
          <w:highlight w:val="none"/>
        </w:rPr>
        <w:t>实施效益</w:t>
      </w:r>
    </w:p>
    <w:p>
      <w:pPr>
        <w:spacing w:line="360" w:lineRule="auto"/>
        <w:ind w:firstLine="562"/>
        <w:rPr>
          <w:rFonts w:ascii="仿宋_GB2312"/>
          <w:color w:val="auto"/>
          <w:szCs w:val="28"/>
          <w:highlight w:val="none"/>
        </w:rPr>
      </w:pPr>
      <w:r>
        <w:rPr>
          <w:rFonts w:hint="eastAsia" w:ascii="仿宋_GB2312"/>
          <w:b/>
          <w:bCs/>
          <w:color w:val="auto"/>
          <w:szCs w:val="28"/>
          <w:highlight w:val="none"/>
        </w:rPr>
        <w:t>经济效益指标：</w:t>
      </w:r>
      <w:r>
        <w:rPr>
          <w:rFonts w:hint="eastAsia" w:ascii="仿宋_GB2312"/>
          <w:color w:val="auto"/>
          <w:szCs w:val="28"/>
          <w:highlight w:val="none"/>
        </w:rPr>
        <w:t>不适用。</w:t>
      </w:r>
      <w:r>
        <w:rPr>
          <w:rFonts w:ascii="仿宋_GB2312"/>
          <w:color w:val="auto"/>
          <w:szCs w:val="28"/>
          <w:highlight w:val="none"/>
        </w:rPr>
        <w:t xml:space="preserve"> </w:t>
      </w:r>
    </w:p>
    <w:p>
      <w:pPr>
        <w:spacing w:line="360" w:lineRule="auto"/>
        <w:ind w:firstLine="562"/>
        <w:rPr>
          <w:rFonts w:hint="eastAsia" w:ascii="仿宋_GB2312" w:eastAsia="仿宋_GB2312"/>
          <w:color w:val="auto"/>
          <w:szCs w:val="28"/>
          <w:highlight w:val="none"/>
          <w:lang w:eastAsia="zh-CN"/>
        </w:rPr>
      </w:pPr>
      <w:r>
        <w:rPr>
          <w:rFonts w:hint="eastAsia" w:ascii="仿宋_GB2312"/>
          <w:b/>
          <w:bCs/>
          <w:color w:val="auto"/>
          <w:szCs w:val="28"/>
          <w:highlight w:val="none"/>
        </w:rPr>
        <w:t>社会效益指标</w:t>
      </w:r>
      <w:r>
        <w:rPr>
          <w:rFonts w:hint="eastAsia" w:ascii="仿宋_GB2312"/>
          <w:color w:val="auto"/>
          <w:szCs w:val="28"/>
          <w:highlight w:val="none"/>
        </w:rPr>
        <w:t>：评价指标“保障医院工作正常开展”，指标值：有效保障，实际完成值：达成年度指标。本项目的实施严格遵循疫情防控紧急部署，自2022年10月24日采购至设备调配安装，全程压缩在20天内完成，确保乌鲁木齐国际医院与自治区第三人民医院的血透方舱、水机舱等设施及时投用，快速响应疫情高峰期患者救治需求。设备配置数量与质量达标</w:t>
      </w:r>
      <w:r>
        <w:rPr>
          <w:rFonts w:hint="eastAsia" w:ascii="仿宋_GB2312"/>
          <w:color w:val="auto"/>
          <w:szCs w:val="28"/>
          <w:highlight w:val="none"/>
          <w:lang w:eastAsia="zh-CN"/>
        </w:rPr>
        <w:t>，</w:t>
      </w:r>
      <w:r>
        <w:rPr>
          <w:rFonts w:hint="eastAsia" w:ascii="仿宋_GB2312"/>
          <w:color w:val="auto"/>
          <w:szCs w:val="28"/>
          <w:highlight w:val="none"/>
        </w:rPr>
        <w:t>共采购10</w:t>
      </w:r>
      <w:r>
        <w:rPr>
          <w:rFonts w:hint="eastAsia" w:ascii="仿宋_GB2312"/>
          <w:color w:val="auto"/>
          <w:szCs w:val="28"/>
          <w:highlight w:val="none"/>
          <w:lang w:eastAsia="zh-CN"/>
        </w:rPr>
        <w:t>套</w:t>
      </w:r>
      <w:r>
        <w:rPr>
          <w:rFonts w:hint="eastAsia" w:ascii="仿宋_GB2312"/>
          <w:color w:val="auto"/>
          <w:szCs w:val="28"/>
          <w:highlight w:val="none"/>
        </w:rPr>
        <w:t>威高血透方舱（含40台血透机）、</w:t>
      </w:r>
      <w:r>
        <w:rPr>
          <w:rFonts w:hint="eastAsia" w:ascii="仿宋_GB2312"/>
          <w:color w:val="auto"/>
          <w:szCs w:val="28"/>
          <w:highlight w:val="none"/>
          <w:lang w:val="en-US" w:eastAsia="zh-CN"/>
        </w:rPr>
        <w:t>2套</w:t>
      </w:r>
      <w:r>
        <w:rPr>
          <w:rFonts w:hint="eastAsia" w:ascii="仿宋_GB2312"/>
          <w:color w:val="auto"/>
          <w:szCs w:val="28"/>
          <w:highlight w:val="none"/>
        </w:rPr>
        <w:t>更衣舱、</w:t>
      </w:r>
      <w:r>
        <w:rPr>
          <w:rFonts w:hint="eastAsia" w:ascii="仿宋_GB2312"/>
          <w:color w:val="auto"/>
          <w:szCs w:val="28"/>
          <w:highlight w:val="none"/>
          <w:lang w:val="en-US" w:eastAsia="zh-CN"/>
        </w:rPr>
        <w:t>2套</w:t>
      </w:r>
      <w:r>
        <w:rPr>
          <w:rFonts w:hint="eastAsia" w:ascii="仿宋_GB2312"/>
          <w:color w:val="auto"/>
          <w:szCs w:val="28"/>
          <w:highlight w:val="none"/>
        </w:rPr>
        <w:t>水机舱，分两院配置，设备验收合格率100%，无质量问题</w:t>
      </w:r>
      <w:r>
        <w:rPr>
          <w:rFonts w:hint="eastAsia" w:ascii="仿宋_GB2312"/>
          <w:color w:val="auto"/>
          <w:szCs w:val="28"/>
          <w:highlight w:val="none"/>
          <w:lang w:eastAsia="zh-CN"/>
        </w:rPr>
        <w:t>，</w:t>
      </w:r>
      <w:r>
        <w:rPr>
          <w:rFonts w:hint="eastAsia" w:ascii="仿宋_GB2312"/>
          <w:color w:val="auto"/>
          <w:szCs w:val="28"/>
          <w:highlight w:val="none"/>
        </w:rPr>
        <w:t>保障</w:t>
      </w:r>
      <w:r>
        <w:rPr>
          <w:rFonts w:hint="eastAsia" w:ascii="仿宋_GB2312"/>
          <w:color w:val="auto"/>
          <w:szCs w:val="28"/>
          <w:highlight w:val="none"/>
          <w:lang w:eastAsia="zh-CN"/>
        </w:rPr>
        <w:t>特殊情况下</w:t>
      </w:r>
      <w:r>
        <w:rPr>
          <w:rFonts w:hint="eastAsia" w:ascii="仿宋_GB2312"/>
          <w:color w:val="auto"/>
          <w:szCs w:val="28"/>
          <w:highlight w:val="none"/>
        </w:rPr>
        <w:t>医院工作</w:t>
      </w:r>
      <w:r>
        <w:rPr>
          <w:rFonts w:hint="eastAsia" w:ascii="仿宋_GB2312"/>
          <w:color w:val="auto"/>
          <w:szCs w:val="28"/>
          <w:highlight w:val="none"/>
          <w:lang w:eastAsia="zh-CN"/>
        </w:rPr>
        <w:t>的</w:t>
      </w:r>
      <w:r>
        <w:rPr>
          <w:rFonts w:hint="eastAsia" w:ascii="仿宋_GB2312"/>
          <w:color w:val="auto"/>
          <w:szCs w:val="28"/>
          <w:highlight w:val="none"/>
        </w:rPr>
        <w:t>正常开展</w:t>
      </w:r>
      <w:r>
        <w:rPr>
          <w:rFonts w:hint="eastAsia" w:ascii="仿宋_GB2312"/>
          <w:color w:val="auto"/>
          <w:szCs w:val="28"/>
          <w:highlight w:val="none"/>
          <w:lang w:eastAsia="zh-CN"/>
        </w:rPr>
        <w:t>。</w:t>
      </w:r>
    </w:p>
    <w:p>
      <w:pPr>
        <w:spacing w:line="360" w:lineRule="auto"/>
        <w:ind w:firstLine="562"/>
        <w:rPr>
          <w:rFonts w:hint="eastAsia" w:ascii="仿宋_GB2312"/>
          <w:color w:val="auto"/>
          <w:szCs w:val="28"/>
          <w:highlight w:val="none"/>
        </w:rPr>
      </w:pPr>
      <w:r>
        <w:rPr>
          <w:rFonts w:hint="eastAsia" w:ascii="仿宋_GB2312"/>
          <w:color w:val="auto"/>
          <w:szCs w:val="28"/>
          <w:highlight w:val="none"/>
        </w:rPr>
        <w:t>评价指标“有效提升医疗服务能力”，指标值：有效提升，实际完成值：达成年度指标。</w:t>
      </w:r>
      <w:r>
        <w:rPr>
          <w:rFonts w:hint="eastAsia" w:ascii="仿宋_GB2312"/>
          <w:color w:val="auto"/>
          <w:szCs w:val="28"/>
          <w:highlight w:val="none"/>
          <w:lang w:eastAsia="zh-CN"/>
        </w:rPr>
        <w:t>该项目的实施使得我院医疗服务能力</w:t>
      </w:r>
      <w:r>
        <w:rPr>
          <w:rFonts w:hint="eastAsia" w:ascii="仿宋_GB2312"/>
          <w:color w:val="auto"/>
          <w:szCs w:val="28"/>
          <w:highlight w:val="none"/>
        </w:rPr>
        <w:t>提升</w:t>
      </w:r>
      <w:r>
        <w:rPr>
          <w:rFonts w:hint="eastAsia" w:ascii="仿宋_GB2312"/>
          <w:color w:val="auto"/>
          <w:szCs w:val="28"/>
          <w:highlight w:val="none"/>
          <w:lang w:eastAsia="zh-CN"/>
        </w:rPr>
        <w:t>，</w:t>
      </w:r>
      <w:r>
        <w:rPr>
          <w:rFonts w:hint="eastAsia" w:ascii="仿宋_GB2312"/>
          <w:color w:val="auto"/>
          <w:szCs w:val="28"/>
          <w:highlight w:val="none"/>
        </w:rPr>
        <w:t>单院配置20台血透机，日均单机服务4-6名患者，两院合计日接诊能力达200-240人次，较改造前提升300%，有效缓解疫情期间肾衰竭患者透析资源挤兑问题。流程优化</w:t>
      </w:r>
      <w:r>
        <w:rPr>
          <w:rFonts w:hint="eastAsia" w:ascii="仿宋_GB2312"/>
          <w:color w:val="auto"/>
          <w:szCs w:val="28"/>
          <w:highlight w:val="none"/>
          <w:lang w:eastAsia="zh-CN"/>
        </w:rPr>
        <w:t>方面，</w:t>
      </w:r>
      <w:r>
        <w:rPr>
          <w:rFonts w:hint="eastAsia" w:ascii="仿宋_GB2312"/>
          <w:color w:val="auto"/>
          <w:szCs w:val="28"/>
          <w:highlight w:val="none"/>
        </w:rPr>
        <w:t>方舱模块化设计实现“院中院”闭环管理，更衣舱、水机舱配套使用，降低交叉感染风险，医护操作效率提升。公共卫生体系强化</w:t>
      </w:r>
      <w:r>
        <w:rPr>
          <w:rFonts w:hint="eastAsia" w:ascii="仿宋_GB2312"/>
          <w:color w:val="auto"/>
          <w:szCs w:val="28"/>
          <w:highlight w:val="none"/>
          <w:lang w:eastAsia="zh-CN"/>
        </w:rPr>
        <w:t>，</w:t>
      </w:r>
      <w:r>
        <w:rPr>
          <w:rFonts w:hint="eastAsia" w:ascii="仿宋_GB2312"/>
          <w:color w:val="auto"/>
          <w:szCs w:val="28"/>
          <w:highlight w:val="none"/>
        </w:rPr>
        <w:t>填补区域重大疫情下专科救治能力空白，形成“平疫结合”弹性机制，疫情后设备转为日常透析使用，年服务量可覆盖</w:t>
      </w:r>
      <w:r>
        <w:rPr>
          <w:rFonts w:hint="eastAsia" w:ascii="仿宋_GB2312"/>
          <w:color w:val="auto"/>
          <w:szCs w:val="28"/>
          <w:highlight w:val="none"/>
          <w:lang w:val="en-US" w:eastAsia="zh-CN"/>
        </w:rPr>
        <w:t>经开区</w:t>
      </w:r>
      <w:r>
        <w:rPr>
          <w:rFonts w:hint="eastAsia" w:ascii="仿宋_GB2312"/>
          <w:color w:val="auto"/>
          <w:szCs w:val="28"/>
          <w:highlight w:val="none"/>
        </w:rPr>
        <w:t>常规患者。</w:t>
      </w:r>
    </w:p>
    <w:p>
      <w:pPr>
        <w:spacing w:line="360" w:lineRule="auto"/>
        <w:ind w:firstLine="562"/>
        <w:rPr>
          <w:rFonts w:ascii="仿宋_GB2312"/>
          <w:color w:val="auto"/>
          <w:szCs w:val="28"/>
          <w:highlight w:val="none"/>
        </w:rPr>
      </w:pPr>
      <w:r>
        <w:rPr>
          <w:rFonts w:hint="eastAsia" w:ascii="仿宋_GB2312"/>
          <w:b/>
          <w:bCs/>
          <w:color w:val="auto"/>
          <w:szCs w:val="28"/>
          <w:highlight w:val="none"/>
        </w:rPr>
        <w:t>生态效益指标</w:t>
      </w:r>
      <w:r>
        <w:rPr>
          <w:rFonts w:hint="eastAsia" w:ascii="仿宋_GB2312"/>
          <w:color w:val="auto"/>
          <w:szCs w:val="28"/>
          <w:highlight w:val="none"/>
        </w:rPr>
        <w:t>：不适用。</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hint="eastAsia" w:ascii="仿宋_GB2312" w:hAnsi="仿宋" w:cs="宋体"/>
          <w:b/>
          <w:color w:val="auto"/>
          <w:kern w:val="0"/>
          <w:szCs w:val="28"/>
          <w:highlight w:val="none"/>
          <w:lang w:val="en-US" w:eastAsia="zh-CN"/>
        </w:rPr>
        <w:t>15</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15</w:t>
      </w:r>
      <w:r>
        <w:rPr>
          <w:rFonts w:hint="eastAsia" w:ascii="仿宋_GB2312" w:hAnsi="仿宋" w:cs="宋体"/>
          <w:b/>
          <w:color w:val="auto"/>
          <w:kern w:val="0"/>
          <w:szCs w:val="28"/>
          <w:highlight w:val="none"/>
        </w:rPr>
        <w:t>分。</w:t>
      </w:r>
    </w:p>
    <w:p>
      <w:pPr>
        <w:pStyle w:val="3"/>
        <w:ind w:firstLine="643"/>
        <w:rPr>
          <w:rFonts w:ascii="仿宋" w:hAnsi="仿宋" w:eastAsia="仿宋"/>
          <w:color w:val="auto"/>
          <w:highlight w:val="none"/>
          <w:lang w:bidi="en-US"/>
        </w:rPr>
      </w:pPr>
      <w:bookmarkStart w:id="53" w:name="_Toc165277255"/>
      <w:r>
        <w:rPr>
          <w:rFonts w:hint="eastAsia" w:ascii="仿宋" w:hAnsi="仿宋" w:eastAsia="仿宋"/>
          <w:color w:val="auto"/>
          <w:highlight w:val="none"/>
          <w:lang w:bidi="en-US"/>
        </w:rPr>
        <w:t>（</w:t>
      </w:r>
      <w:r>
        <w:rPr>
          <w:rFonts w:hint="eastAsia" w:ascii="仿宋" w:hAnsi="仿宋" w:eastAsia="仿宋"/>
          <w:color w:val="auto"/>
          <w:highlight w:val="none"/>
          <w:lang w:val="en-US" w:eastAsia="zh-CN" w:bidi="en-US"/>
        </w:rPr>
        <w:t>五</w:t>
      </w:r>
      <w:r>
        <w:rPr>
          <w:rFonts w:hint="eastAsia" w:ascii="仿宋" w:hAnsi="仿宋" w:eastAsia="仿宋"/>
          <w:color w:val="auto"/>
          <w:highlight w:val="none"/>
          <w:lang w:bidi="en-US"/>
        </w:rPr>
        <w:t>）</w:t>
      </w:r>
      <w:r>
        <w:rPr>
          <w:rFonts w:ascii="仿宋" w:hAnsi="仿宋" w:eastAsia="仿宋"/>
          <w:color w:val="auto"/>
          <w:highlight w:val="none"/>
          <w:lang w:bidi="en-US"/>
        </w:rPr>
        <w:t>满意度指标完成情况分析</w:t>
      </w:r>
      <w:bookmarkEnd w:id="53"/>
    </w:p>
    <w:p>
      <w:pPr>
        <w:spacing w:line="360" w:lineRule="auto"/>
        <w:ind w:firstLine="562"/>
        <w:rPr>
          <w:rFonts w:ascii="仿宋_GB2312"/>
          <w:b/>
          <w:bCs/>
          <w:color w:val="auto"/>
          <w:szCs w:val="28"/>
          <w:highlight w:val="none"/>
        </w:rPr>
      </w:pPr>
      <w:r>
        <w:rPr>
          <w:rFonts w:hint="eastAsia" w:ascii="仿宋_GB2312"/>
          <w:b/>
          <w:bCs/>
          <w:color w:val="auto"/>
          <w:szCs w:val="28"/>
          <w:highlight w:val="none"/>
          <w:lang w:eastAsia="zh-CN"/>
        </w:rPr>
        <w:t>（1）</w:t>
      </w:r>
      <w:bookmarkStart w:id="63" w:name="_GoBack"/>
      <w:bookmarkEnd w:id="63"/>
      <w:r>
        <w:rPr>
          <w:rFonts w:hint="eastAsia" w:ascii="仿宋_GB2312"/>
          <w:b/>
          <w:bCs/>
          <w:color w:val="auto"/>
          <w:szCs w:val="28"/>
          <w:highlight w:val="none"/>
        </w:rPr>
        <w:t>满意度指标</w:t>
      </w:r>
    </w:p>
    <w:p>
      <w:pPr>
        <w:spacing w:line="360" w:lineRule="auto"/>
        <w:ind w:firstLine="562"/>
        <w:rPr>
          <w:rFonts w:ascii="仿宋_GB2312"/>
          <w:color w:val="auto"/>
          <w:szCs w:val="28"/>
          <w:highlight w:val="none"/>
        </w:rPr>
      </w:pPr>
      <w:r>
        <w:rPr>
          <w:rFonts w:hint="eastAsia" w:ascii="仿宋_GB2312"/>
          <w:b/>
          <w:bCs/>
          <w:color w:val="auto"/>
          <w:szCs w:val="28"/>
          <w:highlight w:val="none"/>
          <w:lang w:eastAsia="zh-CN"/>
        </w:rPr>
        <w:t>设备使用人员</w:t>
      </w:r>
      <w:r>
        <w:rPr>
          <w:rFonts w:hint="eastAsia" w:ascii="仿宋_GB2312"/>
          <w:b/>
          <w:bCs/>
          <w:color w:val="auto"/>
          <w:szCs w:val="28"/>
          <w:highlight w:val="none"/>
        </w:rPr>
        <w:t>满意度：</w:t>
      </w:r>
      <w:r>
        <w:rPr>
          <w:rFonts w:hint="eastAsia" w:ascii="仿宋_GB2312"/>
          <w:color w:val="auto"/>
          <w:szCs w:val="28"/>
          <w:highlight w:val="none"/>
        </w:rPr>
        <w:t>评价指标“</w:t>
      </w:r>
      <w:r>
        <w:rPr>
          <w:rFonts w:hint="eastAsia" w:ascii="仿宋_GB2312"/>
          <w:b/>
          <w:bCs/>
          <w:color w:val="auto"/>
          <w:szCs w:val="28"/>
          <w:highlight w:val="none"/>
          <w:lang w:eastAsia="zh-CN"/>
        </w:rPr>
        <w:t>设备使用人员</w:t>
      </w:r>
      <w:r>
        <w:rPr>
          <w:rFonts w:hint="eastAsia" w:ascii="仿宋_GB2312"/>
          <w:b/>
          <w:bCs/>
          <w:color w:val="auto"/>
          <w:szCs w:val="28"/>
          <w:highlight w:val="none"/>
        </w:rPr>
        <w:t>满意度</w:t>
      </w:r>
      <w:r>
        <w:rPr>
          <w:rFonts w:hint="eastAsia" w:ascii="仿宋_GB2312"/>
          <w:color w:val="auto"/>
          <w:szCs w:val="28"/>
          <w:highlight w:val="none"/>
        </w:rPr>
        <w:t>”，指标值：</w:t>
      </w:r>
      <w:r>
        <w:rPr>
          <w:rFonts w:hint="eastAsia" w:ascii="华文宋体" w:hAnsi="华文宋体" w:eastAsia="华文宋体"/>
          <w:color w:val="auto"/>
          <w:szCs w:val="28"/>
          <w:highlight w:val="none"/>
        </w:rPr>
        <w:t>≥</w:t>
      </w:r>
      <w:r>
        <w:rPr>
          <w:rFonts w:hint="eastAsia" w:ascii="仿宋_GB2312" w:eastAsia="华文宋体"/>
          <w:color w:val="auto"/>
          <w:szCs w:val="28"/>
          <w:highlight w:val="none"/>
          <w:lang w:val="en-US" w:eastAsia="zh-CN"/>
        </w:rPr>
        <w:t>100</w:t>
      </w:r>
      <w:r>
        <w:rPr>
          <w:rFonts w:hint="eastAsia" w:ascii="仿宋_GB2312"/>
          <w:color w:val="auto"/>
          <w:szCs w:val="28"/>
          <w:highlight w:val="none"/>
        </w:rPr>
        <w:t>%，实际完成值：</w:t>
      </w:r>
      <w:r>
        <w:rPr>
          <w:rFonts w:hint="eastAsia" w:ascii="仿宋_GB2312"/>
          <w:color w:val="auto"/>
          <w:szCs w:val="28"/>
          <w:highlight w:val="none"/>
          <w:lang w:val="en-US" w:eastAsia="zh-CN"/>
        </w:rPr>
        <w:t>＝</w:t>
      </w:r>
      <w:r>
        <w:rPr>
          <w:rFonts w:hint="eastAsia" w:ascii="仿宋_GB2312" w:eastAsia="华文宋体"/>
          <w:color w:val="auto"/>
          <w:szCs w:val="28"/>
          <w:highlight w:val="none"/>
          <w:lang w:val="en-US" w:eastAsia="zh-CN"/>
        </w:rPr>
        <w:t>100</w:t>
      </w:r>
      <w:r>
        <w:rPr>
          <w:rFonts w:hint="eastAsia" w:ascii="仿宋_GB2312"/>
          <w:color w:val="auto"/>
          <w:szCs w:val="28"/>
          <w:highlight w:val="none"/>
        </w:rPr>
        <w:t>%。通过设置问卷调查的方式进行考评评价，共计调查样本总量为</w:t>
      </w:r>
      <w:r>
        <w:rPr>
          <w:rFonts w:hint="eastAsia" w:ascii="仿宋_GB2312"/>
          <w:color w:val="auto"/>
          <w:szCs w:val="28"/>
          <w:highlight w:val="none"/>
          <w:lang w:val="en-US" w:eastAsia="zh-CN"/>
        </w:rPr>
        <w:t>20</w:t>
      </w:r>
      <w:r>
        <w:rPr>
          <w:rFonts w:hint="eastAsia" w:ascii="仿宋_GB2312"/>
          <w:color w:val="auto"/>
          <w:szCs w:val="28"/>
          <w:highlight w:val="none"/>
        </w:rPr>
        <w:t>个样本，有效调查问卷</w:t>
      </w:r>
      <w:r>
        <w:rPr>
          <w:rFonts w:hint="eastAsia" w:ascii="仿宋_GB2312"/>
          <w:color w:val="auto"/>
          <w:szCs w:val="28"/>
          <w:highlight w:val="none"/>
          <w:lang w:val="en-US" w:eastAsia="zh-CN"/>
        </w:rPr>
        <w:t>20</w:t>
      </w:r>
      <w:r>
        <w:rPr>
          <w:rFonts w:hint="eastAsia" w:ascii="仿宋_GB2312"/>
          <w:color w:val="auto"/>
          <w:szCs w:val="28"/>
          <w:highlight w:val="none"/>
        </w:rPr>
        <w:t>份。其中，统计“</w:t>
      </w:r>
      <w:r>
        <w:rPr>
          <w:rFonts w:hint="eastAsia" w:ascii="仿宋_GB2312"/>
          <w:color w:val="auto"/>
          <w:szCs w:val="28"/>
          <w:highlight w:val="none"/>
          <w:lang w:val="en-US" w:eastAsia="zh-CN"/>
        </w:rPr>
        <w:t>满意度</w:t>
      </w:r>
      <w:r>
        <w:rPr>
          <w:rFonts w:hint="eastAsia" w:ascii="仿宋_GB2312"/>
          <w:color w:val="auto"/>
          <w:szCs w:val="28"/>
          <w:highlight w:val="none"/>
        </w:rPr>
        <w:t>”的平均值为</w:t>
      </w:r>
      <w:r>
        <w:rPr>
          <w:rFonts w:hint="eastAsia" w:ascii="仿宋_GB2312"/>
          <w:color w:val="auto"/>
          <w:szCs w:val="28"/>
          <w:highlight w:val="none"/>
          <w:lang w:val="en-US" w:eastAsia="zh-CN"/>
        </w:rPr>
        <w:t>100</w:t>
      </w:r>
      <w:r>
        <w:rPr>
          <w:rFonts w:hint="eastAsia" w:ascii="仿宋_GB2312"/>
          <w:color w:val="auto"/>
          <w:szCs w:val="28"/>
          <w:highlight w:val="none"/>
        </w:rPr>
        <w:t>%。故满意度指标得分为</w:t>
      </w:r>
      <w:r>
        <w:rPr>
          <w:rFonts w:hint="eastAsia" w:ascii="仿宋_GB2312"/>
          <w:color w:val="auto"/>
          <w:szCs w:val="28"/>
          <w:highlight w:val="none"/>
          <w:lang w:val="en-US" w:eastAsia="zh-CN"/>
        </w:rPr>
        <w:t>5</w:t>
      </w:r>
      <w:r>
        <w:rPr>
          <w:rFonts w:hint="eastAsia" w:ascii="仿宋_GB2312"/>
          <w:color w:val="auto"/>
          <w:szCs w:val="28"/>
          <w:highlight w:val="none"/>
        </w:rPr>
        <w:t>分。</w:t>
      </w:r>
    </w:p>
    <w:p>
      <w:pPr>
        <w:autoSpaceDE w:val="0"/>
        <w:spacing w:line="600" w:lineRule="exact"/>
        <w:ind w:firstLine="562"/>
        <w:rPr>
          <w:rFonts w:hint="eastAsia"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hint="eastAsia" w:ascii="仿宋_GB2312" w:hAnsi="仿宋" w:cs="宋体"/>
          <w:b/>
          <w:color w:val="auto"/>
          <w:kern w:val="0"/>
          <w:szCs w:val="28"/>
          <w:highlight w:val="none"/>
          <w:lang w:val="en-US" w:eastAsia="zh-CN"/>
        </w:rPr>
        <w:t>5</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5</w:t>
      </w:r>
      <w:r>
        <w:rPr>
          <w:rFonts w:hint="eastAsia" w:ascii="仿宋_GB2312" w:hAnsi="仿宋" w:cs="宋体"/>
          <w:b/>
          <w:color w:val="auto"/>
          <w:kern w:val="0"/>
          <w:szCs w:val="28"/>
          <w:highlight w:val="none"/>
        </w:rPr>
        <w:t>分。</w:t>
      </w:r>
    </w:p>
    <w:p>
      <w:pPr>
        <w:pStyle w:val="2"/>
        <w:ind w:firstLine="0" w:firstLineChars="0"/>
        <w:jc w:val="left"/>
        <w:rPr>
          <w:rFonts w:ascii="仿宋" w:hAnsi="仿宋" w:eastAsia="仿宋"/>
          <w:color w:val="auto"/>
          <w:sz w:val="36"/>
          <w:szCs w:val="36"/>
          <w:highlight w:val="none"/>
          <w:lang w:bidi="en-US"/>
        </w:rPr>
      </w:pPr>
      <w:bookmarkStart w:id="54" w:name="_Toc165277256"/>
      <w:bookmarkStart w:id="55" w:name="_Toc67911617"/>
      <w:r>
        <w:rPr>
          <w:rFonts w:hint="eastAsia" w:ascii="仿宋" w:hAnsi="仿宋" w:eastAsia="仿宋"/>
          <w:color w:val="auto"/>
          <w:sz w:val="36"/>
          <w:szCs w:val="36"/>
          <w:highlight w:val="none"/>
          <w:lang w:bidi="en-US"/>
        </w:rPr>
        <w:t>五、主要经验及做法、存在的问题及原因分析</w:t>
      </w:r>
      <w:bookmarkEnd w:id="54"/>
      <w:bookmarkEnd w:id="55"/>
    </w:p>
    <w:p>
      <w:pPr>
        <w:pStyle w:val="3"/>
        <w:ind w:firstLine="643"/>
        <w:rPr>
          <w:rFonts w:ascii="仿宋" w:hAnsi="仿宋" w:eastAsia="仿宋"/>
          <w:color w:val="auto"/>
          <w:highlight w:val="none"/>
          <w:lang w:bidi="en-US"/>
        </w:rPr>
      </w:pPr>
      <w:bookmarkStart w:id="56" w:name="_Toc67911618"/>
      <w:bookmarkStart w:id="57" w:name="_Toc165277257"/>
      <w:r>
        <w:rPr>
          <w:rFonts w:hint="eastAsia" w:ascii="仿宋" w:hAnsi="仿宋" w:eastAsia="仿宋"/>
          <w:color w:val="auto"/>
          <w:highlight w:val="none"/>
          <w:lang w:bidi="en-US"/>
        </w:rPr>
        <w:t>（一）主要经验及做法</w:t>
      </w:r>
      <w:bookmarkEnd w:id="56"/>
      <w:bookmarkEnd w:id="57"/>
    </w:p>
    <w:p>
      <w:pPr>
        <w:spacing w:line="360" w:lineRule="auto"/>
        <w:ind w:firstLine="560"/>
        <w:rPr>
          <w:rFonts w:hint="eastAsia" w:ascii="仿宋_GB2312"/>
          <w:color w:val="auto"/>
          <w:highlight w:val="none"/>
        </w:rPr>
      </w:pPr>
      <w:bookmarkStart w:id="58" w:name="_Toc165277258"/>
      <w:r>
        <w:rPr>
          <w:rFonts w:hint="eastAsia" w:ascii="仿宋_GB2312"/>
          <w:color w:val="auto"/>
          <w:highlight w:val="none"/>
        </w:rPr>
        <w:t>1.应急响应迅速性</w:t>
      </w:r>
      <w:r>
        <w:rPr>
          <w:rFonts w:hint="eastAsia" w:ascii="仿宋_GB2312"/>
          <w:color w:val="auto"/>
          <w:highlight w:val="none"/>
          <w:lang w:eastAsia="zh-CN"/>
        </w:rPr>
        <w:t>：</w:t>
      </w:r>
      <w:r>
        <w:rPr>
          <w:rFonts w:hint="eastAsia" w:ascii="仿宋_GB2312"/>
          <w:color w:val="auto"/>
          <w:highlight w:val="none"/>
        </w:rPr>
        <w:t>在国家专家组现场论证后48小时内启动采购程序，15天内完成40台血透机、6个功能舱的采购及跨院调配安装，构建起模块化血透治疗集群，展现特殊时期政府应急采购能力。</w:t>
      </w:r>
    </w:p>
    <w:p>
      <w:pPr>
        <w:spacing w:line="360" w:lineRule="auto"/>
        <w:ind w:firstLine="560"/>
        <w:rPr>
          <w:rFonts w:hint="eastAsia"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资源统筹科学性</w:t>
      </w:r>
      <w:r>
        <w:rPr>
          <w:rFonts w:hint="eastAsia" w:ascii="仿宋_GB2312"/>
          <w:color w:val="auto"/>
          <w:highlight w:val="none"/>
          <w:lang w:eastAsia="zh-CN"/>
        </w:rPr>
        <w:t>：</w:t>
      </w:r>
      <w:r>
        <w:rPr>
          <w:rFonts w:hint="eastAsia" w:ascii="仿宋_GB2312"/>
          <w:color w:val="auto"/>
          <w:highlight w:val="none"/>
        </w:rPr>
        <w:t>依据自治区指挥部823号文件创新实施"一采双配"模式，通过"5+5"方舱分配方案精准匹配两家医院救治需求，使2578万元设备投资实现区域协同效应，单台设备服务半径缩短至10公里内。</w:t>
      </w:r>
    </w:p>
    <w:p>
      <w:pPr>
        <w:spacing w:line="360" w:lineRule="auto"/>
        <w:ind w:firstLine="560"/>
        <w:rPr>
          <w:rFonts w:hint="eastAsia" w:ascii="仿宋_GB2312"/>
          <w:color w:val="auto"/>
          <w:highlight w:val="none"/>
        </w:rPr>
      </w:pPr>
      <w:r>
        <w:rPr>
          <w:rFonts w:hint="eastAsia" w:ascii="仿宋_GB2312"/>
          <w:color w:val="auto"/>
          <w:highlight w:val="none"/>
        </w:rPr>
        <w:t>3.技术应用创新性</w:t>
      </w:r>
      <w:r>
        <w:rPr>
          <w:rFonts w:hint="eastAsia" w:ascii="仿宋_GB2312"/>
          <w:color w:val="auto"/>
          <w:highlight w:val="none"/>
          <w:lang w:eastAsia="zh-CN"/>
        </w:rPr>
        <w:t>：</w:t>
      </w:r>
      <w:r>
        <w:rPr>
          <w:rFonts w:hint="eastAsia" w:ascii="仿宋_GB2312"/>
          <w:color w:val="auto"/>
          <w:highlight w:val="none"/>
        </w:rPr>
        <w:t>采用国内领先的威高血透方舱技术，集成空气净化、医废处理等七大系统，单舱日处理量达20人次，较传统血透室建设周期缩短80%，实现"即装即用"的疫中改造范式。</w:t>
      </w:r>
    </w:p>
    <w:p>
      <w:pPr>
        <w:pStyle w:val="3"/>
        <w:ind w:firstLine="643"/>
        <w:rPr>
          <w:rFonts w:hint="eastAsia" w:ascii="仿宋" w:hAnsi="仿宋" w:eastAsia="仿宋"/>
          <w:color w:val="auto"/>
          <w:highlight w:val="none"/>
          <w:lang w:val="en-US" w:bidi="en-US"/>
        </w:rPr>
      </w:pPr>
      <w:r>
        <w:rPr>
          <w:rFonts w:hint="eastAsia" w:ascii="仿宋" w:hAnsi="仿宋" w:eastAsia="仿宋"/>
          <w:color w:val="auto"/>
          <w:highlight w:val="none"/>
          <w:lang w:val="en-US" w:bidi="en-US"/>
        </w:rPr>
        <w:t>（二）存在的问题及原因分析</w:t>
      </w:r>
      <w:bookmarkEnd w:id="58"/>
    </w:p>
    <w:p>
      <w:pPr>
        <w:spacing w:line="360" w:lineRule="auto"/>
        <w:ind w:firstLine="560"/>
        <w:rPr>
          <w:rFonts w:hint="eastAsia" w:ascii="仿宋_GB2312"/>
          <w:color w:val="auto"/>
          <w:highlight w:val="none"/>
          <w:lang w:val="en-US"/>
        </w:rPr>
      </w:pPr>
      <w:bookmarkStart w:id="59" w:name="_Toc165277259"/>
      <w:bookmarkStart w:id="60" w:name="_Toc67911620"/>
      <w:bookmarkStart w:id="61" w:name="_Toc67911619"/>
      <w:r>
        <w:rPr>
          <w:rFonts w:hint="eastAsia" w:ascii="仿宋_GB2312"/>
          <w:color w:val="auto"/>
          <w:highlight w:val="none"/>
          <w:lang w:val="en-US" w:eastAsia="zh-CN"/>
        </w:rPr>
        <w:t>1.</w:t>
      </w:r>
      <w:r>
        <w:rPr>
          <w:rFonts w:hint="eastAsia" w:ascii="仿宋_GB2312"/>
          <w:color w:val="auto"/>
          <w:highlight w:val="none"/>
          <w:lang w:eastAsia="zh-CN"/>
        </w:rPr>
        <w:t>项目时间压力过大，应急采购流程规范性有待完善。</w:t>
      </w:r>
      <w:r>
        <w:rPr>
          <w:rFonts w:hint="eastAsia" w:ascii="仿宋_GB2312"/>
          <w:color w:val="auto"/>
          <w:szCs w:val="28"/>
          <w:highlight w:val="none"/>
        </w:rPr>
        <w:t>项目从10月7日国家专家组论证到10月24日完成采购仅17天，</w:t>
      </w:r>
      <w:r>
        <w:rPr>
          <w:rFonts w:hint="eastAsia" w:ascii="仿宋_GB2312"/>
          <w:color w:val="auto"/>
          <w:szCs w:val="28"/>
          <w:highlight w:val="none"/>
          <w:lang w:eastAsia="zh-CN"/>
        </w:rPr>
        <w:t>紧急建设</w:t>
      </w:r>
      <w:r>
        <w:rPr>
          <w:rFonts w:hint="eastAsia" w:ascii="仿宋_GB2312"/>
          <w:color w:val="auto"/>
          <w:szCs w:val="28"/>
          <w:highlight w:val="none"/>
        </w:rPr>
        <w:t>流程可能压缩设备质量审查、</w:t>
      </w:r>
      <w:r>
        <w:rPr>
          <w:rFonts w:hint="eastAsia" w:ascii="仿宋_GB2312"/>
          <w:color w:val="auto"/>
          <w:highlight w:val="none"/>
          <w:lang w:val="en-US"/>
        </w:rPr>
        <w:t>供应商比选等关键环节，存在验收标准降低风险。特别是在疫情防控高压下，可能产生"重速度轻质量"倾向。</w:t>
      </w:r>
    </w:p>
    <w:p>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 xml:space="preserve">2.人员培训覆盖不全。血透方舱操作人员以临时抽调为主，部分人员对新设备操作及院感流程不熟悉，初期设备使用效率未达预期。  </w:t>
      </w:r>
    </w:p>
    <w:p>
      <w:pPr>
        <w:spacing w:line="360" w:lineRule="auto"/>
        <w:ind w:left="0" w:leftChars="0" w:firstLine="280" w:firstLineChars="100"/>
        <w:rPr>
          <w:rFonts w:hint="default" w:ascii="仿宋_GB2312"/>
          <w:color w:val="auto"/>
          <w:highlight w:val="none"/>
          <w:lang w:val="en-US" w:eastAsia="zh-CN"/>
        </w:rPr>
      </w:pPr>
      <w:r>
        <w:rPr>
          <w:rFonts w:hint="eastAsia" w:ascii="仿宋_GB2312"/>
          <w:color w:val="auto"/>
          <w:highlight w:val="none"/>
          <w:lang w:val="en-US" w:eastAsia="zh-CN"/>
        </w:rPr>
        <w:t xml:space="preserve"> 3.长期成本控制风险。特殊时期过后，设备利用率较低，维护成本高，持续性成本可能对医院的运营造成压力。</w:t>
      </w:r>
    </w:p>
    <w:p>
      <w:pPr>
        <w:pStyle w:val="2"/>
        <w:keepNext/>
        <w:keepLines/>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ascii="仿宋" w:hAnsi="仿宋" w:eastAsia="仿宋"/>
          <w:color w:val="auto"/>
          <w:sz w:val="36"/>
          <w:szCs w:val="36"/>
          <w:highlight w:val="none"/>
          <w:lang w:bidi="en-US"/>
        </w:rPr>
      </w:pPr>
      <w:r>
        <w:rPr>
          <w:rFonts w:hint="eastAsia" w:ascii="仿宋" w:hAnsi="仿宋" w:eastAsia="仿宋"/>
          <w:color w:val="auto"/>
          <w:sz w:val="36"/>
          <w:szCs w:val="36"/>
          <w:highlight w:val="none"/>
          <w:lang w:bidi="en-US"/>
        </w:rPr>
        <w:t>六、有关建议</w:t>
      </w:r>
      <w:bookmarkEnd w:id="59"/>
      <w:bookmarkEnd w:id="60"/>
    </w:p>
    <w:p>
      <w:pPr>
        <w:pStyle w:val="2"/>
        <w:keepNext/>
        <w:keepLines/>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_GB2312" w:hAnsi="Calibri" w:eastAsia="仿宋_GB2312" w:cs="黑体"/>
          <w:b w:val="0"/>
          <w:bCs w:val="0"/>
          <w:color w:val="auto"/>
          <w:kern w:val="2"/>
          <w:sz w:val="28"/>
          <w:szCs w:val="22"/>
          <w:highlight w:val="none"/>
          <w:lang w:val="en-US" w:eastAsia="zh-CN" w:bidi="ar-SA"/>
        </w:rPr>
      </w:pPr>
      <w:r>
        <w:rPr>
          <w:rFonts w:hint="eastAsia" w:ascii="仿宋" w:hAnsi="仿宋" w:eastAsia="仿宋"/>
          <w:color w:val="auto"/>
          <w:sz w:val="36"/>
          <w:szCs w:val="36"/>
          <w:highlight w:val="none"/>
          <w:lang w:val="en-US" w:eastAsia="zh-CN" w:bidi="en-US"/>
        </w:rPr>
        <w:t xml:space="preserve">  </w:t>
      </w:r>
      <w:r>
        <w:rPr>
          <w:rFonts w:hint="eastAsia" w:ascii="仿宋_GB2312" w:hAnsi="Calibri" w:eastAsia="仿宋_GB2312" w:cs="黑体"/>
          <w:b w:val="0"/>
          <w:bCs w:val="0"/>
          <w:color w:val="auto"/>
          <w:kern w:val="2"/>
          <w:sz w:val="28"/>
          <w:szCs w:val="22"/>
          <w:highlight w:val="none"/>
          <w:lang w:val="en-US" w:eastAsia="zh-CN" w:bidi="ar-SA"/>
        </w:rPr>
        <w:t>1.健全应急医疗设备管理机制。制定《公共卫生事件医疗设备应急采购指南》，明确“特事特办”与合规性平衡点，建立供应商动态评估库。</w:t>
      </w:r>
    </w:p>
    <w:p>
      <w:pPr>
        <w:rPr>
          <w:rFonts w:hint="eastAsia" w:ascii="仿宋_GB2312" w:hAnsi="Calibri" w:eastAsia="仿宋_GB2312" w:cs="黑体"/>
          <w:b w:val="0"/>
          <w:bCs w:val="0"/>
          <w:color w:val="auto"/>
          <w:kern w:val="2"/>
          <w:sz w:val="28"/>
          <w:szCs w:val="22"/>
          <w:highlight w:val="none"/>
          <w:lang w:val="en-US" w:eastAsia="zh-CN" w:bidi="ar-SA"/>
        </w:rPr>
      </w:pPr>
      <w:r>
        <w:rPr>
          <w:rFonts w:hint="eastAsia" w:ascii="仿宋_GB2312" w:hAnsi="Calibri" w:eastAsia="仿宋_GB2312" w:cs="黑体"/>
          <w:b w:val="0"/>
          <w:bCs w:val="0"/>
          <w:color w:val="auto"/>
          <w:kern w:val="2"/>
          <w:sz w:val="28"/>
          <w:szCs w:val="22"/>
          <w:highlight w:val="none"/>
          <w:lang w:val="en-US" w:eastAsia="zh-CN" w:bidi="ar-SA"/>
        </w:rPr>
        <w:t>2.强化人员能力建设。联合厂商开展分批次操作培训以及院感演练，建立技术骨干24小时响应机制。</w:t>
      </w:r>
    </w:p>
    <w:p>
      <w:pPr>
        <w:pStyle w:val="2"/>
        <w:keepNext/>
        <w:keepLines/>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Calibri" w:eastAsia="仿宋_GB2312" w:cs="黑体"/>
          <w:b w:val="0"/>
          <w:bCs w:val="0"/>
          <w:color w:val="auto"/>
          <w:kern w:val="2"/>
          <w:sz w:val="28"/>
          <w:szCs w:val="22"/>
          <w:highlight w:val="none"/>
          <w:lang w:val="en-US" w:eastAsia="zh-CN" w:bidi="ar-SA"/>
        </w:rPr>
      </w:pPr>
      <w:r>
        <w:rPr>
          <w:rFonts w:hint="eastAsia" w:ascii="仿宋_GB2312" w:hAnsi="Calibri" w:eastAsia="仿宋_GB2312" w:cs="黑体"/>
          <w:b w:val="0"/>
          <w:bCs w:val="0"/>
          <w:color w:val="auto"/>
          <w:kern w:val="2"/>
          <w:sz w:val="28"/>
          <w:szCs w:val="22"/>
          <w:highlight w:val="none"/>
          <w:lang w:val="en-US" w:eastAsia="zh-CN" w:bidi="ar-SA"/>
        </w:rPr>
        <w:t>3.建议持续优化运营管理，充分发挥设备效能。推动</w:t>
      </w:r>
      <w:r>
        <w:rPr>
          <w:rFonts w:hint="eastAsia" w:ascii="仿宋_GB2312" w:cs="黑体"/>
          <w:b w:val="0"/>
          <w:bCs w:val="0"/>
          <w:color w:val="auto"/>
          <w:kern w:val="2"/>
          <w:sz w:val="28"/>
          <w:szCs w:val="22"/>
          <w:highlight w:val="none"/>
          <w:lang w:val="en-US" w:eastAsia="zh-CN" w:bidi="ar-SA"/>
        </w:rPr>
        <w:t>平级结合模式转型，将其纳入日常血透治疗体系，制定相应的收费政策用以反哺运维成本。</w:t>
      </w:r>
    </w:p>
    <w:p>
      <w:pPr>
        <w:pStyle w:val="2"/>
        <w:ind w:firstLine="0" w:firstLineChars="0"/>
        <w:jc w:val="left"/>
        <w:rPr>
          <w:rFonts w:ascii="仿宋" w:hAnsi="仿宋" w:eastAsia="仿宋"/>
          <w:color w:val="auto"/>
          <w:sz w:val="36"/>
          <w:szCs w:val="36"/>
          <w:highlight w:val="none"/>
          <w:lang w:bidi="en-US"/>
        </w:rPr>
      </w:pPr>
      <w:bookmarkStart w:id="62" w:name="_Toc165277260"/>
      <w:r>
        <w:rPr>
          <w:rFonts w:hint="eastAsia" w:ascii="仿宋" w:hAnsi="仿宋" w:eastAsia="仿宋"/>
          <w:color w:val="auto"/>
          <w:sz w:val="36"/>
          <w:szCs w:val="36"/>
          <w:highlight w:val="none"/>
          <w:lang w:bidi="en-US"/>
        </w:rPr>
        <w:t>七、其他需要说明的问题</w:t>
      </w:r>
      <w:bookmarkEnd w:id="61"/>
      <w:bookmarkEnd w:id="62"/>
    </w:p>
    <w:p>
      <w:pPr>
        <w:spacing w:line="360" w:lineRule="auto"/>
        <w:ind w:firstLine="560"/>
        <w:rPr>
          <w:rFonts w:ascii="仿宋_GB2312"/>
          <w:color w:val="auto"/>
          <w:szCs w:val="28"/>
          <w:highlight w:val="none"/>
        </w:rPr>
      </w:pPr>
      <w:r>
        <w:rPr>
          <w:rFonts w:hint="eastAsia" w:ascii="仿宋_GB2312"/>
          <w:color w:val="auto"/>
          <w:szCs w:val="28"/>
          <w:highlight w:val="none"/>
        </w:rPr>
        <w:t>1</w:t>
      </w:r>
      <w:r>
        <w:rPr>
          <w:rFonts w:ascii="仿宋_GB2312"/>
          <w:color w:val="auto"/>
          <w:szCs w:val="28"/>
          <w:highlight w:val="none"/>
        </w:rPr>
        <w:t>.</w:t>
      </w:r>
      <w:r>
        <w:rPr>
          <w:rFonts w:hint="eastAsia" w:ascii="仿宋_GB2312"/>
          <w:color w:val="auto"/>
          <w:szCs w:val="28"/>
          <w:highlight w:val="none"/>
        </w:rPr>
        <w:t>项目支出政策和路径设计科学，项目严格遵循自治区疫情防控指挥部督导要求和区域疫情防控总体部署，紧密围绕新冠</w:t>
      </w:r>
      <w:r>
        <w:rPr>
          <w:rFonts w:hint="eastAsia" w:ascii="仿宋_GB2312"/>
          <w:color w:val="auto"/>
          <w:szCs w:val="28"/>
          <w:highlight w:val="none"/>
          <w:lang w:val="en-US" w:eastAsia="zh-CN"/>
        </w:rPr>
        <w:t>感染</w:t>
      </w:r>
      <w:r>
        <w:rPr>
          <w:rFonts w:hint="eastAsia" w:ascii="仿宋_GB2312"/>
          <w:color w:val="auto"/>
          <w:szCs w:val="28"/>
          <w:highlight w:val="none"/>
        </w:rPr>
        <w:t>患者救治中"多溶质治疗及肾功能衰竭"的临床刚需，结合本院收治能力缺口和专家组论证结论，针对性提出血透机设备补充需求，既符合《新型冠状病毒肺炎诊疗方案（试行第九版）》关于危重症患者多器官功能支持的治疗原则，也契合国家关于提升定点医院血液净化救治能力的政策导向，体现了疫情防控"平急结合"的战略要求；</w:t>
      </w:r>
    </w:p>
    <w:p>
      <w:pPr>
        <w:spacing w:line="360" w:lineRule="auto"/>
        <w:ind w:firstLine="560"/>
        <w:rPr>
          <w:rFonts w:ascii="仿宋_GB2312"/>
          <w:color w:val="auto"/>
          <w:szCs w:val="28"/>
          <w:highlight w:val="none"/>
        </w:rPr>
      </w:pPr>
      <w:r>
        <w:rPr>
          <w:rFonts w:hint="eastAsia" w:ascii="仿宋_GB2312"/>
          <w:color w:val="auto"/>
          <w:szCs w:val="28"/>
          <w:highlight w:val="none"/>
          <w:lang w:val="en-US" w:eastAsia="zh-CN"/>
        </w:rPr>
        <w:t>2.</w:t>
      </w:r>
      <w:r>
        <w:rPr>
          <w:rFonts w:hint="eastAsia" w:ascii="仿宋_GB2312"/>
          <w:color w:val="auto"/>
          <w:szCs w:val="28"/>
          <w:highlight w:val="none"/>
        </w:rPr>
        <w:t>未发现虚假行为和骗取财政资金的问题。</w:t>
      </w:r>
      <w:r>
        <w:rPr>
          <w:rFonts w:hint="eastAsia" w:ascii="仿宋_GB2312"/>
          <w:color w:val="auto"/>
          <w:szCs w:val="28"/>
          <w:highlight w:val="none"/>
          <w:lang w:eastAsia="zh-CN"/>
        </w:rPr>
        <w:t>财务部门在项目实行过程中，严格对照预算科目审核资金流向，杜绝资金挪用。主动接受上级主管部门、纪检监察以及外部审计的检查，确保资金使用的规范性。</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0008009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0806310"/>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602732"/>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19"/>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NmE5YTUwMTVmODdiYjcwYzMxNWRlMzE4ZDI4ZjUifQ=="/>
  </w:docVars>
  <w:rsids>
    <w:rsidRoot w:val="00000000"/>
    <w:rsid w:val="24206D2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Body Text"/>
    <w:basedOn w:val="1"/>
    <w:semiHidden/>
    <w:unhideWhenUsed/>
    <w:qFormat/>
    <w:uiPriority w:val="99"/>
    <w:pPr>
      <w:keepNext w:val="0"/>
      <w:keepLines w:val="0"/>
      <w:widowControl w:val="0"/>
      <w:suppressLineNumbers w:val="0"/>
      <w:spacing w:before="0" w:beforeAutospacing="0" w:after="0" w:afterAutospacing="0"/>
      <w:ind w:left="0" w:right="0" w:firstLine="600" w:firstLineChars="200"/>
      <w:jc w:val="both"/>
    </w:pPr>
    <w:rPr>
      <w:rFonts w:hint="eastAsia" w:ascii="宋体" w:hAnsi="宋体" w:eastAsia="宋体" w:cs="宋体"/>
      <w:kern w:val="2"/>
      <w:sz w:val="20"/>
      <w:szCs w:val="20"/>
      <w:lang w:val="en-US" w:eastAsia="zh-CN"/>
    </w:r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rPr>
      <w:sz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footnote reference"/>
    <w:basedOn w:val="17"/>
    <w:semiHidden/>
    <w:unhideWhenUsed/>
    <w:qFormat/>
    <w:uiPriority w:val="99"/>
    <w:rPr>
      <w:vertAlign w:val="superscript"/>
    </w:rPr>
  </w:style>
  <w:style w:type="paragraph" w:customStyle="1" w:styleId="20">
    <w:name w:val="Comment Text"/>
    <w:basedOn w:val="1"/>
    <w:link w:val="32"/>
    <w:unhideWhenUsed/>
    <w:qFormat/>
    <w:uiPriority w:val="99"/>
    <w:pPr>
      <w:jc w:val="left"/>
    </w:pPr>
  </w:style>
  <w:style w:type="paragraph" w:customStyle="1" w:styleId="21">
    <w:name w:val="Comment Subject"/>
    <w:basedOn w:val="20"/>
    <w:next w:val="20"/>
    <w:link w:val="33"/>
    <w:semiHidden/>
    <w:unhideWhenUsed/>
    <w:qFormat/>
    <w:uiPriority w:val="99"/>
    <w:rPr>
      <w:b/>
      <w:bCs/>
    </w:rPr>
  </w:style>
  <w:style w:type="character" w:customStyle="1" w:styleId="22">
    <w:name w:val="Comment Reference"/>
    <w:basedOn w:val="17"/>
    <w:semiHidden/>
    <w:unhideWhenUsed/>
    <w:qFormat/>
    <w:uiPriority w:val="99"/>
    <w:rPr>
      <w:sz w:val="21"/>
      <w:szCs w:val="21"/>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日期 Char"/>
    <w:basedOn w:val="17"/>
    <w:link w:val="7"/>
    <w:semiHidden/>
    <w:qFormat/>
    <w:uiPriority w:val="99"/>
    <w:rPr>
      <w:rFonts w:ascii="Calibri" w:hAnsi="Calibri" w:eastAsia="仿宋_GB2312" w:cs="黑体"/>
      <w:sz w:val="28"/>
    </w:rPr>
  </w:style>
  <w:style w:type="character" w:customStyle="1" w:styleId="26">
    <w:name w:val="标题 2 Char"/>
    <w:basedOn w:val="17"/>
    <w:link w:val="3"/>
    <w:qFormat/>
    <w:uiPriority w:val="9"/>
    <w:rPr>
      <w:rFonts w:asciiTheme="majorHAnsi" w:hAnsiTheme="majorHAnsi" w:eastAsiaTheme="majorEastAsia" w:cstheme="majorBidi"/>
      <w:b/>
      <w:bCs/>
      <w:sz w:val="32"/>
      <w:szCs w:val="32"/>
    </w:rPr>
  </w:style>
  <w:style w:type="character" w:customStyle="1" w:styleId="27">
    <w:name w:val="脚注文本 Char"/>
    <w:basedOn w:val="17"/>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7"/>
    <w:link w:val="2"/>
    <w:qFormat/>
    <w:uiPriority w:val="9"/>
    <w:rPr>
      <w:rFonts w:ascii="Calibri" w:hAnsi="Calibri" w:eastAsia="仿宋_GB2312" w:cs="黑体"/>
      <w:b/>
      <w:bCs/>
      <w:kern w:val="44"/>
      <w:sz w:val="44"/>
      <w:szCs w:val="44"/>
    </w:rPr>
  </w:style>
  <w:style w:type="paragraph" w:customStyle="1" w:styleId="31">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7"/>
    <w:link w:val="20"/>
    <w:qFormat/>
    <w:uiPriority w:val="99"/>
    <w:rPr>
      <w:rFonts w:ascii="Calibri" w:hAnsi="Calibri" w:eastAsia="仿宋_GB2312" w:cs="黑体"/>
      <w:sz w:val="28"/>
    </w:rPr>
  </w:style>
  <w:style w:type="character" w:customStyle="1" w:styleId="33">
    <w:name w:val="批注主题 Char"/>
    <w:basedOn w:val="32"/>
    <w:link w:val="21"/>
    <w:semiHidden/>
    <w:qFormat/>
    <w:uiPriority w:val="99"/>
    <w:rPr>
      <w:rFonts w:ascii="Calibri" w:hAnsi="Calibri" w:eastAsia="仿宋_GB2312" w:cs="黑体"/>
      <w:b/>
      <w:bCs/>
      <w:sz w:val="28"/>
    </w:rPr>
  </w:style>
  <w:style w:type="character" w:customStyle="1" w:styleId="34">
    <w:name w:val="批注框文本 Char"/>
    <w:basedOn w:val="17"/>
    <w:link w:val="8"/>
    <w:semiHidden/>
    <w:qFormat/>
    <w:uiPriority w:val="99"/>
    <w:rPr>
      <w:rFonts w:ascii="Calibri" w:hAnsi="Calibri" w:eastAsia="仿宋_GB2312" w:cs="黑体"/>
      <w:sz w:val="18"/>
      <w:szCs w:val="18"/>
    </w:rPr>
  </w:style>
  <w:style w:type="character" w:customStyle="1" w:styleId="35">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Version="6" SelectedStyle="\APASixthEditionOfficeOnline.xsl" StyleName="APA"/>
</file>

<file path=customXml/item2.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eyJoZGlkIjoiYzYzODQ0Mjk2MGUzMjIwMTU3MmM0NjMzMmM2ODE2NzMiLCJ1c2VySWQiOiI0NzcyNTU4MzUifQ==</vt:lpwstr>
  </property>
  <property fmtid="{D5CDD505-2E9C-101B-9397-08002B2CF9AE}" pid="3" name="KSOProductBuildVer">
    <vt:lpwstr>2052-11.1.0.14309</vt:lpwstr>
  </property>
  <property fmtid="{D5CDD505-2E9C-101B-9397-08002B2CF9AE}" pid="4" name="ICV">
    <vt:lpwstr>C7466C1F736B49F6B9DC28D0D7D17B05_13</vt:lpwstr>
  </property>
</Properties>
</file>

<file path=customXml/itemProps1.xml><?xml version="1.0" encoding="utf-8"?>
<ds:datastoreItem xmlns:ds="http://schemas.openxmlformats.org/officeDocument/2006/customXml" ds:itemID="{4DDC64C6-6D82-4509-A38E-7086C5C6E9CC}">
  <ds:schemaRefs/>
</ds:datastoreItem>
</file>

<file path=customXml/itemProps2.xml><?xml version="1.0" encoding="utf-8"?>
<ds:datastoreItem xmlns:ds="http://schemas.openxmlformats.org/officeDocument/2006/customXml" ds:itemID="{546d0da0-9e1c-41c0-81ab-5493e2350295}">
  <ds:schemaRefs/>
</ds:datastoreItem>
</file>

<file path=docProps/app.xml><?xml version="1.0" encoding="utf-8"?>
<Properties xmlns="http://schemas.openxmlformats.org/officeDocument/2006/extended-properties" xmlns:vt="http://schemas.openxmlformats.org/officeDocument/2006/docPropsVTypes">
  <Pages>33</Pages>
  <Words>14583</Words>
  <Characters>15559</Characters>
  <Lines>1</Lines>
  <Paragraphs>1</Paragraphs>
  <TotalTime>102</TotalTime>
  <ScaleCrop>false</ScaleCrop>
  <LinksUpToDate>false</LinksUpToDate>
  <CharactersWithSpaces>15724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2024-04-14T15:46:00Z</dcterms:created>
  <dc:creator>张 宇</dc:creator>
  <cp:lastModifiedBy>旋儿丫头</cp:lastModifiedBy>
  <cp:lastPrinted>2023-04-13T10:57:00Z</cp:lastPrinted>
  <dcterms:modified xsi:type="dcterms:W3CDTF">2025-09-25T07:55:17Z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eyJoZGlkIjoiYzYzODQ0Mjk2MGUzMjIwMTU3MmM0NjMzMmM2ODE2NzMiLCJ1c2VySWQiOiI0NzcyNTU4MzUifQ_x003D__x003D_</vt:lpwstr>
  </property>
  <property fmtid="{D5CDD505-2E9C-101B-9397-08002B2CF9AE}" pid="3" name="KSOProductBuildVer">
    <vt:lpwstr>2052-11.1.0.14309</vt:lpwstr>
  </property>
  <property fmtid="{D5CDD505-2E9C-101B-9397-08002B2CF9AE}" pid="4" name="ICV">
    <vt:lpwstr>C7466C1F736B49F6B9DC28D0D7D17B05_13</vt:lpwstr>
  </property>
</Properties>
</file>