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80" w:lineRule="auto"/>
        <w:ind w:firstLine="0" w:firstLineChars="0"/>
        <w:rPr>
          <w:rFonts w:ascii="Times New Roman" w:hAnsi="Times New Roman" w:eastAsia="黑体" w:cs="Times New Roman"/>
          <w:b/>
          <w:color w:val="000000"/>
          <w:kern w:val="0"/>
          <w:sz w:val="50"/>
          <w:szCs w:val="50"/>
          <w:highlight w:val="none"/>
          <w:lang w:bidi="en-US"/>
        </w:rPr>
      </w:pPr>
      <w:bookmarkStart w:id="63" w:name="_GoBack"/>
    </w:p>
    <w:p>
      <w:pPr>
        <w:spacing w:line="480" w:lineRule="auto"/>
        <w:ind w:firstLine="0" w:firstLineChars="0"/>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before="120" w:after="120" w:line="480" w:lineRule="auto"/>
        <w:ind w:firstLine="0" w:firstLineChars="0"/>
        <w:jc w:val="center"/>
        <w:rPr>
          <w:rFonts w:ascii="仿宋_GB2312" w:hAnsi="Arial"/>
          <w:b/>
          <w:color w:val="000000"/>
          <w:sz w:val="44"/>
          <w:szCs w:val="44"/>
          <w:highlight w:val="none"/>
        </w:rPr>
      </w:pPr>
      <w:r>
        <w:rPr>
          <w:rFonts w:hint="eastAsia" w:ascii="仿宋_GB2312" w:hAnsi="Arial"/>
          <w:b/>
          <w:color w:val="000000"/>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仿宋_GB2312" w:hAnsi="Times New Roman" w:cs="Times New Roman"/>
          <w:color w:val="000000"/>
          <w:kern w:val="0"/>
          <w:sz w:val="30"/>
          <w:szCs w:val="30"/>
          <w:highlight w:val="none"/>
          <w:lang w:bidi="en-US"/>
        </w:rPr>
      </w:pPr>
    </w:p>
    <w:p>
      <w:pPr>
        <w:spacing w:line="480" w:lineRule="auto"/>
        <w:ind w:firstLine="1411" w:firstLineChars="441"/>
        <w:jc w:val="left"/>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项目名称：关于拨付市中医院中医药制剂室2020年重点审专项资金的通知</w:t>
      </w:r>
    </w:p>
    <w:p>
      <w:pPr>
        <w:spacing w:line="480" w:lineRule="auto"/>
        <w:ind w:left="280" w:leftChars="100" w:firstLine="1091" w:firstLineChars="341"/>
        <w:jc w:val="left"/>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项目单位：乌鲁木齐市中医医院</w:t>
      </w:r>
    </w:p>
    <w:p>
      <w:pPr>
        <w:spacing w:line="480" w:lineRule="auto"/>
        <w:ind w:firstLine="1280" w:firstLineChars="400"/>
        <w:rPr>
          <w:rFonts w:ascii="黑体" w:hAnsi="Times New Roman" w:cs="Times New Roman"/>
          <w:b/>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主管部门：乌鲁木齐市卫生健康委员会</w:t>
      </w:r>
    </w:p>
    <w:p>
      <w:pPr>
        <w:spacing w:line="480" w:lineRule="auto"/>
        <w:ind w:firstLine="0" w:firstLineChars="0"/>
        <w:rPr>
          <w:rFonts w:ascii="黑体" w:hAnsi="Times New Roman" w:eastAsia="黑体" w:cs="Times New Roman"/>
          <w:b/>
          <w:color w:val="000000"/>
          <w:kern w:val="0"/>
          <w:sz w:val="32"/>
          <w:szCs w:val="32"/>
          <w:highlight w:val="none"/>
          <w:lang w:bidi="en-US"/>
        </w:rPr>
      </w:pPr>
    </w:p>
    <w:p>
      <w:pPr>
        <w:spacing w:line="480" w:lineRule="auto"/>
        <w:ind w:firstLine="0" w:firstLineChars="0"/>
        <w:jc w:val="center"/>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eastAsia="zh-CN" w:bidi="en-US"/>
        </w:rPr>
        <w:t>2025年5月</w:t>
      </w:r>
    </w:p>
    <w:p>
      <w:pPr>
        <w:spacing w:line="480" w:lineRule="auto"/>
        <w:ind w:firstLine="0" w:firstLineChars="0"/>
        <w:jc w:val="center"/>
        <w:rPr>
          <w:rFonts w:ascii="仿宋_GB2312" w:hAnsi="Times New Roman" w:cs="Times New Roman"/>
          <w:color w:val="000000"/>
          <w:kern w:val="0"/>
          <w:sz w:val="32"/>
          <w:szCs w:val="32"/>
          <w:highlight w:val="none"/>
          <w:lang w:bidi="en-US"/>
        </w:rPr>
      </w:pPr>
    </w:p>
    <w:p>
      <w:pPr>
        <w:tabs>
          <w:tab w:val="left" w:pos="3324"/>
        </w:tabs>
        <w:spacing w:line="480" w:lineRule="auto"/>
        <w:ind w:firstLine="0" w:firstLineChars="0"/>
        <w:rPr>
          <w:rFonts w:ascii="仿宋_GB2312" w:hAnsi="Times New Roman" w:cs="Times New Roman"/>
          <w:color w:val="000000"/>
          <w:kern w:val="0"/>
          <w:sz w:val="32"/>
          <w:szCs w:val="32"/>
          <w:highlight w:val="none"/>
          <w:lang w:bidi="en-US"/>
        </w:rPr>
      </w:pPr>
      <w:r>
        <w:rPr>
          <w:rFonts w:ascii="仿宋_GB2312" w:hAnsi="Times New Roman" w:cs="Times New Roman"/>
          <w:color w:val="000000"/>
          <w:kern w:val="0"/>
          <w:sz w:val="32"/>
          <w:szCs w:val="32"/>
          <w:highlight w:val="none"/>
          <w:lang w:bidi="en-US"/>
        </w:rPr>
        <w:tab/>
      </w:r>
    </w:p>
    <w:p>
      <w:pPr>
        <w:ind w:firstLine="640"/>
        <w:rPr>
          <w:rFonts w:ascii="仿宋_GB2312" w:hAnsi="Times New Roman" w:cs="Times New Roman"/>
          <w:color w:val="000000"/>
          <w:kern w:val="0"/>
          <w:sz w:val="32"/>
          <w:szCs w:val="32"/>
          <w:highlight w:val="none"/>
          <w:lang w:bidi="en-US"/>
        </w:rPr>
      </w:pPr>
    </w:p>
    <w:p>
      <w:pPr>
        <w:pStyle w:val="20"/>
        <w:ind w:firstLine="560"/>
        <w:jc w:val="center"/>
        <w:rPr>
          <w:color w:val="000000"/>
          <w:highlight w:val="none"/>
        </w:rPr>
      </w:pPr>
      <w:r>
        <w:rPr>
          <w:color w:val="000000"/>
          <w:highlight w:val="none"/>
          <w:lang w:val="zh-CN"/>
        </w:rPr>
        <w:t>目录</w:t>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TOC \o "1-3" \h \z \u </w:instrText>
      </w:r>
      <w:r>
        <w:rPr>
          <w:color w:val="000000"/>
          <w:highlight w:val="none"/>
        </w:rPr>
        <w:fldChar w:fldCharType="separate"/>
      </w:r>
      <w:r>
        <w:rPr>
          <w:color w:val="000000"/>
          <w:highlight w:val="none"/>
        </w:rPr>
        <w:fldChar w:fldCharType="begin"/>
      </w:r>
      <w:r>
        <w:rPr>
          <w:color w:val="000000"/>
          <w:highlight w:val="none"/>
        </w:rPr>
        <w:instrText xml:space="preserve">HYPERLINK  \l "_Toc198307123" </w:instrText>
      </w:r>
      <w:r>
        <w:rPr>
          <w:color w:val="000000"/>
          <w:highlight w:val="none"/>
        </w:rPr>
        <w:fldChar w:fldCharType="separate"/>
      </w:r>
      <w:r>
        <w:rPr>
          <w:rStyle w:val="16"/>
          <w:rFonts w:hint="eastAsia" w:ascii="仿宋" w:hAnsi="仿宋" w:eastAsia="仿宋"/>
          <w:color w:val="000000"/>
          <w:highlight w:val="none"/>
          <w:lang w:bidi="en-US"/>
        </w:rPr>
        <w:t>一、基本情况</w:t>
      </w:r>
      <w:r>
        <w:rPr>
          <w:color w:val="000000"/>
          <w:highlight w:val="none"/>
        </w:rPr>
        <w:tab/>
      </w:r>
      <w:r>
        <w:rPr>
          <w:color w:val="000000"/>
          <w:highlight w:val="none"/>
        </w:rPr>
        <w:fldChar w:fldCharType="begin"/>
      </w:r>
      <w:r>
        <w:rPr>
          <w:color w:val="000000"/>
          <w:highlight w:val="none"/>
        </w:rPr>
        <w:instrText xml:space="preserve"> PAGEREF _Toc198307123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"_Toc198307124" </w:instrText>
      </w:r>
      <w:r>
        <w:rPr>
          <w:color w:val="000000"/>
          <w:highlight w:val="none"/>
        </w:rPr>
        <w:fldChar w:fldCharType="separate"/>
      </w:r>
      <w:r>
        <w:rPr>
          <w:rStyle w:val="16"/>
          <w:rFonts w:hint="eastAsia" w:ascii="仿宋" w:hAnsi="仿宋" w:eastAsia="仿宋"/>
          <w:color w:val="000000"/>
          <w:highlight w:val="none"/>
          <w:lang w:bidi="en-US"/>
        </w:rPr>
        <w:t>（一）项目概况：</w:t>
      </w:r>
      <w:r>
        <w:rPr>
          <w:color w:val="000000"/>
          <w:highlight w:val="none"/>
        </w:rPr>
        <w:tab/>
      </w:r>
      <w:r>
        <w:rPr>
          <w:color w:val="000000"/>
          <w:highlight w:val="none"/>
        </w:rPr>
        <w:fldChar w:fldCharType="begin"/>
      </w:r>
      <w:r>
        <w:rPr>
          <w:color w:val="000000"/>
          <w:highlight w:val="none"/>
        </w:rPr>
        <w:instrText xml:space="preserve"> PAGEREF _Toc198307124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"_Toc198307125" </w:instrText>
      </w:r>
      <w:r>
        <w:rPr>
          <w:color w:val="000000"/>
          <w:highlight w:val="none"/>
        </w:rPr>
        <w:fldChar w:fldCharType="separate"/>
      </w:r>
      <w:r>
        <w:rPr>
          <w:rStyle w:val="16"/>
          <w:color w:val="000000"/>
          <w:highlight w:val="none"/>
        </w:rPr>
        <w:t>1</w:t>
      </w:r>
      <w:r>
        <w:rPr>
          <w:rStyle w:val="16"/>
          <w:rFonts w:hint="eastAsia"/>
          <w:color w:val="000000"/>
          <w:highlight w:val="none"/>
        </w:rPr>
        <w:t>．项目背景、主要内容及实施情况</w:t>
      </w:r>
      <w:r>
        <w:rPr>
          <w:color w:val="000000"/>
          <w:highlight w:val="none"/>
        </w:rPr>
        <w:tab/>
      </w:r>
      <w:r>
        <w:rPr>
          <w:color w:val="000000"/>
          <w:highlight w:val="none"/>
        </w:rPr>
        <w:fldChar w:fldCharType="begin"/>
      </w:r>
      <w:r>
        <w:rPr>
          <w:color w:val="000000"/>
          <w:highlight w:val="none"/>
        </w:rPr>
        <w:instrText xml:space="preserve"> PAGEREF _Toc198307125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"_Toc198307126" </w:instrText>
      </w:r>
      <w:r>
        <w:rPr>
          <w:color w:val="000000"/>
          <w:highlight w:val="none"/>
        </w:rPr>
        <w:fldChar w:fldCharType="separate"/>
      </w:r>
      <w:r>
        <w:rPr>
          <w:rStyle w:val="16"/>
          <w:color w:val="000000"/>
          <w:highlight w:val="none"/>
        </w:rPr>
        <w:t>2.</w:t>
      </w:r>
      <w:r>
        <w:rPr>
          <w:rStyle w:val="16"/>
          <w:rFonts w:hint="eastAsia"/>
          <w:color w:val="000000"/>
          <w:highlight w:val="none"/>
        </w:rPr>
        <w:t>资金投入和使用情况</w:t>
      </w:r>
      <w:r>
        <w:rPr>
          <w:color w:val="000000"/>
          <w:highlight w:val="none"/>
        </w:rPr>
        <w:tab/>
      </w:r>
      <w:r>
        <w:rPr>
          <w:color w:val="000000"/>
          <w:highlight w:val="none"/>
        </w:rPr>
        <w:fldChar w:fldCharType="begin"/>
      </w:r>
      <w:r>
        <w:rPr>
          <w:color w:val="000000"/>
          <w:highlight w:val="none"/>
        </w:rPr>
        <w:instrText xml:space="preserve"> PAGEREF _Toc198307126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"_Toc198307127" </w:instrText>
      </w:r>
      <w:r>
        <w:rPr>
          <w:color w:val="000000"/>
          <w:highlight w:val="none"/>
        </w:rPr>
        <w:fldChar w:fldCharType="separate"/>
      </w:r>
      <w:r>
        <w:rPr>
          <w:rStyle w:val="16"/>
          <w:rFonts w:hint="eastAsia" w:ascii="仿宋" w:hAnsi="仿宋" w:eastAsia="仿宋"/>
          <w:color w:val="000000"/>
          <w:highlight w:val="none"/>
          <w:lang w:bidi="en-US"/>
        </w:rPr>
        <w:t>（二）项目绩效目标：</w:t>
      </w:r>
      <w:r>
        <w:rPr>
          <w:color w:val="000000"/>
          <w:highlight w:val="none"/>
        </w:rPr>
        <w:tab/>
      </w:r>
      <w:r>
        <w:rPr>
          <w:color w:val="000000"/>
          <w:highlight w:val="none"/>
        </w:rPr>
        <w:fldChar w:fldCharType="begin"/>
      </w:r>
      <w:r>
        <w:rPr>
          <w:color w:val="000000"/>
          <w:highlight w:val="none"/>
        </w:rPr>
        <w:instrText xml:space="preserve"> PAGEREF _Toc198307127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"_Toc198307128" </w:instrText>
      </w:r>
      <w:r>
        <w:rPr>
          <w:color w:val="000000"/>
          <w:highlight w:val="none"/>
        </w:rPr>
        <w:fldChar w:fldCharType="separate"/>
      </w:r>
      <w:r>
        <w:rPr>
          <w:rStyle w:val="16"/>
          <w:rFonts w:hint="eastAsia" w:ascii="仿宋" w:hAnsi="仿宋" w:eastAsia="仿宋"/>
          <w:color w:val="000000"/>
          <w:highlight w:val="none"/>
          <w:lang w:bidi="en-US"/>
        </w:rPr>
        <w:t>二、绩效评价工作开展情况</w:t>
      </w:r>
      <w:r>
        <w:rPr>
          <w:color w:val="000000"/>
          <w:highlight w:val="none"/>
        </w:rPr>
        <w:tab/>
      </w:r>
      <w:r>
        <w:rPr>
          <w:color w:val="000000"/>
          <w:highlight w:val="none"/>
        </w:rPr>
        <w:fldChar w:fldCharType="begin"/>
      </w:r>
      <w:r>
        <w:rPr>
          <w:color w:val="000000"/>
          <w:highlight w:val="none"/>
        </w:rPr>
        <w:instrText xml:space="preserve"> PAGEREF _Toc198307128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"_Toc198307129" </w:instrText>
      </w:r>
      <w:r>
        <w:rPr>
          <w:color w:val="000000"/>
          <w:highlight w:val="none"/>
        </w:rPr>
        <w:fldChar w:fldCharType="separate"/>
      </w:r>
      <w:r>
        <w:rPr>
          <w:rStyle w:val="16"/>
          <w:rFonts w:hint="eastAsia" w:ascii="仿宋" w:hAnsi="仿宋" w:eastAsia="仿宋"/>
          <w:color w:val="000000"/>
          <w:highlight w:val="none"/>
          <w:lang w:bidi="en-US"/>
        </w:rPr>
        <w:t>（一）绩效评价目的、对象和范围</w:t>
      </w:r>
      <w:r>
        <w:rPr>
          <w:color w:val="000000"/>
          <w:highlight w:val="none"/>
        </w:rPr>
        <w:tab/>
      </w:r>
      <w:r>
        <w:rPr>
          <w:color w:val="000000"/>
          <w:highlight w:val="none"/>
        </w:rPr>
        <w:fldChar w:fldCharType="begin"/>
      </w:r>
      <w:r>
        <w:rPr>
          <w:color w:val="000000"/>
          <w:highlight w:val="none"/>
        </w:rPr>
        <w:instrText xml:space="preserve"> PAGEREF _Toc198307129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"_Toc198307130" </w:instrText>
      </w:r>
      <w:r>
        <w:rPr>
          <w:color w:val="000000"/>
          <w:highlight w:val="none"/>
        </w:rPr>
        <w:fldChar w:fldCharType="separate"/>
      </w:r>
      <w:r>
        <w:rPr>
          <w:rStyle w:val="16"/>
          <w:color w:val="000000"/>
          <w:highlight w:val="none"/>
        </w:rPr>
        <w:t>1.</w:t>
      </w:r>
      <w:r>
        <w:rPr>
          <w:rStyle w:val="16"/>
          <w:rFonts w:hint="eastAsia"/>
          <w:color w:val="000000"/>
          <w:highlight w:val="none"/>
        </w:rPr>
        <w:t>绩效评价完整性</w:t>
      </w:r>
      <w:r>
        <w:rPr>
          <w:color w:val="000000"/>
          <w:highlight w:val="none"/>
        </w:rPr>
        <w:tab/>
      </w:r>
      <w:r>
        <w:rPr>
          <w:color w:val="000000"/>
          <w:highlight w:val="none"/>
        </w:rPr>
        <w:fldChar w:fldCharType="begin"/>
      </w:r>
      <w:r>
        <w:rPr>
          <w:color w:val="000000"/>
          <w:highlight w:val="none"/>
        </w:rPr>
        <w:instrText xml:space="preserve"> PAGEREF _Toc198307130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"_Toc198307131" </w:instrText>
      </w:r>
      <w:r>
        <w:rPr>
          <w:color w:val="000000"/>
          <w:highlight w:val="none"/>
        </w:rPr>
        <w:fldChar w:fldCharType="separate"/>
      </w:r>
      <w:r>
        <w:rPr>
          <w:rStyle w:val="16"/>
          <w:color w:val="000000"/>
          <w:highlight w:val="none"/>
        </w:rPr>
        <w:t>2.</w:t>
      </w:r>
      <w:r>
        <w:rPr>
          <w:rStyle w:val="16"/>
          <w:rFonts w:hint="eastAsia"/>
          <w:color w:val="000000"/>
          <w:highlight w:val="none"/>
        </w:rPr>
        <w:t>评价目的</w:t>
      </w:r>
      <w:r>
        <w:rPr>
          <w:color w:val="000000"/>
          <w:highlight w:val="none"/>
        </w:rPr>
        <w:tab/>
      </w:r>
      <w:r>
        <w:rPr>
          <w:color w:val="000000"/>
          <w:highlight w:val="none"/>
        </w:rPr>
        <w:fldChar w:fldCharType="begin"/>
      </w:r>
      <w:r>
        <w:rPr>
          <w:color w:val="000000"/>
          <w:highlight w:val="none"/>
        </w:rPr>
        <w:instrText xml:space="preserve"> PAGEREF _Toc198307131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"_Toc198307132" </w:instrText>
      </w:r>
      <w:r>
        <w:rPr>
          <w:color w:val="000000"/>
          <w:highlight w:val="none"/>
        </w:rPr>
        <w:fldChar w:fldCharType="separate"/>
      </w:r>
      <w:r>
        <w:rPr>
          <w:rStyle w:val="16"/>
          <w:color w:val="000000"/>
          <w:highlight w:val="none"/>
        </w:rPr>
        <w:t>3.</w:t>
      </w:r>
      <w:r>
        <w:rPr>
          <w:rStyle w:val="16"/>
          <w:rFonts w:hint="eastAsia"/>
          <w:color w:val="000000"/>
          <w:highlight w:val="none"/>
        </w:rPr>
        <w:t>评价对象</w:t>
      </w:r>
      <w:r>
        <w:rPr>
          <w:color w:val="000000"/>
          <w:highlight w:val="none"/>
        </w:rPr>
        <w:tab/>
      </w:r>
      <w:r>
        <w:rPr>
          <w:color w:val="000000"/>
          <w:highlight w:val="none"/>
        </w:rPr>
        <w:fldChar w:fldCharType="begin"/>
      </w:r>
      <w:r>
        <w:rPr>
          <w:color w:val="000000"/>
          <w:highlight w:val="none"/>
        </w:rPr>
        <w:instrText xml:space="preserve"> PAGEREF _Toc198307132 \h </w:instrText>
      </w:r>
      <w:r>
        <w:rPr>
          <w:color w:val="000000"/>
          <w:highlight w:val="none"/>
        </w:rPr>
        <w:fldChar w:fldCharType="separate"/>
      </w:r>
      <w:r>
        <w:rPr>
          <w:color w:val="000000"/>
          <w:highlight w:val="none"/>
        </w:rPr>
        <w:t>5</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"_Toc198307133" </w:instrText>
      </w:r>
      <w:r>
        <w:rPr>
          <w:color w:val="000000"/>
          <w:highlight w:val="none"/>
        </w:rPr>
        <w:fldChar w:fldCharType="separate"/>
      </w:r>
      <w:r>
        <w:rPr>
          <w:rStyle w:val="16"/>
          <w:color w:val="000000"/>
          <w:highlight w:val="none"/>
        </w:rPr>
        <w:t>4.</w:t>
      </w:r>
      <w:r>
        <w:rPr>
          <w:rStyle w:val="16"/>
          <w:rFonts w:hint="eastAsia"/>
          <w:color w:val="000000"/>
          <w:highlight w:val="none"/>
        </w:rPr>
        <w:t>绩效评价范围</w:t>
      </w:r>
      <w:r>
        <w:rPr>
          <w:color w:val="000000"/>
          <w:highlight w:val="none"/>
        </w:rPr>
        <w:tab/>
      </w:r>
      <w:r>
        <w:rPr>
          <w:color w:val="000000"/>
          <w:highlight w:val="none"/>
        </w:rPr>
        <w:fldChar w:fldCharType="begin"/>
      </w:r>
      <w:r>
        <w:rPr>
          <w:color w:val="000000"/>
          <w:highlight w:val="none"/>
        </w:rPr>
        <w:instrText xml:space="preserve"> PAGEREF _Toc198307133 \h </w:instrText>
      </w:r>
      <w:r>
        <w:rPr>
          <w:color w:val="000000"/>
          <w:highlight w:val="none"/>
        </w:rPr>
        <w:fldChar w:fldCharType="separate"/>
      </w:r>
      <w:r>
        <w:rPr>
          <w:color w:val="000000"/>
          <w:highlight w:val="none"/>
        </w:rPr>
        <w:t>5</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"_Toc198307134" </w:instrText>
      </w:r>
      <w:r>
        <w:rPr>
          <w:color w:val="000000"/>
          <w:highlight w:val="none"/>
        </w:rPr>
        <w:fldChar w:fldCharType="separate"/>
      </w:r>
      <w:r>
        <w:rPr>
          <w:rStyle w:val="16"/>
          <w:rFonts w:hint="eastAsia" w:ascii="仿宋" w:hAnsi="仿宋" w:eastAsia="仿宋"/>
          <w:color w:val="000000"/>
          <w:highlight w:val="none"/>
          <w:lang w:bidi="en-US"/>
        </w:rPr>
        <w:t>（二）绩效评价原则、指标体系、方法及标准</w:t>
      </w:r>
      <w:r>
        <w:rPr>
          <w:color w:val="000000"/>
          <w:highlight w:val="none"/>
        </w:rPr>
        <w:tab/>
      </w:r>
      <w:r>
        <w:rPr>
          <w:color w:val="000000"/>
          <w:highlight w:val="none"/>
        </w:rPr>
        <w:fldChar w:fldCharType="begin"/>
      </w:r>
      <w:r>
        <w:rPr>
          <w:color w:val="000000"/>
          <w:highlight w:val="none"/>
        </w:rPr>
        <w:instrText xml:space="preserve"> PAGEREF _Toc198307134 \h </w:instrText>
      </w:r>
      <w:r>
        <w:rPr>
          <w:color w:val="000000"/>
          <w:highlight w:val="none"/>
        </w:rPr>
        <w:fldChar w:fldCharType="separate"/>
      </w:r>
      <w:r>
        <w:rPr>
          <w:color w:val="000000"/>
          <w:highlight w:val="none"/>
        </w:rPr>
        <w:t>6</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"_Toc198307135" </w:instrText>
      </w:r>
      <w:r>
        <w:rPr>
          <w:color w:val="000000"/>
          <w:highlight w:val="none"/>
        </w:rPr>
        <w:fldChar w:fldCharType="separate"/>
      </w:r>
      <w:r>
        <w:rPr>
          <w:rStyle w:val="16"/>
          <w:color w:val="000000"/>
          <w:highlight w:val="none"/>
        </w:rPr>
        <w:t>1.</w:t>
      </w:r>
      <w:r>
        <w:rPr>
          <w:rStyle w:val="16"/>
          <w:rFonts w:hint="eastAsia"/>
          <w:color w:val="000000"/>
          <w:highlight w:val="none"/>
        </w:rPr>
        <w:t>评价原则</w:t>
      </w:r>
      <w:r>
        <w:rPr>
          <w:color w:val="000000"/>
          <w:highlight w:val="none"/>
        </w:rPr>
        <w:tab/>
      </w:r>
      <w:r>
        <w:rPr>
          <w:color w:val="000000"/>
          <w:highlight w:val="none"/>
        </w:rPr>
        <w:fldChar w:fldCharType="begin"/>
      </w:r>
      <w:r>
        <w:rPr>
          <w:color w:val="000000"/>
          <w:highlight w:val="none"/>
        </w:rPr>
        <w:instrText xml:space="preserve"> PAGEREF _Toc198307135 \h </w:instrText>
      </w:r>
      <w:r>
        <w:rPr>
          <w:color w:val="000000"/>
          <w:highlight w:val="none"/>
        </w:rPr>
        <w:fldChar w:fldCharType="separate"/>
      </w:r>
      <w:r>
        <w:rPr>
          <w:color w:val="000000"/>
          <w:highlight w:val="none"/>
        </w:rPr>
        <w:t>6</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"_Toc198307136" </w:instrText>
      </w:r>
      <w:r>
        <w:rPr>
          <w:color w:val="000000"/>
          <w:highlight w:val="none"/>
        </w:rPr>
        <w:fldChar w:fldCharType="separate"/>
      </w:r>
      <w:r>
        <w:rPr>
          <w:rStyle w:val="16"/>
          <w:color w:val="000000"/>
          <w:highlight w:val="none"/>
        </w:rPr>
        <w:t>2.</w:t>
      </w:r>
      <w:r>
        <w:rPr>
          <w:rStyle w:val="16"/>
          <w:rFonts w:hint="eastAsia"/>
          <w:color w:val="000000"/>
          <w:highlight w:val="none"/>
        </w:rPr>
        <w:t>评价指标体系</w:t>
      </w:r>
      <w:r>
        <w:rPr>
          <w:color w:val="000000"/>
          <w:highlight w:val="none"/>
        </w:rPr>
        <w:tab/>
      </w:r>
      <w:r>
        <w:rPr>
          <w:color w:val="000000"/>
          <w:highlight w:val="none"/>
        </w:rPr>
        <w:fldChar w:fldCharType="begin"/>
      </w:r>
      <w:r>
        <w:rPr>
          <w:color w:val="000000"/>
          <w:highlight w:val="none"/>
        </w:rPr>
        <w:instrText xml:space="preserve"> PAGEREF _Toc198307136 \h </w:instrText>
      </w:r>
      <w:r>
        <w:rPr>
          <w:color w:val="000000"/>
          <w:highlight w:val="none"/>
        </w:rPr>
        <w:fldChar w:fldCharType="separate"/>
      </w:r>
      <w:r>
        <w:rPr>
          <w:color w:val="000000"/>
          <w:highlight w:val="none"/>
        </w:rPr>
        <w:t>6</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"_Toc198307137" </w:instrText>
      </w:r>
      <w:r>
        <w:rPr>
          <w:color w:val="000000"/>
          <w:highlight w:val="none"/>
        </w:rPr>
        <w:fldChar w:fldCharType="separate"/>
      </w:r>
      <w:r>
        <w:rPr>
          <w:rStyle w:val="16"/>
          <w:color w:val="000000"/>
          <w:highlight w:val="none"/>
        </w:rPr>
        <w:t>3.</w:t>
      </w:r>
      <w:r>
        <w:rPr>
          <w:rStyle w:val="16"/>
          <w:rFonts w:hint="eastAsia"/>
          <w:color w:val="000000"/>
          <w:highlight w:val="none"/>
        </w:rPr>
        <w:t>评价方法</w:t>
      </w:r>
      <w:r>
        <w:rPr>
          <w:color w:val="000000"/>
          <w:highlight w:val="none"/>
        </w:rPr>
        <w:tab/>
      </w:r>
      <w:r>
        <w:rPr>
          <w:color w:val="000000"/>
          <w:highlight w:val="none"/>
        </w:rPr>
        <w:fldChar w:fldCharType="begin"/>
      </w:r>
      <w:r>
        <w:rPr>
          <w:color w:val="000000"/>
          <w:highlight w:val="none"/>
        </w:rPr>
        <w:instrText xml:space="preserve"> PAGEREF _Toc198307137 \h </w:instrText>
      </w:r>
      <w:r>
        <w:rPr>
          <w:color w:val="000000"/>
          <w:highlight w:val="none"/>
        </w:rPr>
        <w:fldChar w:fldCharType="separate"/>
      </w:r>
      <w:r>
        <w:rPr>
          <w:color w:val="000000"/>
          <w:highlight w:val="none"/>
        </w:rPr>
        <w:t>13</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"_Toc198307138" </w:instrText>
      </w:r>
      <w:r>
        <w:rPr>
          <w:color w:val="000000"/>
          <w:highlight w:val="none"/>
        </w:rPr>
        <w:fldChar w:fldCharType="separate"/>
      </w:r>
      <w:r>
        <w:rPr>
          <w:rStyle w:val="16"/>
          <w:color w:val="000000"/>
          <w:highlight w:val="none"/>
        </w:rPr>
        <w:t>4.</w:t>
      </w:r>
      <w:r>
        <w:rPr>
          <w:rStyle w:val="16"/>
          <w:rFonts w:hint="eastAsia"/>
          <w:color w:val="000000"/>
          <w:highlight w:val="none"/>
        </w:rPr>
        <w:t>评价标准</w:t>
      </w:r>
      <w:r>
        <w:rPr>
          <w:color w:val="000000"/>
          <w:highlight w:val="none"/>
        </w:rPr>
        <w:tab/>
      </w:r>
      <w:r>
        <w:rPr>
          <w:color w:val="000000"/>
          <w:highlight w:val="none"/>
        </w:rPr>
        <w:fldChar w:fldCharType="begin"/>
      </w:r>
      <w:r>
        <w:rPr>
          <w:color w:val="000000"/>
          <w:highlight w:val="none"/>
        </w:rPr>
        <w:instrText xml:space="preserve"> PAGEREF _Toc198307138 \h </w:instrText>
      </w:r>
      <w:r>
        <w:rPr>
          <w:color w:val="000000"/>
          <w:highlight w:val="none"/>
        </w:rPr>
        <w:fldChar w:fldCharType="separate"/>
      </w:r>
      <w:r>
        <w:rPr>
          <w:color w:val="000000"/>
          <w:highlight w:val="none"/>
        </w:rPr>
        <w:t>14</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"_Toc198307139" </w:instrText>
      </w:r>
      <w:r>
        <w:rPr>
          <w:color w:val="000000"/>
          <w:highlight w:val="none"/>
        </w:rPr>
        <w:fldChar w:fldCharType="separate"/>
      </w:r>
      <w:r>
        <w:rPr>
          <w:rStyle w:val="16"/>
          <w:rFonts w:hint="eastAsia" w:ascii="仿宋" w:hAnsi="仿宋" w:eastAsia="仿宋"/>
          <w:color w:val="000000"/>
          <w:highlight w:val="none"/>
          <w:lang w:bidi="en-US"/>
        </w:rPr>
        <w:t>（三）绩效评价工作过程</w:t>
      </w:r>
      <w:r>
        <w:rPr>
          <w:color w:val="000000"/>
          <w:highlight w:val="none"/>
        </w:rPr>
        <w:tab/>
      </w:r>
      <w:r>
        <w:rPr>
          <w:color w:val="000000"/>
          <w:highlight w:val="none"/>
        </w:rPr>
        <w:fldChar w:fldCharType="begin"/>
      </w:r>
      <w:r>
        <w:rPr>
          <w:color w:val="000000"/>
          <w:highlight w:val="none"/>
        </w:rPr>
        <w:instrText xml:space="preserve"> PAGEREF _Toc198307139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"_Toc198307140" </w:instrText>
      </w:r>
      <w:r>
        <w:rPr>
          <w:color w:val="000000"/>
          <w:highlight w:val="none"/>
        </w:rPr>
        <w:fldChar w:fldCharType="separate"/>
      </w:r>
      <w:r>
        <w:rPr>
          <w:rStyle w:val="16"/>
          <w:rFonts w:hint="eastAsia" w:ascii="仿宋" w:hAnsi="仿宋" w:eastAsia="仿宋"/>
          <w:color w:val="000000"/>
          <w:highlight w:val="none"/>
          <w:lang w:bidi="en-US"/>
        </w:rPr>
        <w:t>三、综合评价情况及评价结论</w:t>
      </w:r>
      <w:r>
        <w:rPr>
          <w:color w:val="000000"/>
          <w:highlight w:val="none"/>
        </w:rPr>
        <w:tab/>
      </w:r>
      <w:r>
        <w:rPr>
          <w:color w:val="000000"/>
          <w:highlight w:val="none"/>
        </w:rPr>
        <w:fldChar w:fldCharType="begin"/>
      </w:r>
      <w:r>
        <w:rPr>
          <w:color w:val="000000"/>
          <w:highlight w:val="none"/>
        </w:rPr>
        <w:instrText xml:space="preserve"> PAGEREF _Toc198307140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"_Toc198307141" </w:instrText>
      </w:r>
      <w:r>
        <w:rPr>
          <w:color w:val="000000"/>
          <w:highlight w:val="none"/>
        </w:rPr>
        <w:fldChar w:fldCharType="separate"/>
      </w:r>
      <w:r>
        <w:rPr>
          <w:rStyle w:val="16"/>
          <w:rFonts w:hint="eastAsia" w:ascii="仿宋" w:hAnsi="仿宋" w:eastAsia="仿宋"/>
          <w:color w:val="000000"/>
          <w:highlight w:val="none"/>
          <w:lang w:bidi="en-US"/>
        </w:rPr>
        <w:t>（一）评价结论</w:t>
      </w:r>
      <w:r>
        <w:rPr>
          <w:color w:val="000000"/>
          <w:highlight w:val="none"/>
        </w:rPr>
        <w:tab/>
      </w:r>
      <w:r>
        <w:rPr>
          <w:color w:val="000000"/>
          <w:highlight w:val="none"/>
        </w:rPr>
        <w:fldChar w:fldCharType="begin"/>
      </w:r>
      <w:r>
        <w:rPr>
          <w:color w:val="000000"/>
          <w:highlight w:val="none"/>
        </w:rPr>
        <w:instrText xml:space="preserve"> PAGEREF _Toc198307141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"_Toc198307142" </w:instrText>
      </w:r>
      <w:r>
        <w:rPr>
          <w:color w:val="000000"/>
          <w:highlight w:val="none"/>
        </w:rPr>
        <w:fldChar w:fldCharType="separate"/>
      </w:r>
      <w:r>
        <w:rPr>
          <w:rStyle w:val="16"/>
          <w:rFonts w:hint="eastAsia" w:ascii="仿宋" w:hAnsi="仿宋" w:eastAsia="仿宋"/>
          <w:color w:val="000000"/>
          <w:highlight w:val="none"/>
          <w:lang w:bidi="en-US"/>
        </w:rPr>
        <w:t>（二）主要绩效</w:t>
      </w:r>
      <w:r>
        <w:rPr>
          <w:color w:val="000000"/>
          <w:highlight w:val="none"/>
        </w:rPr>
        <w:tab/>
      </w:r>
      <w:r>
        <w:rPr>
          <w:color w:val="000000"/>
          <w:highlight w:val="none"/>
        </w:rPr>
        <w:fldChar w:fldCharType="begin"/>
      </w:r>
      <w:r>
        <w:rPr>
          <w:color w:val="000000"/>
          <w:highlight w:val="none"/>
        </w:rPr>
        <w:instrText xml:space="preserve"> PAGEREF _Toc198307142 \h </w:instrText>
      </w:r>
      <w:r>
        <w:rPr>
          <w:color w:val="000000"/>
          <w:highlight w:val="none"/>
        </w:rPr>
        <w:fldChar w:fldCharType="separate"/>
      </w:r>
      <w:r>
        <w:rPr>
          <w:color w:val="000000"/>
          <w:highlight w:val="none"/>
        </w:rPr>
        <w:t>16</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"_Toc198307143" </w:instrText>
      </w:r>
      <w:r>
        <w:rPr>
          <w:color w:val="000000"/>
          <w:highlight w:val="none"/>
        </w:rPr>
        <w:fldChar w:fldCharType="separate"/>
      </w:r>
      <w:r>
        <w:rPr>
          <w:rStyle w:val="16"/>
          <w:rFonts w:hint="eastAsia" w:ascii="仿宋" w:hAnsi="仿宋" w:eastAsia="仿宋"/>
          <w:color w:val="000000"/>
          <w:highlight w:val="none"/>
          <w:lang w:bidi="en-US"/>
        </w:rPr>
        <w:t>四、绩效评价指标分析</w:t>
      </w:r>
      <w:r>
        <w:rPr>
          <w:color w:val="000000"/>
          <w:highlight w:val="none"/>
        </w:rPr>
        <w:tab/>
      </w:r>
      <w:r>
        <w:rPr>
          <w:color w:val="000000"/>
          <w:highlight w:val="none"/>
        </w:rPr>
        <w:fldChar w:fldCharType="begin"/>
      </w:r>
      <w:r>
        <w:rPr>
          <w:color w:val="000000"/>
          <w:highlight w:val="none"/>
        </w:rPr>
        <w:instrText xml:space="preserve"> PAGEREF _Toc198307143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"_Toc198307144" </w:instrText>
      </w:r>
      <w:r>
        <w:rPr>
          <w:color w:val="000000"/>
          <w:highlight w:val="none"/>
        </w:rPr>
        <w:fldChar w:fldCharType="separate"/>
      </w:r>
      <w:r>
        <w:rPr>
          <w:rStyle w:val="16"/>
          <w:rFonts w:hint="eastAsia" w:ascii="仿宋" w:hAnsi="仿宋" w:eastAsia="仿宋"/>
          <w:color w:val="000000"/>
          <w:highlight w:val="none"/>
          <w:lang w:bidi="en-US"/>
        </w:rPr>
        <w:t>（一）项目决策情况</w:t>
      </w:r>
      <w:r>
        <w:rPr>
          <w:color w:val="000000"/>
          <w:highlight w:val="none"/>
        </w:rPr>
        <w:tab/>
      </w:r>
      <w:r>
        <w:rPr>
          <w:color w:val="000000"/>
          <w:highlight w:val="none"/>
        </w:rPr>
        <w:fldChar w:fldCharType="begin"/>
      </w:r>
      <w:r>
        <w:rPr>
          <w:color w:val="000000"/>
          <w:highlight w:val="none"/>
        </w:rPr>
        <w:instrText xml:space="preserve"> PAGEREF _Toc198307144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"_Toc198307145" </w:instrText>
      </w:r>
      <w:r>
        <w:rPr>
          <w:color w:val="000000"/>
          <w:highlight w:val="none"/>
        </w:rPr>
        <w:fldChar w:fldCharType="separate"/>
      </w:r>
      <w:r>
        <w:rPr>
          <w:rStyle w:val="16"/>
          <w:color w:val="000000"/>
          <w:highlight w:val="none"/>
        </w:rPr>
        <w:t>1.</w:t>
      </w:r>
      <w:r>
        <w:rPr>
          <w:rStyle w:val="16"/>
          <w:rFonts w:hint="eastAsia"/>
          <w:color w:val="000000"/>
          <w:highlight w:val="none"/>
        </w:rPr>
        <w:t>项目立项</w:t>
      </w:r>
      <w:r>
        <w:rPr>
          <w:color w:val="000000"/>
          <w:highlight w:val="none"/>
        </w:rPr>
        <w:tab/>
      </w:r>
      <w:r>
        <w:rPr>
          <w:color w:val="000000"/>
          <w:highlight w:val="none"/>
        </w:rPr>
        <w:fldChar w:fldCharType="begin"/>
      </w:r>
      <w:r>
        <w:rPr>
          <w:color w:val="000000"/>
          <w:highlight w:val="none"/>
        </w:rPr>
        <w:instrText xml:space="preserve"> PAGEREF _Toc198307145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"_Toc198307146" </w:instrText>
      </w:r>
      <w:r>
        <w:rPr>
          <w:color w:val="000000"/>
          <w:highlight w:val="none"/>
        </w:rPr>
        <w:fldChar w:fldCharType="separate"/>
      </w:r>
      <w:r>
        <w:rPr>
          <w:rStyle w:val="16"/>
          <w:color w:val="000000"/>
          <w:highlight w:val="none"/>
        </w:rPr>
        <w:t>2.</w:t>
      </w:r>
      <w:r>
        <w:rPr>
          <w:rStyle w:val="16"/>
          <w:rFonts w:hint="eastAsia"/>
          <w:color w:val="000000"/>
          <w:highlight w:val="none"/>
        </w:rPr>
        <w:t>绩效目标</w:t>
      </w:r>
      <w:r>
        <w:rPr>
          <w:color w:val="000000"/>
          <w:highlight w:val="none"/>
        </w:rPr>
        <w:tab/>
      </w:r>
      <w:r>
        <w:rPr>
          <w:color w:val="000000"/>
          <w:highlight w:val="none"/>
        </w:rPr>
        <w:fldChar w:fldCharType="begin"/>
      </w:r>
      <w:r>
        <w:rPr>
          <w:color w:val="000000"/>
          <w:highlight w:val="none"/>
        </w:rPr>
        <w:instrText xml:space="preserve"> PAGEREF _Toc198307146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"_Toc198307147" </w:instrText>
      </w:r>
      <w:r>
        <w:rPr>
          <w:color w:val="000000"/>
          <w:highlight w:val="none"/>
        </w:rPr>
        <w:fldChar w:fldCharType="separate"/>
      </w:r>
      <w:r>
        <w:rPr>
          <w:rStyle w:val="16"/>
          <w:color w:val="000000"/>
          <w:highlight w:val="none"/>
        </w:rPr>
        <w:t>3.</w:t>
      </w:r>
      <w:r>
        <w:rPr>
          <w:rStyle w:val="16"/>
          <w:rFonts w:hint="eastAsia"/>
          <w:color w:val="000000"/>
          <w:highlight w:val="none"/>
        </w:rPr>
        <w:t>资金投入</w:t>
      </w:r>
      <w:r>
        <w:rPr>
          <w:color w:val="000000"/>
          <w:highlight w:val="none"/>
        </w:rPr>
        <w:tab/>
      </w:r>
      <w:r>
        <w:rPr>
          <w:color w:val="000000"/>
          <w:highlight w:val="none"/>
        </w:rPr>
        <w:fldChar w:fldCharType="begin"/>
      </w:r>
      <w:r>
        <w:rPr>
          <w:color w:val="000000"/>
          <w:highlight w:val="none"/>
        </w:rPr>
        <w:instrText xml:space="preserve"> PAGEREF _Toc198307147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"_Toc198307148" </w:instrText>
      </w:r>
      <w:r>
        <w:rPr>
          <w:color w:val="000000"/>
          <w:highlight w:val="none"/>
        </w:rPr>
        <w:fldChar w:fldCharType="separate"/>
      </w:r>
      <w:r>
        <w:rPr>
          <w:rStyle w:val="16"/>
          <w:rFonts w:hint="eastAsia" w:ascii="仿宋" w:hAnsi="仿宋" w:eastAsia="仿宋"/>
          <w:color w:val="000000"/>
          <w:highlight w:val="none"/>
          <w:lang w:bidi="en-US"/>
        </w:rPr>
        <w:t>（二）项目过程情况</w:t>
      </w:r>
      <w:r>
        <w:rPr>
          <w:color w:val="000000"/>
          <w:highlight w:val="none"/>
        </w:rPr>
        <w:tab/>
      </w:r>
      <w:r>
        <w:rPr>
          <w:color w:val="000000"/>
          <w:highlight w:val="none"/>
        </w:rPr>
        <w:fldChar w:fldCharType="begin"/>
      </w:r>
      <w:r>
        <w:rPr>
          <w:color w:val="000000"/>
          <w:highlight w:val="none"/>
        </w:rPr>
        <w:instrText xml:space="preserve"> PAGEREF _Toc198307148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"_Toc198307149" </w:instrText>
      </w:r>
      <w:r>
        <w:rPr>
          <w:color w:val="000000"/>
          <w:highlight w:val="none"/>
        </w:rPr>
        <w:fldChar w:fldCharType="separate"/>
      </w:r>
      <w:r>
        <w:rPr>
          <w:rStyle w:val="16"/>
          <w:color w:val="000000"/>
          <w:highlight w:val="none"/>
        </w:rPr>
        <w:t>1.</w:t>
      </w:r>
      <w:r>
        <w:rPr>
          <w:rStyle w:val="16"/>
          <w:rFonts w:hint="eastAsia"/>
          <w:color w:val="000000"/>
          <w:highlight w:val="none"/>
        </w:rPr>
        <w:t>资金管理</w:t>
      </w:r>
      <w:r>
        <w:rPr>
          <w:color w:val="000000"/>
          <w:highlight w:val="none"/>
        </w:rPr>
        <w:tab/>
      </w:r>
      <w:r>
        <w:rPr>
          <w:color w:val="000000"/>
          <w:highlight w:val="none"/>
        </w:rPr>
        <w:fldChar w:fldCharType="begin"/>
      </w:r>
      <w:r>
        <w:rPr>
          <w:color w:val="000000"/>
          <w:highlight w:val="none"/>
        </w:rPr>
        <w:instrText xml:space="preserve"> PAGEREF _Toc198307149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"_Toc198307150" </w:instrText>
      </w:r>
      <w:r>
        <w:rPr>
          <w:color w:val="000000"/>
          <w:highlight w:val="none"/>
        </w:rPr>
        <w:fldChar w:fldCharType="separate"/>
      </w:r>
      <w:r>
        <w:rPr>
          <w:rStyle w:val="16"/>
          <w:color w:val="000000"/>
          <w:highlight w:val="none"/>
        </w:rPr>
        <w:t>2.</w:t>
      </w:r>
      <w:r>
        <w:rPr>
          <w:rStyle w:val="16"/>
          <w:rFonts w:hint="eastAsia"/>
          <w:color w:val="000000"/>
          <w:highlight w:val="none"/>
        </w:rPr>
        <w:t>组织实施</w:t>
      </w:r>
      <w:r>
        <w:rPr>
          <w:color w:val="000000"/>
          <w:highlight w:val="none"/>
        </w:rPr>
        <w:tab/>
      </w:r>
      <w:r>
        <w:rPr>
          <w:color w:val="000000"/>
          <w:highlight w:val="none"/>
        </w:rPr>
        <w:fldChar w:fldCharType="begin"/>
      </w:r>
      <w:r>
        <w:rPr>
          <w:color w:val="000000"/>
          <w:highlight w:val="none"/>
        </w:rPr>
        <w:instrText xml:space="preserve"> PAGEREF _Toc198307150 \h </w:instrText>
      </w:r>
      <w:r>
        <w:rPr>
          <w:color w:val="000000"/>
          <w:highlight w:val="none"/>
        </w:rPr>
        <w:fldChar w:fldCharType="separate"/>
      </w:r>
      <w:r>
        <w:rPr>
          <w:color w:val="000000"/>
          <w:highlight w:val="none"/>
        </w:rPr>
        <w:t>21</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"_Toc198307151" </w:instrText>
      </w:r>
      <w:r>
        <w:rPr>
          <w:color w:val="000000"/>
          <w:highlight w:val="none"/>
        </w:rPr>
        <w:fldChar w:fldCharType="separate"/>
      </w:r>
      <w:r>
        <w:rPr>
          <w:rStyle w:val="16"/>
          <w:rFonts w:hint="eastAsia" w:ascii="仿宋" w:hAnsi="仿宋" w:eastAsia="仿宋"/>
          <w:color w:val="000000"/>
          <w:highlight w:val="none"/>
          <w:lang w:bidi="en-US"/>
        </w:rPr>
        <w:t>（三）项目产出情况</w:t>
      </w:r>
      <w:r>
        <w:rPr>
          <w:color w:val="000000"/>
          <w:highlight w:val="none"/>
        </w:rPr>
        <w:tab/>
      </w:r>
      <w:r>
        <w:rPr>
          <w:color w:val="000000"/>
          <w:highlight w:val="none"/>
        </w:rPr>
        <w:fldChar w:fldCharType="begin"/>
      </w:r>
      <w:r>
        <w:rPr>
          <w:color w:val="000000"/>
          <w:highlight w:val="none"/>
        </w:rPr>
        <w:instrText xml:space="preserve"> PAGEREF _Toc198307151 \h </w:instrText>
      </w:r>
      <w:r>
        <w:rPr>
          <w:color w:val="000000"/>
          <w:highlight w:val="none"/>
        </w:rPr>
        <w:fldChar w:fldCharType="separate"/>
      </w:r>
      <w:r>
        <w:rPr>
          <w:color w:val="000000"/>
          <w:highlight w:val="none"/>
        </w:rPr>
        <w:t>21</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"_Toc198307152" </w:instrText>
      </w:r>
      <w:r>
        <w:rPr>
          <w:color w:val="000000"/>
          <w:highlight w:val="none"/>
        </w:rPr>
        <w:fldChar w:fldCharType="separate"/>
      </w:r>
      <w:r>
        <w:rPr>
          <w:rStyle w:val="16"/>
          <w:color w:val="000000"/>
          <w:highlight w:val="none"/>
        </w:rPr>
        <w:t>1.</w:t>
      </w:r>
      <w:r>
        <w:rPr>
          <w:rStyle w:val="16"/>
          <w:rFonts w:hint="eastAsia"/>
          <w:color w:val="000000"/>
          <w:highlight w:val="none"/>
        </w:rPr>
        <w:t>产出数量</w:t>
      </w:r>
      <w:r>
        <w:rPr>
          <w:color w:val="000000"/>
          <w:highlight w:val="none"/>
        </w:rPr>
        <w:tab/>
      </w:r>
      <w:r>
        <w:rPr>
          <w:color w:val="000000"/>
          <w:highlight w:val="none"/>
        </w:rPr>
        <w:fldChar w:fldCharType="begin"/>
      </w:r>
      <w:r>
        <w:rPr>
          <w:color w:val="000000"/>
          <w:highlight w:val="none"/>
        </w:rPr>
        <w:instrText xml:space="preserve"> PAGEREF _Toc198307152 \h </w:instrText>
      </w:r>
      <w:r>
        <w:rPr>
          <w:color w:val="000000"/>
          <w:highlight w:val="none"/>
        </w:rPr>
        <w:fldChar w:fldCharType="separate"/>
      </w:r>
      <w:r>
        <w:rPr>
          <w:color w:val="000000"/>
          <w:highlight w:val="none"/>
        </w:rPr>
        <w:t>21</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"_Toc198307153" </w:instrText>
      </w:r>
      <w:r>
        <w:rPr>
          <w:color w:val="000000"/>
          <w:highlight w:val="none"/>
        </w:rPr>
        <w:fldChar w:fldCharType="separate"/>
      </w:r>
      <w:r>
        <w:rPr>
          <w:rStyle w:val="16"/>
          <w:color w:val="000000"/>
          <w:highlight w:val="none"/>
        </w:rPr>
        <w:t>2.</w:t>
      </w:r>
      <w:r>
        <w:rPr>
          <w:rStyle w:val="16"/>
          <w:rFonts w:hint="eastAsia"/>
          <w:color w:val="000000"/>
          <w:highlight w:val="none"/>
        </w:rPr>
        <w:t>产出质量</w:t>
      </w:r>
      <w:r>
        <w:rPr>
          <w:color w:val="000000"/>
          <w:highlight w:val="none"/>
        </w:rPr>
        <w:tab/>
      </w:r>
      <w:r>
        <w:rPr>
          <w:color w:val="000000"/>
          <w:highlight w:val="none"/>
        </w:rPr>
        <w:fldChar w:fldCharType="begin"/>
      </w:r>
      <w:r>
        <w:rPr>
          <w:color w:val="000000"/>
          <w:highlight w:val="none"/>
        </w:rPr>
        <w:instrText xml:space="preserve"> PAGEREF _Toc198307153 \h </w:instrText>
      </w:r>
      <w:r>
        <w:rPr>
          <w:color w:val="000000"/>
          <w:highlight w:val="none"/>
        </w:rPr>
        <w:fldChar w:fldCharType="separate"/>
      </w:r>
      <w:r>
        <w:rPr>
          <w:color w:val="000000"/>
          <w:highlight w:val="none"/>
        </w:rPr>
        <w:t>22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"_Toc198307154" </w:instrText>
      </w:r>
      <w:r>
        <w:rPr>
          <w:color w:val="000000"/>
          <w:highlight w:val="none"/>
        </w:rPr>
        <w:fldChar w:fldCharType="separate"/>
      </w:r>
      <w:r>
        <w:rPr>
          <w:rStyle w:val="16"/>
          <w:color w:val="000000"/>
          <w:highlight w:val="none"/>
        </w:rPr>
        <w:t>3.</w:t>
      </w:r>
      <w:r>
        <w:rPr>
          <w:rStyle w:val="16"/>
          <w:rFonts w:hint="eastAsia"/>
          <w:color w:val="000000"/>
          <w:highlight w:val="none"/>
        </w:rPr>
        <w:t>产出时效</w:t>
      </w:r>
      <w:r>
        <w:rPr>
          <w:color w:val="000000"/>
          <w:highlight w:val="none"/>
        </w:rPr>
        <w:tab/>
      </w:r>
      <w:r>
        <w:rPr>
          <w:color w:val="000000"/>
          <w:highlight w:val="none"/>
        </w:rPr>
        <w:fldChar w:fldCharType="begin"/>
      </w:r>
      <w:r>
        <w:rPr>
          <w:color w:val="000000"/>
          <w:highlight w:val="none"/>
        </w:rPr>
        <w:instrText xml:space="preserve"> PAGEREF _Toc198307154 \h </w:instrText>
      </w:r>
      <w:r>
        <w:rPr>
          <w:color w:val="000000"/>
          <w:highlight w:val="none"/>
        </w:rPr>
        <w:fldChar w:fldCharType="separate"/>
      </w:r>
      <w:r>
        <w:rPr>
          <w:color w:val="000000"/>
          <w:highlight w:val="none"/>
        </w:rPr>
        <w:t>22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"_Toc198307155" </w:instrText>
      </w:r>
      <w:r>
        <w:rPr>
          <w:color w:val="000000"/>
          <w:highlight w:val="none"/>
        </w:rPr>
        <w:fldChar w:fldCharType="separate"/>
      </w:r>
      <w:r>
        <w:rPr>
          <w:rStyle w:val="16"/>
          <w:color w:val="000000"/>
          <w:highlight w:val="none"/>
        </w:rPr>
        <w:t>4.</w:t>
      </w:r>
      <w:r>
        <w:rPr>
          <w:rStyle w:val="16"/>
          <w:rFonts w:hint="eastAsia"/>
          <w:color w:val="000000"/>
          <w:highlight w:val="none"/>
        </w:rPr>
        <w:t>产出成本</w:t>
      </w:r>
      <w:r>
        <w:rPr>
          <w:color w:val="000000"/>
          <w:highlight w:val="none"/>
        </w:rPr>
        <w:tab/>
      </w:r>
      <w:r>
        <w:rPr>
          <w:color w:val="000000"/>
          <w:highlight w:val="none"/>
        </w:rPr>
        <w:fldChar w:fldCharType="begin"/>
      </w:r>
      <w:r>
        <w:rPr>
          <w:color w:val="000000"/>
          <w:highlight w:val="none"/>
        </w:rPr>
        <w:instrText xml:space="preserve"> PAGEREF _Toc198307155 \h </w:instrText>
      </w:r>
      <w:r>
        <w:rPr>
          <w:color w:val="000000"/>
          <w:highlight w:val="none"/>
        </w:rPr>
        <w:fldChar w:fldCharType="separate"/>
      </w:r>
      <w:r>
        <w:rPr>
          <w:color w:val="000000"/>
          <w:highlight w:val="none"/>
        </w:rPr>
        <w:t>22</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"_Toc198307156" </w:instrText>
      </w:r>
      <w:r>
        <w:rPr>
          <w:color w:val="000000"/>
          <w:highlight w:val="none"/>
        </w:rPr>
        <w:fldChar w:fldCharType="separate"/>
      </w:r>
      <w:r>
        <w:rPr>
          <w:rStyle w:val="16"/>
          <w:rFonts w:hint="eastAsia" w:ascii="仿宋" w:hAnsi="仿宋" w:eastAsia="仿宋"/>
          <w:color w:val="000000"/>
          <w:highlight w:val="none"/>
          <w:lang w:bidi="en-US"/>
        </w:rPr>
        <w:t>（四）项目效益</w:t>
      </w:r>
      <w:r>
        <w:rPr>
          <w:color w:val="000000"/>
          <w:highlight w:val="none"/>
        </w:rPr>
        <w:tab/>
      </w:r>
      <w:r>
        <w:rPr>
          <w:color w:val="000000"/>
          <w:highlight w:val="none"/>
        </w:rPr>
        <w:fldChar w:fldCharType="begin"/>
      </w:r>
      <w:r>
        <w:rPr>
          <w:color w:val="000000"/>
          <w:highlight w:val="none"/>
        </w:rPr>
        <w:instrText xml:space="preserve"> PAGEREF _Toc198307156 \h </w:instrText>
      </w:r>
      <w:r>
        <w:rPr>
          <w:color w:val="000000"/>
          <w:highlight w:val="none"/>
        </w:rPr>
        <w:fldChar w:fldCharType="separate"/>
      </w:r>
      <w:r>
        <w:rPr>
          <w:color w:val="000000"/>
          <w:highlight w:val="none"/>
        </w:rPr>
        <w:t>22</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"_Toc198307157" </w:instrText>
      </w:r>
      <w:r>
        <w:rPr>
          <w:color w:val="000000"/>
          <w:highlight w:val="none"/>
        </w:rPr>
        <w:fldChar w:fldCharType="separate"/>
      </w:r>
      <w:r>
        <w:rPr>
          <w:rStyle w:val="16"/>
          <w:rFonts w:hint="eastAsia" w:ascii="仿宋" w:hAnsi="仿宋" w:eastAsia="仿宋"/>
          <w:color w:val="000000"/>
          <w:highlight w:val="none"/>
          <w:lang w:bidi="en-US"/>
        </w:rPr>
        <w:t>（五）项目满意度</w:t>
      </w:r>
      <w:r>
        <w:rPr>
          <w:color w:val="000000"/>
          <w:highlight w:val="none"/>
        </w:rPr>
        <w:tab/>
      </w:r>
      <w:r>
        <w:rPr>
          <w:color w:val="000000"/>
          <w:highlight w:val="none"/>
        </w:rPr>
        <w:fldChar w:fldCharType="begin"/>
      </w:r>
      <w:r>
        <w:rPr>
          <w:color w:val="000000"/>
          <w:highlight w:val="none"/>
        </w:rPr>
        <w:instrText xml:space="preserve"> PAGEREF _Toc198307157 \h </w:instrText>
      </w:r>
      <w:r>
        <w:rPr>
          <w:color w:val="000000"/>
          <w:highlight w:val="none"/>
        </w:rPr>
        <w:fldChar w:fldCharType="separate"/>
      </w:r>
      <w:r>
        <w:rPr>
          <w:color w:val="000000"/>
          <w:highlight w:val="none"/>
        </w:rPr>
        <w:t>23</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"_Toc198307158" </w:instrText>
      </w:r>
      <w:r>
        <w:rPr>
          <w:color w:val="000000"/>
          <w:highlight w:val="none"/>
        </w:rPr>
        <w:fldChar w:fldCharType="separate"/>
      </w:r>
      <w:r>
        <w:rPr>
          <w:rStyle w:val="16"/>
          <w:rFonts w:hint="eastAsia" w:ascii="仿宋" w:hAnsi="仿宋" w:eastAsia="仿宋"/>
          <w:color w:val="000000"/>
          <w:highlight w:val="none"/>
          <w:lang w:bidi="en-US"/>
        </w:rPr>
        <w:t>五、主要经验及做法、存在的问题及原因分析</w:t>
      </w:r>
      <w:r>
        <w:rPr>
          <w:color w:val="000000"/>
          <w:highlight w:val="none"/>
        </w:rPr>
        <w:tab/>
      </w:r>
      <w:r>
        <w:rPr>
          <w:color w:val="000000"/>
          <w:highlight w:val="none"/>
        </w:rPr>
        <w:fldChar w:fldCharType="begin"/>
      </w:r>
      <w:r>
        <w:rPr>
          <w:color w:val="000000"/>
          <w:highlight w:val="none"/>
        </w:rPr>
        <w:instrText xml:space="preserve"> PAGEREF _Toc198307158 \h </w:instrText>
      </w:r>
      <w:r>
        <w:rPr>
          <w:color w:val="000000"/>
          <w:highlight w:val="none"/>
        </w:rPr>
        <w:fldChar w:fldCharType="separate"/>
      </w:r>
      <w:r>
        <w:rPr>
          <w:color w:val="000000"/>
          <w:highlight w:val="none"/>
        </w:rPr>
        <w:t>23</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"_Toc198307159" </w:instrText>
      </w:r>
      <w:r>
        <w:rPr>
          <w:color w:val="000000"/>
          <w:highlight w:val="none"/>
        </w:rPr>
        <w:fldChar w:fldCharType="separate"/>
      </w:r>
      <w:r>
        <w:rPr>
          <w:rStyle w:val="16"/>
          <w:rFonts w:hint="eastAsia" w:ascii="仿宋" w:hAnsi="仿宋" w:eastAsia="仿宋"/>
          <w:color w:val="000000"/>
          <w:highlight w:val="none"/>
          <w:lang w:bidi="en-US"/>
        </w:rPr>
        <w:t>（一）主要经验及做法</w:t>
      </w:r>
      <w:r>
        <w:rPr>
          <w:color w:val="000000"/>
          <w:highlight w:val="none"/>
        </w:rPr>
        <w:tab/>
      </w:r>
      <w:r>
        <w:rPr>
          <w:color w:val="000000"/>
          <w:highlight w:val="none"/>
        </w:rPr>
        <w:fldChar w:fldCharType="begin"/>
      </w:r>
      <w:r>
        <w:rPr>
          <w:color w:val="000000"/>
          <w:highlight w:val="none"/>
        </w:rPr>
        <w:instrText xml:space="preserve"> PAGEREF _Toc198307159 \h </w:instrText>
      </w:r>
      <w:r>
        <w:rPr>
          <w:color w:val="000000"/>
          <w:highlight w:val="none"/>
        </w:rPr>
        <w:fldChar w:fldCharType="separate"/>
      </w:r>
      <w:r>
        <w:rPr>
          <w:color w:val="000000"/>
          <w:highlight w:val="none"/>
        </w:rPr>
        <w:t>23</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"_Toc198307160" </w:instrText>
      </w:r>
      <w:r>
        <w:rPr>
          <w:color w:val="000000"/>
          <w:highlight w:val="none"/>
        </w:rPr>
        <w:fldChar w:fldCharType="separate"/>
      </w:r>
      <w:r>
        <w:rPr>
          <w:rStyle w:val="16"/>
          <w:rFonts w:hint="eastAsia" w:ascii="仿宋" w:hAnsi="仿宋" w:eastAsia="仿宋"/>
          <w:color w:val="000000"/>
          <w:highlight w:val="none"/>
          <w:lang w:bidi="en-US"/>
        </w:rPr>
        <w:t>（二） 存在的问题及原因分析</w:t>
      </w:r>
      <w:r>
        <w:rPr>
          <w:color w:val="000000"/>
          <w:highlight w:val="none"/>
        </w:rPr>
        <w:tab/>
      </w:r>
      <w:r>
        <w:rPr>
          <w:color w:val="000000"/>
          <w:highlight w:val="none"/>
        </w:rPr>
        <w:fldChar w:fldCharType="begin"/>
      </w:r>
      <w:r>
        <w:rPr>
          <w:color w:val="000000"/>
          <w:highlight w:val="none"/>
        </w:rPr>
        <w:instrText xml:space="preserve"> PAGEREF _Toc198307160 \h </w:instrText>
      </w:r>
      <w:r>
        <w:rPr>
          <w:color w:val="000000"/>
          <w:highlight w:val="none"/>
        </w:rPr>
        <w:fldChar w:fldCharType="separate"/>
      </w:r>
      <w:r>
        <w:rPr>
          <w:color w:val="000000"/>
          <w:highlight w:val="none"/>
        </w:rPr>
        <w:t>24</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"_Toc198307161" </w:instrText>
      </w:r>
      <w:r>
        <w:rPr>
          <w:color w:val="000000"/>
          <w:highlight w:val="none"/>
        </w:rPr>
        <w:fldChar w:fldCharType="separate"/>
      </w:r>
      <w:r>
        <w:rPr>
          <w:rStyle w:val="16"/>
          <w:rFonts w:hint="eastAsia" w:ascii="仿宋" w:hAnsi="仿宋" w:eastAsia="仿宋"/>
          <w:color w:val="000000"/>
          <w:highlight w:val="none"/>
          <w:lang w:bidi="en-US"/>
        </w:rPr>
        <w:t>六、 有关建议</w:t>
      </w:r>
      <w:r>
        <w:rPr>
          <w:color w:val="000000"/>
          <w:highlight w:val="none"/>
        </w:rPr>
        <w:tab/>
      </w:r>
      <w:r>
        <w:rPr>
          <w:color w:val="000000"/>
          <w:highlight w:val="none"/>
        </w:rPr>
        <w:fldChar w:fldCharType="begin"/>
      </w:r>
      <w:r>
        <w:rPr>
          <w:color w:val="000000"/>
          <w:highlight w:val="none"/>
        </w:rPr>
        <w:instrText xml:space="preserve"> PAGEREF _Toc198307161 \h </w:instrText>
      </w:r>
      <w:r>
        <w:rPr>
          <w:color w:val="000000"/>
          <w:highlight w:val="none"/>
        </w:rPr>
        <w:fldChar w:fldCharType="separate"/>
      </w:r>
      <w:r>
        <w:rPr>
          <w:color w:val="000000"/>
          <w:highlight w:val="none"/>
        </w:rPr>
        <w:t>25</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"_Toc198307162" </w:instrText>
      </w:r>
      <w:r>
        <w:rPr>
          <w:color w:val="000000"/>
          <w:highlight w:val="none"/>
        </w:rPr>
        <w:fldChar w:fldCharType="separate"/>
      </w:r>
      <w:r>
        <w:rPr>
          <w:rStyle w:val="16"/>
          <w:rFonts w:hint="eastAsia" w:ascii="仿宋" w:hAnsi="仿宋" w:eastAsia="仿宋"/>
          <w:color w:val="000000"/>
          <w:highlight w:val="none"/>
          <w:lang w:bidi="en-US"/>
        </w:rPr>
        <w:t>七、其他需要说明的问题</w:t>
      </w:r>
      <w:r>
        <w:rPr>
          <w:color w:val="000000"/>
          <w:highlight w:val="none"/>
        </w:rPr>
        <w:tab/>
      </w:r>
      <w:r>
        <w:rPr>
          <w:color w:val="000000"/>
          <w:highlight w:val="none"/>
        </w:rPr>
        <w:fldChar w:fldCharType="begin"/>
      </w:r>
      <w:r>
        <w:rPr>
          <w:color w:val="000000"/>
          <w:highlight w:val="none"/>
        </w:rPr>
        <w:instrText xml:space="preserve"> PAGEREF _Toc198307162 \h </w:instrText>
      </w:r>
      <w:r>
        <w:rPr>
          <w:color w:val="000000"/>
          <w:highlight w:val="none"/>
        </w:rPr>
        <w:fldChar w:fldCharType="separate"/>
      </w:r>
      <w:r>
        <w:rPr>
          <w:color w:val="000000"/>
          <w:highlight w:val="none"/>
        </w:rPr>
        <w:t>25</w:t>
      </w:r>
      <w:r>
        <w:rPr>
          <w:color w:val="000000"/>
          <w:highlight w:val="none"/>
        </w:rPr>
        <w:fldChar w:fldCharType="end"/>
      </w:r>
      <w:r>
        <w:rPr>
          <w:color w:val="000000"/>
          <w:highlight w:val="none"/>
        </w:rPr>
        <w:fldChar w:fldCharType="end"/>
      </w:r>
    </w:p>
    <w:p>
      <w:pPr>
        <w:ind w:firstLine="562"/>
        <w:rPr>
          <w:color w:val="000000"/>
          <w:highlight w:val="none"/>
        </w:rPr>
      </w:pPr>
      <w:r>
        <w:rPr>
          <w:b/>
          <w:bCs/>
          <w:color w:val="000000"/>
          <w:highlight w:val="none"/>
          <w:lang w:val="zh-CN"/>
        </w:rPr>
        <w:fldChar w:fldCharType="end"/>
      </w:r>
    </w:p>
    <w:p>
      <w:pPr>
        <w:ind w:firstLine="598" w:firstLineChars="187"/>
        <w:rPr>
          <w:rFonts w:ascii="仿宋_GB2312" w:hAnsi="Times New Roman" w:cs="Times New Roman"/>
          <w:color w:val="000000"/>
          <w:sz w:val="32"/>
          <w:szCs w:val="32"/>
          <w:highlight w:val="none"/>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sectPr>
      </w:pPr>
    </w:p>
    <w:p>
      <w:pPr>
        <w:pStyle w:val="2"/>
        <w:ind w:firstLine="0" w:firstLineChars="0"/>
        <w:jc w:val="left"/>
        <w:rPr>
          <w:rFonts w:ascii="仿宋" w:hAnsi="仿宋" w:eastAsia="仿宋"/>
          <w:color w:val="000000"/>
          <w:sz w:val="36"/>
          <w:szCs w:val="36"/>
          <w:highlight w:val="none"/>
          <w:lang w:bidi="en-US"/>
        </w:rPr>
      </w:pPr>
      <w:bookmarkStart w:id="0" w:name="_Toc198307123"/>
      <w:bookmarkStart w:id="1" w:name="_Toc67911601"/>
      <w:r>
        <w:rPr>
          <w:rFonts w:hint="eastAsia" w:ascii="仿宋" w:hAnsi="仿宋" w:eastAsia="仿宋"/>
          <w:color w:val="000000"/>
          <w:sz w:val="36"/>
          <w:szCs w:val="36"/>
          <w:highlight w:val="none"/>
          <w:lang w:bidi="en-US"/>
        </w:rPr>
        <w:t>一、基本情况</w:t>
      </w:r>
      <w:bookmarkEnd w:id="0"/>
      <w:bookmarkEnd w:id="1"/>
    </w:p>
    <w:p>
      <w:pPr>
        <w:pStyle w:val="3"/>
        <w:ind w:firstLine="643"/>
        <w:rPr>
          <w:rFonts w:ascii="仿宋" w:hAnsi="仿宋" w:eastAsia="仿宋"/>
          <w:color w:val="000000"/>
          <w:highlight w:val="none"/>
          <w:lang w:bidi="en-US"/>
        </w:rPr>
      </w:pPr>
      <w:bookmarkStart w:id="2" w:name="_Toc67911602"/>
      <w:bookmarkStart w:id="3" w:name="_Toc198307124"/>
      <w:r>
        <w:rPr>
          <w:rFonts w:hint="eastAsia" w:ascii="仿宋" w:hAnsi="仿宋" w:eastAsia="仿宋"/>
          <w:color w:val="000000"/>
          <w:highlight w:val="none"/>
          <w:lang w:bidi="en-US"/>
        </w:rPr>
        <w:t>（一）项目概况：</w:t>
      </w:r>
      <w:bookmarkEnd w:id="2"/>
      <w:bookmarkEnd w:id="3"/>
    </w:p>
    <w:p>
      <w:pPr>
        <w:pStyle w:val="4"/>
        <w:ind w:firstLine="643"/>
        <w:rPr>
          <w:color w:val="000000"/>
          <w:highlight w:val="none"/>
        </w:rPr>
      </w:pPr>
      <w:bookmarkStart w:id="4" w:name="_Toc198307125"/>
      <w:r>
        <w:rPr>
          <w:rFonts w:hint="eastAsia"/>
          <w:color w:val="000000"/>
          <w:highlight w:val="none"/>
          <w:lang w:eastAsia="zh-CN"/>
        </w:rPr>
        <w:t>1.</w:t>
      </w:r>
      <w:r>
        <w:rPr>
          <w:rFonts w:hint="eastAsia"/>
          <w:color w:val="000000"/>
          <w:highlight w:val="none"/>
        </w:rPr>
        <w:t>项目背景、主要内容及实施情况</w:t>
      </w:r>
      <w:bookmarkEnd w:id="4"/>
    </w:p>
    <w:p>
      <w:pPr>
        <w:spacing w:line="360" w:lineRule="auto"/>
        <w:ind w:firstLine="560"/>
        <w:rPr>
          <w:rFonts w:ascii="仿宋_GB2312"/>
          <w:color w:val="000000"/>
          <w:highlight w:val="none"/>
        </w:rPr>
      </w:pPr>
      <w:r>
        <w:rPr>
          <w:rFonts w:hint="eastAsia" w:ascii="仿宋_GB2312"/>
          <w:color w:val="000000"/>
          <w:highlight w:val="none"/>
        </w:rPr>
        <w:t>该项目实施背景：根据《关于调整下达2020年新疆、西藏、涉藏工作重点省专项第三批中央基建投资预算（拨款）的通知》（乌财建</w:t>
      </w:r>
      <w:r>
        <w:rPr>
          <w:rFonts w:hint="eastAsia" w:ascii="仿宋_GB2312"/>
          <w:color w:val="000000"/>
          <w:highlight w:val="none"/>
          <w:lang w:eastAsia="zh-CN"/>
        </w:rPr>
        <w:t>〔2020〕306号</w:t>
      </w:r>
      <w:r>
        <w:rPr>
          <w:rFonts w:hint="eastAsia" w:ascii="仿宋_GB2312"/>
          <w:color w:val="000000"/>
          <w:highlight w:val="none"/>
        </w:rPr>
        <w:t>）文件精神，乌鲁木齐市中医医院开展制剂室项目。利用医院多年的经验方及院内制剂开发经验，研制开发具有完全自主知识产权的新药，为医院带来社会效益和经济效益；以开发院内制剂为主，</w:t>
      </w:r>
      <w:r>
        <w:rPr>
          <w:rFonts w:hint="eastAsia" w:ascii="仿宋_GB2312"/>
          <w:color w:val="000000"/>
          <w:highlight w:val="none"/>
          <w:lang w:eastAsia="zh-CN"/>
        </w:rPr>
        <w:t>其他类别</w:t>
      </w:r>
      <w:r>
        <w:rPr>
          <w:rFonts w:hint="eastAsia" w:ascii="仿宋_GB2312"/>
          <w:color w:val="000000"/>
          <w:highlight w:val="none"/>
        </w:rPr>
        <w:t>兼顾。为推进制剂室基础设施建设与设备升级，中央拨付基建补助资金（盘活存量资金）用于购置制剂生产设备与制剂提取设备，旨在改善制剂室生产环境，提高制剂质量与生产效率，推动中医药事业高质量发展。</w:t>
      </w:r>
    </w:p>
    <w:p>
      <w:pPr>
        <w:spacing w:line="360" w:lineRule="auto"/>
        <w:ind w:firstLine="560"/>
        <w:rPr>
          <w:rFonts w:ascii="仿宋_GB2312"/>
          <w:color w:val="000000"/>
          <w:highlight w:val="none"/>
        </w:rPr>
      </w:pPr>
      <w:r>
        <w:rPr>
          <w:rFonts w:ascii="仿宋_GB2312"/>
          <w:color w:val="000000"/>
          <w:highlight w:val="none"/>
        </w:rPr>
        <w:t>项目</w:t>
      </w:r>
      <w:r>
        <w:rPr>
          <w:rFonts w:hint="eastAsia" w:ascii="仿宋_GB2312"/>
          <w:color w:val="000000"/>
          <w:highlight w:val="none"/>
        </w:rPr>
        <w:t>2024</w:t>
      </w:r>
      <w:r>
        <w:rPr>
          <w:rFonts w:ascii="仿宋_GB2312"/>
          <w:color w:val="000000"/>
          <w:highlight w:val="none"/>
        </w:rPr>
        <w:t>年的主要实施内容：</w:t>
      </w:r>
      <w:r>
        <w:rPr>
          <w:rFonts w:hint="eastAsia" w:ascii="仿宋_GB2312"/>
          <w:color w:val="000000"/>
          <w:highlight w:val="none"/>
        </w:rPr>
        <w:t>为提高院内制剂生产效率和产品质量，满足临床需求，增强医院中医药服务的核心竞争力，为患者提供更优质、安全、有效的中药制剂，采购了一套的制剂生产设备和一套制剂提取设备，提升制剂生产的自动化、智能化水平，研发和生产符合现代人用药习惯的中药制剂以促进乌鲁木齐中医药事业的发展。</w:t>
      </w:r>
    </w:p>
    <w:p>
      <w:pPr>
        <w:spacing w:line="360" w:lineRule="auto"/>
        <w:ind w:firstLine="560"/>
        <w:rPr>
          <w:rFonts w:ascii="仿宋_GB2312"/>
          <w:color w:val="000000"/>
          <w:highlight w:val="none"/>
        </w:rPr>
      </w:pPr>
      <w:r>
        <w:rPr>
          <w:rFonts w:ascii="仿宋_GB2312"/>
          <w:color w:val="000000"/>
          <w:highlight w:val="none"/>
        </w:rPr>
        <w:t>实际完成情况为：</w:t>
      </w:r>
      <w:r>
        <w:rPr>
          <w:rFonts w:hint="eastAsia" w:ascii="仿宋_GB2312"/>
          <w:color w:val="000000"/>
          <w:highlight w:val="none"/>
        </w:rPr>
        <w:t>项目共拨付235.75万元，用于购置制剂生产设备与制剂提取设备。2024年实际完成情况为：①购置了一套制剂生产设备，包括全自动制丸机、胶囊机、颗粒剂包装机等，支付设备</w:t>
      </w:r>
      <w:r>
        <w:rPr>
          <w:rFonts w:ascii="仿宋_GB2312"/>
          <w:color w:val="000000"/>
          <w:highlight w:val="none"/>
        </w:rPr>
        <w:t>购置费</w:t>
      </w:r>
      <w:r>
        <w:rPr>
          <w:rFonts w:hint="eastAsia" w:ascii="仿宋_GB2312"/>
          <w:color w:val="000000"/>
          <w:highlight w:val="none"/>
        </w:rPr>
        <w:t>125.95万元</w:t>
      </w:r>
      <w:r>
        <w:rPr>
          <w:rFonts w:ascii="仿宋_GB2312"/>
          <w:color w:val="000000"/>
          <w:highlight w:val="none"/>
        </w:rPr>
        <w:t>，</w:t>
      </w:r>
      <w:r>
        <w:rPr>
          <w:rFonts w:hint="eastAsia" w:ascii="仿宋_GB2312"/>
          <w:color w:val="000000"/>
          <w:highlight w:val="none"/>
        </w:rPr>
        <w:t>②购置了一套制剂提取设备，包括多功能提取罐、浓缩器、干燥设备等，支付</w:t>
      </w:r>
      <w:r>
        <w:rPr>
          <w:rFonts w:ascii="仿宋_GB2312"/>
          <w:color w:val="000000"/>
          <w:highlight w:val="none"/>
        </w:rPr>
        <w:t>设备购置费</w:t>
      </w:r>
      <w:r>
        <w:rPr>
          <w:rFonts w:hint="eastAsia" w:ascii="仿宋_GB2312"/>
          <w:color w:val="000000"/>
          <w:highlight w:val="none"/>
        </w:rPr>
        <w:t>109.8万元</w:t>
      </w:r>
      <w:r>
        <w:rPr>
          <w:rFonts w:ascii="仿宋_GB2312"/>
          <w:color w:val="000000"/>
          <w:highlight w:val="none"/>
        </w:rPr>
        <w:t>，设备</w:t>
      </w:r>
      <w:r>
        <w:rPr>
          <w:rFonts w:hint="eastAsia" w:ascii="仿宋_GB2312"/>
          <w:color w:val="000000"/>
          <w:highlight w:val="none"/>
        </w:rPr>
        <w:t>购置完成率</w:t>
      </w:r>
      <w:r>
        <w:rPr>
          <w:rFonts w:ascii="仿宋_GB2312"/>
          <w:color w:val="000000"/>
          <w:highlight w:val="none"/>
        </w:rPr>
        <w:t>达到</w:t>
      </w:r>
      <w:r>
        <w:rPr>
          <w:rFonts w:hint="eastAsia" w:ascii="仿宋_GB2312"/>
          <w:color w:val="000000"/>
          <w:highlight w:val="none"/>
        </w:rPr>
        <w:t>100%</w:t>
      </w:r>
      <w:r>
        <w:rPr>
          <w:rFonts w:hint="eastAsia" w:ascii="仿宋_GB2312"/>
          <w:color w:val="000000"/>
          <w:highlight w:val="none"/>
          <w:lang w:eastAsia="zh-CN"/>
        </w:rPr>
        <w:t>，</w:t>
      </w:r>
      <w:r>
        <w:rPr>
          <w:rFonts w:hint="eastAsia" w:ascii="仿宋_GB2312"/>
          <w:color w:val="000000"/>
          <w:highlight w:val="none"/>
        </w:rPr>
        <w:t>并于</w:t>
      </w:r>
      <w:r>
        <w:rPr>
          <w:rFonts w:ascii="仿宋_GB2312"/>
          <w:color w:val="000000"/>
          <w:highlight w:val="none"/>
        </w:rPr>
        <w:t>验收合格后投入</w:t>
      </w:r>
      <w:r>
        <w:rPr>
          <w:rFonts w:hint="eastAsia" w:ascii="仿宋_GB2312"/>
          <w:color w:val="000000"/>
          <w:highlight w:val="none"/>
        </w:rPr>
        <w:t>使用</w:t>
      </w:r>
      <w:r>
        <w:rPr>
          <w:rFonts w:ascii="仿宋_GB2312"/>
          <w:color w:val="000000"/>
          <w:highlight w:val="none"/>
        </w:rPr>
        <w:t>，</w:t>
      </w:r>
      <w:r>
        <w:rPr>
          <w:rFonts w:hint="eastAsia" w:ascii="仿宋_GB2312"/>
          <w:color w:val="000000"/>
          <w:highlight w:val="none"/>
        </w:rPr>
        <w:t>新的制剂生产设备投入使用后，显著提升了医院制剂室的生产能力与产品质量，这些设备均具备高效、节能、智能化控制等特点，能够显著提高中药制剂的提取效率与质量稳定性，</w:t>
      </w:r>
      <w:r>
        <w:rPr>
          <w:rFonts w:ascii="仿宋_GB2312"/>
          <w:color w:val="000000"/>
          <w:highlight w:val="none"/>
        </w:rPr>
        <w:t>患者反馈效果</w:t>
      </w:r>
      <w:r>
        <w:rPr>
          <w:rFonts w:hint="eastAsia" w:ascii="仿宋_GB2312"/>
          <w:color w:val="000000"/>
          <w:highlight w:val="none"/>
        </w:rPr>
        <w:t>良好。</w:t>
      </w:r>
    </w:p>
    <w:p>
      <w:pPr>
        <w:pStyle w:val="4"/>
        <w:ind w:firstLine="643"/>
        <w:rPr>
          <w:color w:val="000000"/>
          <w:highlight w:val="none"/>
        </w:rPr>
      </w:pPr>
      <w:bookmarkStart w:id="5" w:name="_Toc198307126"/>
      <w:r>
        <w:rPr>
          <w:rFonts w:hint="eastAsia"/>
          <w:color w:val="000000"/>
          <w:highlight w:val="none"/>
        </w:rPr>
        <w:t>2</w:t>
      </w:r>
      <w:r>
        <w:rPr>
          <w:color w:val="000000"/>
          <w:highlight w:val="none"/>
        </w:rPr>
        <w:t>.资金投入和使用情况</w:t>
      </w:r>
      <w:bookmarkEnd w:id="5"/>
    </w:p>
    <w:p>
      <w:pPr>
        <w:spacing w:line="360" w:lineRule="auto"/>
        <w:ind w:firstLine="560"/>
        <w:rPr>
          <w:rFonts w:ascii="仿宋_GB2312"/>
          <w:color w:val="000000"/>
          <w:highlight w:val="none"/>
        </w:rPr>
      </w:pPr>
      <w:bookmarkStart w:id="6" w:name="_Toc67911603"/>
      <w:r>
        <w:rPr>
          <w:rFonts w:hint="eastAsia" w:ascii="仿宋_GB2312"/>
          <w:color w:val="000000"/>
          <w:highlight w:val="none"/>
        </w:rPr>
        <w:t>该项目资金投入情况：该项目总金额为235.75万元，经《关于拨付市中医院中医药制剂室2020年重点审专项资金的通知》乌财社〔2024〕15号文件批准。项目系</w:t>
      </w:r>
      <w:r>
        <w:rPr>
          <w:rFonts w:ascii="仿宋_GB2312"/>
          <w:color w:val="000000"/>
          <w:highlight w:val="none"/>
        </w:rPr>
        <w:t>2024</w:t>
      </w:r>
      <w:r>
        <w:rPr>
          <w:rFonts w:hint="eastAsia" w:ascii="仿宋_GB2312"/>
          <w:color w:val="000000"/>
          <w:highlight w:val="none"/>
        </w:rPr>
        <w:t>年中央资金，共安排预算235.75万元，于2024年年中部分预算批复项目，年中资金无调整。</w:t>
      </w:r>
    </w:p>
    <w:p>
      <w:pPr>
        <w:spacing w:line="360" w:lineRule="auto"/>
        <w:ind w:firstLine="560"/>
        <w:rPr>
          <w:rFonts w:ascii="仿宋_GB2312"/>
          <w:color w:val="000000"/>
          <w:highlight w:val="none"/>
        </w:rPr>
      </w:pPr>
      <w:r>
        <w:rPr>
          <w:rFonts w:hint="eastAsia" w:ascii="仿宋_GB2312"/>
          <w:color w:val="000000"/>
          <w:highlight w:val="none"/>
        </w:rPr>
        <w:t>该项目资金使用情况：总预算235.75万元，实际执行资金235.75</w:t>
      </w:r>
      <w:r>
        <w:rPr>
          <w:rFonts w:ascii="仿宋_GB2312"/>
          <w:color w:val="000000"/>
          <w:highlight w:val="none"/>
        </w:rPr>
        <w:t>万元，</w:t>
      </w:r>
      <w:r>
        <w:rPr>
          <w:rFonts w:hint="eastAsia" w:ascii="仿宋_GB2312"/>
          <w:color w:val="000000"/>
          <w:highlight w:val="none"/>
        </w:rPr>
        <w:t>用于</w:t>
      </w:r>
      <w:r>
        <w:rPr>
          <w:rFonts w:ascii="仿宋_GB2312"/>
          <w:color w:val="000000"/>
          <w:highlight w:val="none"/>
        </w:rPr>
        <w:t>采购</w:t>
      </w:r>
      <w:r>
        <w:rPr>
          <w:rFonts w:hint="eastAsia" w:ascii="仿宋_GB2312"/>
          <w:color w:val="000000"/>
          <w:highlight w:val="none"/>
        </w:rPr>
        <w:t>制剂生产</w:t>
      </w:r>
      <w:r>
        <w:rPr>
          <w:rFonts w:ascii="仿宋_GB2312"/>
          <w:color w:val="000000"/>
          <w:highlight w:val="none"/>
        </w:rPr>
        <w:t>设备</w:t>
      </w:r>
      <w:r>
        <w:rPr>
          <w:rFonts w:hint="eastAsia" w:ascii="仿宋_GB2312"/>
          <w:color w:val="000000"/>
          <w:highlight w:val="none"/>
        </w:rPr>
        <w:t>125.95万元，采购制剂</w:t>
      </w:r>
      <w:r>
        <w:rPr>
          <w:rFonts w:ascii="仿宋_GB2312"/>
          <w:color w:val="000000"/>
          <w:highlight w:val="none"/>
        </w:rPr>
        <w:t>提取设备</w:t>
      </w:r>
      <w:r>
        <w:rPr>
          <w:rFonts w:hint="eastAsia" w:ascii="仿宋_GB2312"/>
          <w:color w:val="000000"/>
          <w:highlight w:val="none"/>
        </w:rPr>
        <w:t>109.8万元</w:t>
      </w:r>
      <w:r>
        <w:rPr>
          <w:rFonts w:ascii="仿宋_GB2312"/>
          <w:color w:val="000000"/>
          <w:highlight w:val="none"/>
        </w:rPr>
        <w:t>，</w:t>
      </w:r>
      <w:r>
        <w:rPr>
          <w:rFonts w:hint="eastAsia" w:ascii="仿宋_GB2312"/>
          <w:color w:val="000000"/>
          <w:highlight w:val="none"/>
        </w:rPr>
        <w:t>资金</w:t>
      </w:r>
      <w:r>
        <w:rPr>
          <w:rFonts w:ascii="仿宋_GB2312"/>
          <w:color w:val="000000"/>
          <w:highlight w:val="none"/>
        </w:rPr>
        <w:t>全部执行完毕，</w:t>
      </w:r>
      <w:r>
        <w:rPr>
          <w:rFonts w:hint="eastAsia" w:ascii="仿宋_GB2312"/>
          <w:color w:val="000000"/>
          <w:highlight w:val="none"/>
        </w:rPr>
        <w:t>预算执行率100%</w:t>
      </w:r>
      <w:r>
        <w:rPr>
          <w:rStyle w:val="17"/>
          <w:rFonts w:hint="eastAsia"/>
          <w:color w:val="000000"/>
          <w:highlight w:val="none"/>
        </w:rPr>
        <w:t>。</w:t>
      </w:r>
    </w:p>
    <w:p>
      <w:pPr>
        <w:pStyle w:val="3"/>
        <w:ind w:firstLine="643"/>
        <w:rPr>
          <w:rFonts w:ascii="仿宋" w:hAnsi="仿宋" w:eastAsia="仿宋"/>
          <w:color w:val="000000"/>
          <w:highlight w:val="none"/>
          <w:lang w:bidi="en-US"/>
        </w:rPr>
      </w:pPr>
      <w:bookmarkStart w:id="7" w:name="_Toc198307127"/>
      <w:r>
        <w:rPr>
          <w:rFonts w:hint="eastAsia" w:ascii="仿宋" w:hAnsi="仿宋" w:eastAsia="仿宋"/>
          <w:color w:val="000000"/>
          <w:highlight w:val="none"/>
          <w:lang w:bidi="en-US"/>
        </w:rPr>
        <w:t>（二）项目绩效目标：</w:t>
      </w:r>
      <w:bookmarkEnd w:id="6"/>
      <w:bookmarkEnd w:id="7"/>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本项目依据《中共中央 国务院关于全面实施预算绩效管理的意见》（中发〔2018〕</w:t>
      </w:r>
      <w:r>
        <w:rPr>
          <w:rFonts w:ascii="仿宋_GB2312" w:hAnsi="仿宋"/>
          <w:color w:val="000000"/>
          <w:szCs w:val="28"/>
          <w:highlight w:val="none"/>
        </w:rPr>
        <w:t>34</w:t>
      </w:r>
      <w:r>
        <w:rPr>
          <w:rFonts w:hint="eastAsia" w:ascii="仿宋_GB2312" w:hAnsi="仿宋"/>
          <w:color w:val="000000"/>
          <w:szCs w:val="28"/>
          <w:highlight w:val="none"/>
        </w:rPr>
        <w:t>号）、《关于印发</w:t>
      </w:r>
      <w:r>
        <w:rPr>
          <w:rFonts w:hint="eastAsia" w:ascii="仿宋_GB2312" w:hAnsi="仿宋"/>
          <w:color w:val="000000"/>
          <w:szCs w:val="28"/>
          <w:highlight w:val="none"/>
          <w:lang w:eastAsia="zh-CN"/>
        </w:rPr>
        <w:t>〈</w:t>
      </w:r>
      <w:r>
        <w:rPr>
          <w:rFonts w:hint="eastAsia" w:ascii="仿宋_GB2312" w:hAnsi="仿宋"/>
          <w:color w:val="000000"/>
          <w:szCs w:val="28"/>
          <w:highlight w:val="none"/>
        </w:rPr>
        <w:t>乌鲁木齐市本级部门预算绩效目标管理暂行办法</w:t>
      </w:r>
      <w:r>
        <w:rPr>
          <w:rFonts w:hint="eastAsia" w:ascii="仿宋_GB2312" w:hAnsi="仿宋"/>
          <w:color w:val="000000"/>
          <w:szCs w:val="28"/>
          <w:highlight w:val="none"/>
          <w:lang w:eastAsia="zh-CN"/>
        </w:rPr>
        <w:t>〉的通知》</w:t>
      </w:r>
      <w:r>
        <w:rPr>
          <w:rFonts w:hint="eastAsia" w:ascii="仿宋_GB2312" w:hAnsi="仿宋"/>
          <w:color w:val="000000"/>
          <w:szCs w:val="28"/>
          <w:highlight w:val="none"/>
        </w:rPr>
        <w:t>（乌财预</w:t>
      </w:r>
      <w:bookmarkStart w:id="8" w:name="_Hlk67566397"/>
      <w:r>
        <w:rPr>
          <w:rFonts w:hint="eastAsia" w:ascii="仿宋_GB2312" w:hAnsi="仿宋"/>
          <w:color w:val="000000"/>
          <w:szCs w:val="28"/>
          <w:highlight w:val="none"/>
        </w:rPr>
        <w:t>〔2018〕</w:t>
      </w:r>
      <w:r>
        <w:rPr>
          <w:rFonts w:ascii="仿宋_GB2312" w:hAnsi="仿宋"/>
          <w:color w:val="000000"/>
          <w:szCs w:val="28"/>
          <w:highlight w:val="none"/>
        </w:rPr>
        <w:t>5</w:t>
      </w:r>
      <w:r>
        <w:rPr>
          <w:rFonts w:hint="eastAsia" w:ascii="仿宋_GB2312" w:hAnsi="仿宋"/>
          <w:color w:val="000000"/>
          <w:szCs w:val="28"/>
          <w:highlight w:val="none"/>
        </w:rPr>
        <w:t>6号</w:t>
      </w:r>
      <w:bookmarkEnd w:id="8"/>
      <w:r>
        <w:rPr>
          <w:rFonts w:hint="eastAsia" w:ascii="仿宋_GB2312" w:hAnsi="仿宋"/>
          <w:color w:val="000000"/>
          <w:szCs w:val="28"/>
          <w:highlight w:val="none"/>
        </w:rPr>
        <w:t>）、《关于做好2</w:t>
      </w:r>
      <w:r>
        <w:rPr>
          <w:rFonts w:ascii="仿宋_GB2312" w:hAnsi="仿宋"/>
          <w:color w:val="000000"/>
          <w:szCs w:val="28"/>
          <w:highlight w:val="none"/>
        </w:rPr>
        <w:t>019</w:t>
      </w:r>
      <w:r>
        <w:rPr>
          <w:rFonts w:hint="eastAsia" w:ascii="仿宋_GB2312" w:hAnsi="仿宋"/>
          <w:color w:val="000000"/>
          <w:szCs w:val="28"/>
          <w:highlight w:val="none"/>
        </w:rPr>
        <w:t>年部门预算项目支出绩效目标管理有关事宜的通知》（乌财预〔20</w:t>
      </w:r>
      <w:r>
        <w:rPr>
          <w:rFonts w:ascii="仿宋_GB2312" w:hAnsi="仿宋"/>
          <w:color w:val="000000"/>
          <w:szCs w:val="28"/>
          <w:highlight w:val="none"/>
        </w:rPr>
        <w:t>18</w:t>
      </w:r>
      <w:r>
        <w:rPr>
          <w:rFonts w:hint="eastAsia" w:ascii="仿宋_GB2312" w:hAnsi="仿宋"/>
          <w:color w:val="000000"/>
          <w:szCs w:val="28"/>
          <w:highlight w:val="none"/>
        </w:rPr>
        <w:t>〕</w:t>
      </w:r>
      <w:r>
        <w:rPr>
          <w:rFonts w:ascii="仿宋_GB2312" w:hAnsi="仿宋"/>
          <w:color w:val="000000"/>
          <w:szCs w:val="28"/>
          <w:highlight w:val="none"/>
        </w:rPr>
        <w:t>76</w:t>
      </w:r>
      <w:r>
        <w:rPr>
          <w:rFonts w:hint="eastAsia" w:ascii="仿宋_GB2312" w:hAnsi="仿宋"/>
          <w:color w:val="000000"/>
          <w:szCs w:val="28"/>
          <w:highlight w:val="none"/>
        </w:rPr>
        <w:t>号）和《项目支出绩效评价管理办法》（财预〔20</w:t>
      </w:r>
      <w:r>
        <w:rPr>
          <w:rFonts w:ascii="仿宋_GB2312" w:hAnsi="仿宋"/>
          <w:color w:val="000000"/>
          <w:szCs w:val="28"/>
          <w:highlight w:val="none"/>
        </w:rPr>
        <w:t>20</w:t>
      </w:r>
      <w:r>
        <w:rPr>
          <w:rFonts w:hint="eastAsia" w:ascii="仿宋_GB2312" w:hAnsi="仿宋"/>
          <w:color w:val="000000"/>
          <w:szCs w:val="28"/>
          <w:highlight w:val="none"/>
        </w:rPr>
        <w:t>〕</w:t>
      </w:r>
      <w:r>
        <w:rPr>
          <w:rFonts w:ascii="仿宋_GB2312" w:hAnsi="仿宋"/>
          <w:color w:val="000000"/>
          <w:szCs w:val="28"/>
          <w:highlight w:val="none"/>
        </w:rPr>
        <w:t>10</w:t>
      </w:r>
      <w:r>
        <w:rPr>
          <w:rFonts w:hint="eastAsia" w:ascii="仿宋_GB2312" w:hAnsi="仿宋"/>
          <w:color w:val="000000"/>
          <w:szCs w:val="28"/>
          <w:highlight w:val="none"/>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以准确、清晰地反映财政资金在使用期所能达到的预期产出和效果。</w:t>
      </w:r>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该项目为跨年项目</w:t>
      </w:r>
      <w:r>
        <w:rPr>
          <w:rFonts w:ascii="仿宋_GB2312" w:hAnsi="仿宋"/>
          <w:color w:val="000000"/>
          <w:szCs w:val="28"/>
          <w:highlight w:val="none"/>
        </w:rPr>
        <w:t>。</w:t>
      </w:r>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该项目总体绩效目标：按通过利用2020年中央基建补助资金（盘活存量资金）购置一批先进的制剂生产和制剂提取设备，全面改善制剂室的生产硬件条件，研发和生产符合现代人用药习惯的中药制剂，确保设备的自动化、智能化程度达到行业先进水平，为高质量、高效率的制剂生产奠定坚实基础，通过优化生产流程，结合新设备的高效性能，实现多批次、大规模的制剂生产，提升医院在中医药领域的影响力与竞争力。</w:t>
      </w:r>
    </w:p>
    <w:p>
      <w:pPr>
        <w:spacing w:line="360" w:lineRule="auto"/>
        <w:ind w:firstLine="560"/>
        <w:rPr>
          <w:rFonts w:ascii="仿宋_GB2312"/>
          <w:color w:val="000000"/>
          <w:highlight w:val="none"/>
        </w:rPr>
      </w:pPr>
      <w:r>
        <w:rPr>
          <w:rFonts w:ascii="仿宋_GB2312" w:hAnsi="仿宋"/>
          <w:color w:val="000000"/>
          <w:szCs w:val="28"/>
          <w:highlight w:val="none"/>
        </w:rPr>
        <w:t>该项目阶段性目标为：</w:t>
      </w:r>
      <w:r>
        <w:rPr>
          <w:rFonts w:hint="eastAsia" w:ascii="仿宋_GB2312" w:hAnsi="仿宋"/>
          <w:color w:val="000000"/>
          <w:szCs w:val="28"/>
          <w:highlight w:val="none"/>
        </w:rPr>
        <w:t>在2024</w:t>
      </w:r>
      <w:r>
        <w:rPr>
          <w:rFonts w:ascii="仿宋_GB2312" w:hAnsi="仿宋"/>
          <w:color w:val="000000"/>
          <w:szCs w:val="28"/>
          <w:highlight w:val="none"/>
        </w:rPr>
        <w:t>年</w:t>
      </w:r>
      <w:r>
        <w:rPr>
          <w:rFonts w:hint="eastAsia" w:ascii="仿宋_GB2312" w:hAnsi="仿宋"/>
          <w:color w:val="000000"/>
          <w:szCs w:val="28"/>
          <w:highlight w:val="none"/>
        </w:rPr>
        <w:t>计划完成</w:t>
      </w:r>
      <w:r>
        <w:rPr>
          <w:rFonts w:hint="eastAsia" w:ascii="仿宋_GB2312"/>
          <w:color w:val="000000"/>
          <w:highlight w:val="none"/>
        </w:rPr>
        <w:t>①购置一套制剂生产设备，包括全自动制丸机、胶囊机、颗粒剂包装机等，支付</w:t>
      </w:r>
      <w:r>
        <w:rPr>
          <w:rFonts w:ascii="仿宋_GB2312"/>
          <w:color w:val="000000"/>
          <w:highlight w:val="none"/>
        </w:rPr>
        <w:t>设备购置费用</w:t>
      </w:r>
      <w:r>
        <w:rPr>
          <w:rFonts w:hint="eastAsia" w:ascii="仿宋_GB2312"/>
          <w:color w:val="000000"/>
          <w:highlight w:val="none"/>
        </w:rPr>
        <w:t>125.95万元</w:t>
      </w:r>
      <w:r>
        <w:rPr>
          <w:rFonts w:ascii="仿宋_GB2312"/>
          <w:color w:val="000000"/>
          <w:highlight w:val="none"/>
        </w:rPr>
        <w:t>，</w:t>
      </w:r>
      <w:r>
        <w:rPr>
          <w:rFonts w:hint="eastAsia" w:ascii="仿宋_GB2312"/>
          <w:color w:val="000000"/>
          <w:highlight w:val="none"/>
        </w:rPr>
        <w:t>以提升医院中药制剂的生产能力，满足临床日益增长的用药需求。②购置一套制剂提取设备，包括多功能提取罐、浓缩器、干燥设备等，支付设备购置费用1</w:t>
      </w:r>
      <w:r>
        <w:rPr>
          <w:rFonts w:ascii="仿宋_GB2312"/>
          <w:color w:val="000000"/>
          <w:highlight w:val="none"/>
        </w:rPr>
        <w:t>09.8</w:t>
      </w:r>
      <w:r>
        <w:rPr>
          <w:rFonts w:hint="eastAsia" w:ascii="仿宋_GB2312"/>
          <w:color w:val="000000"/>
          <w:highlight w:val="none"/>
        </w:rPr>
        <w:t>万元，以提高我院提高中药制剂的提取效率与质量稳定性。设备</w:t>
      </w:r>
      <w:r>
        <w:rPr>
          <w:rFonts w:ascii="仿宋_GB2312"/>
          <w:color w:val="000000"/>
          <w:highlight w:val="none"/>
        </w:rPr>
        <w:t>验收合格后投入使用，</w:t>
      </w:r>
      <w:r>
        <w:rPr>
          <w:rFonts w:hint="eastAsia" w:ascii="仿宋_GB2312"/>
          <w:color w:val="000000"/>
          <w:highlight w:val="none"/>
        </w:rPr>
        <w:t>以改善制剂室生产环境，提高制剂质量与生产效率，推动中医药事业高质量发展。</w:t>
      </w:r>
    </w:p>
    <w:p>
      <w:pPr>
        <w:spacing w:line="360" w:lineRule="auto"/>
        <w:ind w:firstLine="560"/>
        <w:rPr>
          <w:rFonts w:ascii="仿宋_GB2312" w:hAnsi="仿宋"/>
          <w:color w:val="000000"/>
          <w:szCs w:val="28"/>
          <w:highlight w:val="none"/>
        </w:rPr>
      </w:pPr>
    </w:p>
    <w:p>
      <w:pPr>
        <w:pStyle w:val="2"/>
        <w:ind w:firstLine="0" w:firstLineChars="0"/>
        <w:jc w:val="left"/>
        <w:rPr>
          <w:rFonts w:ascii="仿宋" w:hAnsi="仿宋" w:eastAsia="仿宋"/>
          <w:color w:val="000000"/>
          <w:sz w:val="36"/>
          <w:szCs w:val="36"/>
          <w:highlight w:val="none"/>
          <w:lang w:bidi="en-US"/>
        </w:rPr>
      </w:pPr>
      <w:bookmarkStart w:id="9" w:name="_Toc67911604"/>
      <w:bookmarkStart w:id="10" w:name="_Toc198307128"/>
      <w:r>
        <w:rPr>
          <w:rFonts w:hint="eastAsia" w:ascii="仿宋" w:hAnsi="仿宋" w:eastAsia="仿宋"/>
          <w:color w:val="000000"/>
          <w:sz w:val="36"/>
          <w:szCs w:val="36"/>
          <w:highlight w:val="none"/>
          <w:lang w:bidi="en-US"/>
        </w:rPr>
        <w:t>二、绩效评价工作开展情况</w:t>
      </w:r>
      <w:bookmarkEnd w:id="9"/>
      <w:bookmarkEnd w:id="10"/>
    </w:p>
    <w:p>
      <w:pPr>
        <w:pStyle w:val="3"/>
        <w:ind w:firstLine="643"/>
        <w:rPr>
          <w:rFonts w:ascii="仿宋" w:hAnsi="仿宋" w:eastAsia="仿宋"/>
          <w:color w:val="000000"/>
          <w:highlight w:val="none"/>
          <w:lang w:bidi="en-US"/>
        </w:rPr>
      </w:pPr>
      <w:bookmarkStart w:id="11" w:name="_Toc67911605"/>
      <w:bookmarkStart w:id="12" w:name="_Toc198307129"/>
      <w:r>
        <w:rPr>
          <w:rFonts w:hint="eastAsia" w:ascii="仿宋" w:hAnsi="仿宋" w:eastAsia="仿宋"/>
          <w:color w:val="000000"/>
          <w:highlight w:val="none"/>
          <w:lang w:bidi="en-US"/>
        </w:rPr>
        <w:t>（一）绩效评价目的、对象和范围</w:t>
      </w:r>
      <w:bookmarkEnd w:id="11"/>
      <w:bookmarkEnd w:id="12"/>
    </w:p>
    <w:p>
      <w:pPr>
        <w:pStyle w:val="4"/>
        <w:ind w:firstLine="643"/>
        <w:rPr>
          <w:color w:val="000000"/>
          <w:highlight w:val="none"/>
        </w:rPr>
      </w:pPr>
      <w:bookmarkStart w:id="13" w:name="_Toc198307130"/>
      <w:r>
        <w:rPr>
          <w:rFonts w:hint="eastAsia"/>
          <w:color w:val="000000"/>
          <w:highlight w:val="none"/>
        </w:rPr>
        <w:t>1</w:t>
      </w:r>
      <w:r>
        <w:rPr>
          <w:color w:val="000000"/>
          <w:highlight w:val="none"/>
        </w:rPr>
        <w:t>.绩效评价完整性</w:t>
      </w:r>
      <w:bookmarkEnd w:id="13"/>
    </w:p>
    <w:p>
      <w:pPr>
        <w:spacing w:line="360" w:lineRule="auto"/>
        <w:ind w:firstLine="560"/>
        <w:rPr>
          <w:color w:val="000000"/>
          <w:highlight w:val="none"/>
        </w:rPr>
      </w:pPr>
      <w:r>
        <w:rPr>
          <w:rFonts w:hint="eastAsia"/>
          <w:color w:val="000000"/>
          <w:highlight w:val="none"/>
        </w:rPr>
        <w:t>绩效评价指标体系围绕提升医院中药制剂的生产能力与中药制剂的提取效率及质量稳定性，通过购置先进的制剂生产与制剂提取设备，各项指标均能在现实条件下收集到相关数据进行佐证，在绩效评价体系中，针对提升医院中药制剂的生产能力与中药制剂的提取效率及质量稳定性目标，设置了“设备采购数量与设备验收合格率”指标，设置“项目完成时限”确保项目在整体进度上按</w:t>
      </w:r>
      <w:r>
        <w:rPr>
          <w:rFonts w:hint="eastAsia"/>
          <w:color w:val="000000"/>
          <w:highlight w:val="none"/>
          <w:lang w:eastAsia="zh-CN"/>
        </w:rPr>
        <w:t>既定</w:t>
      </w:r>
      <w:r>
        <w:rPr>
          <w:rFonts w:hint="eastAsia"/>
          <w:color w:val="000000"/>
          <w:highlight w:val="none"/>
        </w:rPr>
        <w:t>时间推进，评价指标体系围绕这些目标设置，能全面体现项目的目标、范围和要求。通过对项目申报、评审、资金拨付、实施过程及成果产出等计划和执行过程的分析，可清</w:t>
      </w:r>
      <w:r>
        <w:rPr>
          <w:rFonts w:hint="eastAsia"/>
          <w:color w:val="000000"/>
          <w:highlight w:val="none"/>
          <w:lang w:eastAsia="zh-CN"/>
        </w:rPr>
        <w:t>晰地</w:t>
      </w:r>
      <w:r>
        <w:rPr>
          <w:rFonts w:hint="eastAsia"/>
          <w:color w:val="000000"/>
          <w:highlight w:val="none"/>
        </w:rPr>
        <w:t>展现项目进展和完成度。评价数据来源于项目申报材料、财务账目、设备验收报告等，采集过程严格遵循相关规定，确保数据准确、评价</w:t>
      </w:r>
      <w:r>
        <w:rPr>
          <w:color w:val="000000"/>
          <w:highlight w:val="none"/>
        </w:rPr>
        <w:t>流程</w:t>
      </w:r>
      <w:r>
        <w:rPr>
          <w:rFonts w:hint="eastAsia"/>
          <w:color w:val="000000"/>
          <w:highlight w:val="none"/>
        </w:rPr>
        <w:t>完整。</w:t>
      </w:r>
    </w:p>
    <w:p>
      <w:pPr>
        <w:pStyle w:val="4"/>
        <w:ind w:firstLine="643"/>
        <w:rPr>
          <w:color w:val="000000"/>
          <w:highlight w:val="none"/>
        </w:rPr>
      </w:pPr>
      <w:bookmarkStart w:id="14" w:name="_Toc198307131"/>
      <w:r>
        <w:rPr>
          <w:color w:val="000000"/>
          <w:highlight w:val="none"/>
        </w:rPr>
        <w:t>2</w:t>
      </w:r>
      <w:r>
        <w:rPr>
          <w:rFonts w:hint="eastAsia"/>
          <w:color w:val="000000"/>
          <w:highlight w:val="none"/>
        </w:rPr>
        <w:t>.评价目的</w:t>
      </w:r>
      <w:bookmarkEnd w:id="14"/>
    </w:p>
    <w:p>
      <w:pPr>
        <w:spacing w:line="360" w:lineRule="auto"/>
        <w:ind w:firstLine="560"/>
        <w:rPr>
          <w:rFonts w:ascii="仿宋_GB2312"/>
          <w:color w:val="000000"/>
          <w:highlight w:val="none"/>
        </w:rPr>
      </w:pPr>
      <w:r>
        <w:rPr>
          <w:rFonts w:hint="eastAsia" w:ascii="仿宋_GB2312"/>
          <w:color w:val="000000"/>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关于拨付市中医院中医药制剂室2020年重点审专项资金</w:t>
      </w:r>
      <w:r>
        <w:rPr>
          <w:rFonts w:ascii="仿宋_GB2312"/>
          <w:color w:val="000000"/>
          <w:highlight w:val="none"/>
        </w:rPr>
        <w:t>项目的</w:t>
      </w:r>
      <w:r>
        <w:rPr>
          <w:rFonts w:hint="eastAsia" w:ascii="仿宋_GB2312"/>
          <w:color w:val="000000"/>
          <w:highlight w:val="none"/>
        </w:rPr>
        <w:t>实施情况，并考察项目实施过程和效果。</w:t>
      </w:r>
    </w:p>
    <w:p>
      <w:pPr>
        <w:spacing w:line="360" w:lineRule="auto"/>
        <w:ind w:firstLine="560"/>
        <w:rPr>
          <w:rFonts w:ascii="仿宋_GB2312"/>
          <w:b/>
          <w:bCs/>
          <w:color w:val="000000"/>
          <w:highlight w:val="none"/>
        </w:rPr>
      </w:pPr>
      <w:r>
        <w:rPr>
          <w:rFonts w:hint="eastAsia" w:ascii="仿宋_GB2312"/>
          <w:color w:val="000000"/>
          <w:highlight w:val="none"/>
        </w:rPr>
        <w:t>（2）通过评价，客观公正反映项目立项科学性、项目管理规范性、项目实施有效性和项目效果，总结项目实施的经验，发现项目实施过程中存在的问题，提高财政资金使用效益。</w:t>
      </w:r>
    </w:p>
    <w:p>
      <w:pPr>
        <w:pStyle w:val="4"/>
        <w:ind w:firstLine="643"/>
        <w:rPr>
          <w:color w:val="000000"/>
          <w:highlight w:val="none"/>
        </w:rPr>
      </w:pPr>
      <w:bookmarkStart w:id="15" w:name="_Toc198307132"/>
      <w:r>
        <w:rPr>
          <w:color w:val="000000"/>
          <w:highlight w:val="none"/>
        </w:rPr>
        <w:t>3</w:t>
      </w:r>
      <w:r>
        <w:rPr>
          <w:rFonts w:hint="eastAsia"/>
          <w:color w:val="000000"/>
          <w:highlight w:val="none"/>
        </w:rPr>
        <w:t>.评价对象</w:t>
      </w:r>
      <w:bookmarkEnd w:id="15"/>
    </w:p>
    <w:p>
      <w:pPr>
        <w:spacing w:line="360" w:lineRule="auto"/>
        <w:ind w:firstLine="560"/>
        <w:rPr>
          <w:rFonts w:ascii="仿宋_GB2312"/>
          <w:color w:val="000000"/>
          <w:highlight w:val="none"/>
        </w:rPr>
      </w:pPr>
      <w:r>
        <w:rPr>
          <w:rFonts w:hint="eastAsia" w:ascii="仿宋_GB2312"/>
          <w:color w:val="000000"/>
          <w:highlight w:val="none"/>
        </w:rPr>
        <w:t>（1）绩效评价的对象：关于拨付市中医院中医药制剂室2020年重点审专项资金项目</w:t>
      </w:r>
      <w:r>
        <w:rPr>
          <w:rFonts w:ascii="仿宋_GB2312"/>
          <w:color w:val="000000"/>
          <w:highlight w:val="none"/>
        </w:rPr>
        <w:t xml:space="preserve"> </w:t>
      </w:r>
    </w:p>
    <w:p>
      <w:pPr>
        <w:pStyle w:val="4"/>
        <w:ind w:firstLine="643"/>
        <w:rPr>
          <w:color w:val="000000"/>
          <w:highlight w:val="none"/>
        </w:rPr>
      </w:pPr>
      <w:bookmarkStart w:id="16" w:name="_Toc198307133"/>
      <w:r>
        <w:rPr>
          <w:rFonts w:hint="eastAsia"/>
          <w:color w:val="000000"/>
          <w:highlight w:val="none"/>
        </w:rPr>
        <w:t>4</w:t>
      </w:r>
      <w:r>
        <w:rPr>
          <w:color w:val="000000"/>
          <w:highlight w:val="none"/>
        </w:rPr>
        <w:t>.</w:t>
      </w:r>
      <w:r>
        <w:rPr>
          <w:rFonts w:hint="eastAsia"/>
          <w:color w:val="000000"/>
          <w:highlight w:val="none"/>
        </w:rPr>
        <w:t>绩效评价范围</w:t>
      </w:r>
      <w:bookmarkEnd w:id="16"/>
    </w:p>
    <w:p>
      <w:pPr>
        <w:spacing w:line="360" w:lineRule="auto"/>
        <w:ind w:firstLine="560"/>
        <w:rPr>
          <w:rFonts w:ascii="仿宋_GB2312"/>
          <w:color w:val="000000"/>
          <w:highlight w:val="none"/>
        </w:rPr>
      </w:pPr>
      <w:r>
        <w:rPr>
          <w:rFonts w:ascii="仿宋_GB2312"/>
          <w:color w:val="000000"/>
          <w:highlight w:val="none"/>
        </w:rPr>
        <w:t>1.</w:t>
      </w:r>
      <w:r>
        <w:rPr>
          <w:rFonts w:hint="eastAsia" w:ascii="仿宋_GB2312"/>
          <w:color w:val="000000"/>
          <w:highlight w:val="none"/>
        </w:rPr>
        <w:t>时间范围：2020年1月1日至2024年1</w:t>
      </w:r>
      <w:r>
        <w:rPr>
          <w:rFonts w:ascii="仿宋_GB2312"/>
          <w:color w:val="000000"/>
          <w:highlight w:val="none"/>
        </w:rPr>
        <w:t>2</w:t>
      </w:r>
      <w:r>
        <w:rPr>
          <w:rFonts w:hint="eastAsia" w:ascii="仿宋_GB2312"/>
          <w:color w:val="000000"/>
          <w:highlight w:val="none"/>
        </w:rPr>
        <w:t>月3</w:t>
      </w:r>
      <w:r>
        <w:rPr>
          <w:rFonts w:ascii="仿宋_GB2312"/>
          <w:color w:val="000000"/>
          <w:highlight w:val="none"/>
        </w:rPr>
        <w:t>1</w:t>
      </w:r>
      <w:r>
        <w:rPr>
          <w:rFonts w:hint="eastAsia" w:ascii="仿宋_GB2312"/>
          <w:color w:val="000000"/>
          <w:highlight w:val="none"/>
        </w:rPr>
        <w:t>日。</w:t>
      </w:r>
    </w:p>
    <w:p>
      <w:pPr>
        <w:spacing w:line="360" w:lineRule="auto"/>
        <w:ind w:firstLine="560"/>
        <w:rPr>
          <w:rFonts w:ascii="仿宋_GB2312"/>
          <w:color w:val="000000"/>
          <w:highlight w:val="none"/>
        </w:rPr>
      </w:pPr>
      <w:r>
        <w:rPr>
          <w:rFonts w:ascii="仿宋_GB2312"/>
          <w:color w:val="000000"/>
          <w:highlight w:val="none"/>
        </w:rPr>
        <w:t>2.</w:t>
      </w:r>
      <w:r>
        <w:rPr>
          <w:rFonts w:hint="eastAsia" w:ascii="仿宋_GB2312"/>
          <w:color w:val="000000"/>
          <w:highlight w:val="none"/>
        </w:rPr>
        <w:t>项目范围：关于拨付市中医院中医药制剂室2020年重点审专项资金项目主要用于采购制剂生产设备与制剂提取设备，医院成立项目专项工作小组，制定详细的项目实施方案，明确各部门在项目规划、资金管理、设备采购等环节的职责，确保项目有序推进，同时，建立了严格的资金使用审批流程，每一笔资金支出都需要经过层层审核，确保资金用于项目规定用途，我院已完成购置一套制剂生产设备，包括全自动制丸机、胶囊机、颗粒剂包装机等，支付设备购置费用125.95万元，已完成购置一套制剂提取设备，包括多功能提取罐、浓缩器、干燥设备等，支付设备购置费用109.8万元，设备验收合格后投入使用，</w:t>
      </w:r>
      <w:r>
        <w:rPr>
          <w:rFonts w:ascii="仿宋_GB2312"/>
          <w:color w:val="000000"/>
          <w:highlight w:val="none"/>
        </w:rPr>
        <w:t xml:space="preserve"> </w:t>
      </w:r>
      <w:r>
        <w:rPr>
          <w:rFonts w:hint="eastAsia" w:ascii="仿宋_GB2312"/>
          <w:color w:val="000000"/>
          <w:highlight w:val="none"/>
        </w:rPr>
        <w:t>通过该项目的实施，我院制剂室的硬件设施得到极大改善，新设备的投入使用显著提升了中药制剂的生产能力与质量水平，但在项目实施过程中，仍存在设备采购周期长、设备维护成本高、资金使用效率有待提升等问题，我院还需建立专业的设备维护团队，优化项目规划与资金管理流程，持续改进项目管理水平，确保项目长期稳定发挥效益。</w:t>
      </w:r>
      <w:r>
        <w:rPr>
          <w:rFonts w:ascii="仿宋_GB2312"/>
          <w:color w:val="000000"/>
          <w:highlight w:val="none"/>
        </w:rPr>
        <w:t>综上</w:t>
      </w:r>
      <w:r>
        <w:rPr>
          <w:rFonts w:hint="eastAsia" w:ascii="仿宋_GB2312"/>
          <w:color w:val="000000"/>
          <w:highlight w:val="none"/>
        </w:rPr>
        <w:t>，</w:t>
      </w:r>
      <w:r>
        <w:rPr>
          <w:rFonts w:ascii="仿宋_GB2312"/>
          <w:color w:val="000000"/>
          <w:highlight w:val="none"/>
        </w:rPr>
        <w:t>项目完成情况较好，</w:t>
      </w:r>
      <w:r>
        <w:rPr>
          <w:rFonts w:hint="eastAsia" w:ascii="仿宋_GB2312"/>
          <w:color w:val="000000"/>
          <w:highlight w:val="none"/>
        </w:rPr>
        <w:t>得分100分</w:t>
      </w:r>
      <w:r>
        <w:rPr>
          <w:rFonts w:ascii="仿宋_GB2312"/>
          <w:color w:val="000000"/>
          <w:highlight w:val="none"/>
        </w:rPr>
        <w:t>。</w:t>
      </w:r>
    </w:p>
    <w:p>
      <w:pPr>
        <w:pStyle w:val="3"/>
        <w:ind w:firstLine="643"/>
        <w:rPr>
          <w:rFonts w:ascii="仿宋" w:hAnsi="仿宋" w:eastAsia="仿宋"/>
          <w:color w:val="000000"/>
          <w:highlight w:val="none"/>
          <w:lang w:bidi="en-US"/>
        </w:rPr>
      </w:pPr>
      <w:bookmarkStart w:id="17" w:name="_Toc67911606"/>
      <w:bookmarkStart w:id="18" w:name="_Toc198307134"/>
      <w:bookmarkStart w:id="19" w:name="_Hlk67586765"/>
      <w:r>
        <w:rPr>
          <w:rFonts w:hint="eastAsia" w:ascii="仿宋" w:hAnsi="仿宋" w:eastAsia="仿宋"/>
          <w:color w:val="000000"/>
          <w:highlight w:val="none"/>
          <w:lang w:bidi="en-US"/>
        </w:rPr>
        <w:t>（二）绩效评价原则、指标体系、方法及标准</w:t>
      </w:r>
      <w:bookmarkEnd w:id="17"/>
      <w:bookmarkEnd w:id="18"/>
    </w:p>
    <w:bookmarkEnd w:id="19"/>
    <w:p>
      <w:pPr>
        <w:pStyle w:val="4"/>
        <w:ind w:firstLine="643"/>
        <w:rPr>
          <w:color w:val="000000"/>
          <w:highlight w:val="none"/>
        </w:rPr>
      </w:pPr>
      <w:bookmarkStart w:id="20" w:name="_Toc198307135"/>
      <w:r>
        <w:rPr>
          <w:rFonts w:hint="eastAsia"/>
          <w:color w:val="000000"/>
          <w:highlight w:val="none"/>
        </w:rPr>
        <w:t>1</w:t>
      </w:r>
      <w:r>
        <w:rPr>
          <w:color w:val="000000"/>
          <w:highlight w:val="none"/>
        </w:rPr>
        <w:t>.</w:t>
      </w:r>
      <w:r>
        <w:rPr>
          <w:rFonts w:hint="eastAsia"/>
          <w:color w:val="000000"/>
          <w:highlight w:val="none"/>
        </w:rPr>
        <w:t>评价原则</w:t>
      </w:r>
      <w:bookmarkEnd w:id="20"/>
    </w:p>
    <w:p>
      <w:pPr>
        <w:spacing w:line="600" w:lineRule="exact"/>
        <w:ind w:firstLine="560"/>
        <w:rPr>
          <w:rFonts w:ascii="仿宋_GB2312"/>
          <w:bCs/>
          <w:color w:val="000000"/>
          <w:szCs w:val="28"/>
          <w:highlight w:val="none"/>
        </w:rPr>
      </w:pPr>
      <w:r>
        <w:rPr>
          <w:rFonts w:hint="eastAsia" w:ascii="仿宋_GB2312"/>
          <w:bCs/>
          <w:color w:val="000000"/>
          <w:szCs w:val="28"/>
          <w:highlight w:val="none"/>
        </w:rPr>
        <w:t>（一）科学公正。绩效评价应当运用科学合理的方法，按照规范的程序，对项目绩效进行客观、公正</w:t>
      </w:r>
      <w:r>
        <w:rPr>
          <w:rFonts w:hint="eastAsia" w:ascii="仿宋_GB2312"/>
          <w:bCs/>
          <w:color w:val="000000"/>
          <w:szCs w:val="28"/>
          <w:highlight w:val="none"/>
          <w:lang w:eastAsia="zh-CN"/>
        </w:rPr>
        <w:t>地</w:t>
      </w:r>
      <w:r>
        <w:rPr>
          <w:rFonts w:hint="eastAsia" w:ascii="仿宋_GB2312"/>
          <w:bCs/>
          <w:color w:val="000000"/>
          <w:szCs w:val="28"/>
          <w:highlight w:val="none"/>
        </w:rPr>
        <w:t>反映。</w:t>
      </w:r>
    </w:p>
    <w:p>
      <w:pPr>
        <w:spacing w:line="600" w:lineRule="exact"/>
        <w:ind w:firstLine="560"/>
        <w:rPr>
          <w:rFonts w:ascii="仿宋_GB2312"/>
          <w:bCs/>
          <w:color w:val="000000"/>
          <w:szCs w:val="28"/>
          <w:highlight w:val="none"/>
        </w:rPr>
      </w:pPr>
      <w:r>
        <w:rPr>
          <w:rFonts w:hint="eastAsia" w:ascii="仿宋_GB2312"/>
          <w:bCs/>
          <w:color w:val="000000"/>
          <w:szCs w:val="28"/>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560"/>
        <w:rPr>
          <w:rFonts w:ascii="仿宋_GB2312"/>
          <w:bCs/>
          <w:color w:val="000000"/>
          <w:szCs w:val="28"/>
          <w:highlight w:val="none"/>
        </w:rPr>
      </w:pPr>
      <w:r>
        <w:rPr>
          <w:rFonts w:hint="eastAsia" w:ascii="仿宋_GB2312"/>
          <w:bCs/>
          <w:color w:val="000000"/>
          <w:szCs w:val="28"/>
          <w:highlight w:val="none"/>
        </w:rPr>
        <w:t>（三）激励约束。绩效评价结果应与预算安排、政策调整、改进管理实质性挂钩，体现奖优罚劣和激励相容导向，有效要安排、低效要压减、无效要问责。</w:t>
      </w:r>
    </w:p>
    <w:p>
      <w:pPr>
        <w:spacing w:line="600" w:lineRule="exact"/>
        <w:ind w:firstLine="560"/>
        <w:rPr>
          <w:rFonts w:ascii="仿宋_GB2312"/>
          <w:bCs/>
          <w:color w:val="000000"/>
          <w:szCs w:val="28"/>
          <w:highlight w:val="none"/>
        </w:rPr>
      </w:pPr>
      <w:r>
        <w:rPr>
          <w:rFonts w:hint="eastAsia" w:ascii="仿宋_GB2312"/>
          <w:bCs/>
          <w:color w:val="000000"/>
          <w:szCs w:val="28"/>
          <w:highlight w:val="none"/>
        </w:rPr>
        <w:t>（四）公开透明。绩效评价结果应依法依规公开，并自觉接受社会监督。</w:t>
      </w:r>
    </w:p>
    <w:p>
      <w:pPr>
        <w:pStyle w:val="4"/>
        <w:ind w:firstLine="643"/>
        <w:rPr>
          <w:color w:val="000000"/>
          <w:highlight w:val="none"/>
        </w:rPr>
      </w:pPr>
      <w:bookmarkStart w:id="21" w:name="_Toc198307136"/>
      <w:r>
        <w:rPr>
          <w:color w:val="000000"/>
          <w:highlight w:val="none"/>
        </w:rPr>
        <w:t>2.</w:t>
      </w:r>
      <w:r>
        <w:rPr>
          <w:rFonts w:hint="eastAsia"/>
          <w:color w:val="000000"/>
          <w:highlight w:val="none"/>
        </w:rPr>
        <w:t>评价指标体系</w:t>
      </w:r>
      <w:bookmarkEnd w:id="21"/>
    </w:p>
    <w:p>
      <w:pPr>
        <w:spacing w:line="360" w:lineRule="auto"/>
        <w:ind w:firstLine="560"/>
        <w:rPr>
          <w:rFonts w:ascii="仿宋_GB2312"/>
          <w:color w:val="000000"/>
          <w:highlight w:val="none"/>
        </w:rPr>
      </w:pPr>
      <w:r>
        <w:rPr>
          <w:rFonts w:hint="eastAsia" w:ascii="仿宋_GB2312"/>
          <w:color w:val="000000"/>
          <w:highlight w:val="none"/>
        </w:rPr>
        <w:t>绩效评价指标体系作为衡量绩效目标实现程度的考核工具，一般遵循以下原则：</w:t>
      </w:r>
    </w:p>
    <w:p>
      <w:pPr>
        <w:spacing w:line="360" w:lineRule="auto"/>
        <w:ind w:firstLine="560"/>
        <w:rPr>
          <w:rFonts w:ascii="仿宋_GB2312"/>
          <w:color w:val="000000"/>
          <w:highlight w:val="none"/>
        </w:rPr>
      </w:pPr>
      <w:r>
        <w:rPr>
          <w:rFonts w:hint="eastAsia" w:ascii="仿宋_GB2312"/>
          <w:color w:val="000000"/>
          <w:highlight w:val="none"/>
        </w:rPr>
        <w:t>（1）相关性原则：绩效评价指标应当与绩效目标有直接的联系，能够恰当反映目标的实现程度。</w:t>
      </w:r>
    </w:p>
    <w:p>
      <w:pPr>
        <w:spacing w:line="360" w:lineRule="auto"/>
        <w:ind w:firstLine="560"/>
        <w:rPr>
          <w:rFonts w:ascii="仿宋_GB2312"/>
          <w:color w:val="000000"/>
          <w:highlight w:val="none"/>
        </w:rPr>
      </w:pPr>
      <w:r>
        <w:rPr>
          <w:rFonts w:hint="eastAsia" w:ascii="仿宋_GB2312"/>
          <w:color w:val="000000"/>
          <w:highlight w:val="none"/>
        </w:rPr>
        <w:t>（2）重要性原则：应当优先使用最具评价对象代表性、最能反映评价要求的核心指标。</w:t>
      </w:r>
    </w:p>
    <w:p>
      <w:pPr>
        <w:spacing w:line="360" w:lineRule="auto"/>
        <w:ind w:firstLine="560"/>
        <w:rPr>
          <w:rFonts w:ascii="仿宋_GB2312"/>
          <w:color w:val="000000"/>
          <w:highlight w:val="none"/>
        </w:rPr>
      </w:pPr>
      <w:r>
        <w:rPr>
          <w:rFonts w:hint="eastAsia" w:ascii="仿宋_GB2312"/>
          <w:color w:val="000000"/>
          <w:highlight w:val="none"/>
        </w:rPr>
        <w:t>（3）可比性原则：对同类评价对象要设定共性的绩效评价指标，以便于评价结果可以相互比较。</w:t>
      </w:r>
    </w:p>
    <w:p>
      <w:pPr>
        <w:spacing w:line="360" w:lineRule="auto"/>
        <w:ind w:firstLine="560"/>
        <w:rPr>
          <w:rFonts w:ascii="仿宋_GB2312"/>
          <w:color w:val="000000"/>
          <w:highlight w:val="none"/>
        </w:rPr>
      </w:pPr>
      <w:r>
        <w:rPr>
          <w:rFonts w:hint="eastAsia" w:ascii="仿宋_GB2312"/>
          <w:color w:val="000000"/>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color w:val="000000"/>
          <w:highlight w:val="none"/>
        </w:rPr>
      </w:pPr>
      <w:r>
        <w:rPr>
          <w:rFonts w:hint="eastAsia" w:ascii="仿宋_GB2312"/>
          <w:color w:val="000000"/>
          <w:highlight w:val="none"/>
        </w:rPr>
        <w:t>（5）经济性原则：绩效评价指标设计应当通俗易懂、简便易行，数据的获得应当考虑现实条件和可操作性，符合成本效益原则。</w:t>
      </w:r>
    </w:p>
    <w:p>
      <w:pPr>
        <w:spacing w:line="360" w:lineRule="auto"/>
        <w:ind w:firstLine="560"/>
        <w:rPr>
          <w:rFonts w:ascii="仿宋_GB2312"/>
          <w:color w:val="000000"/>
          <w:highlight w:val="none"/>
        </w:rPr>
      </w:pPr>
      <w:r>
        <w:rPr>
          <w:rFonts w:hint="eastAsia" w:ascii="仿宋_GB2312"/>
          <w:color w:val="000000"/>
          <w:highlight w:val="none"/>
        </w:rPr>
        <w:t>本项目的评价指标体系建立如下表所示。</w:t>
      </w:r>
    </w:p>
    <w:p>
      <w:pPr>
        <w:spacing w:line="360" w:lineRule="auto"/>
        <w:ind w:firstLine="560"/>
        <w:rPr>
          <w:rFonts w:ascii="仿宋_GB2312"/>
          <w:color w:val="000000"/>
          <w:highlight w:val="none"/>
        </w:rPr>
      </w:pPr>
    </w:p>
    <w:p>
      <w:pPr>
        <w:spacing w:line="360" w:lineRule="auto"/>
        <w:ind w:firstLine="560"/>
        <w:rPr>
          <w:rFonts w:ascii="仿宋_GB2312"/>
          <w:color w:val="000000"/>
          <w:highlight w:val="none"/>
        </w:rPr>
      </w:pPr>
    </w:p>
    <w:p>
      <w:pPr>
        <w:spacing w:line="360" w:lineRule="auto"/>
        <w:ind w:firstLine="560"/>
        <w:rPr>
          <w:rFonts w:ascii="仿宋_GB2312"/>
          <w:color w:val="000000"/>
          <w:highlight w:val="none"/>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720" w:num="1"/>
          <w:docGrid w:type="lines" w:linePitch="381"/>
        </w:sectPr>
      </w:pPr>
    </w:p>
    <w:p>
      <w:pPr>
        <w:spacing w:line="360" w:lineRule="auto"/>
        <w:ind w:firstLine="0" w:firstLineChars="0"/>
        <w:jc w:val="center"/>
        <w:rPr>
          <w:rFonts w:ascii="仿宋_GB2312"/>
          <w:b/>
          <w:bCs/>
          <w:color w:val="000000"/>
          <w:highlight w:val="none"/>
        </w:rPr>
      </w:pPr>
      <w:r>
        <w:rPr>
          <w:rFonts w:ascii="仿宋_GB2312"/>
          <w:b/>
          <w:bCs/>
          <w:color w:val="000000"/>
          <w:highlight w:val="none"/>
        </w:rPr>
        <w:t xml:space="preserve">  </w:t>
      </w:r>
      <w:r>
        <w:rPr>
          <w:rFonts w:hint="eastAsia" w:ascii="仿宋_GB2312"/>
          <w:b/>
          <w:bCs/>
          <w:color w:val="000000"/>
          <w:highlight w:val="none"/>
        </w:rPr>
        <w:t>项目支出绩效评价指标体系</w:t>
      </w:r>
    </w:p>
    <w:tbl>
      <w:tblPr>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rPr>
          <w:trHeight w:val="692" w:hRule="atLeast"/>
          <w:tblHeader/>
          <w:jc w:val="center"/>
        </w:trPr>
        <w:tc>
          <w:tcPr>
            <w:tcW w:w="1155"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一级指标</w:t>
            </w:r>
          </w:p>
        </w:tc>
        <w:tc>
          <w:tcPr>
            <w:tcW w:w="1199"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二级指标</w:t>
            </w:r>
          </w:p>
        </w:tc>
        <w:tc>
          <w:tcPr>
            <w:tcW w:w="1411"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三级指标</w:t>
            </w:r>
          </w:p>
        </w:tc>
        <w:tc>
          <w:tcPr>
            <w:tcW w:w="2789"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指标解释</w:t>
            </w:r>
          </w:p>
        </w:tc>
        <w:tc>
          <w:tcPr>
            <w:tcW w:w="7341"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指标说明</w:t>
            </w:r>
          </w:p>
        </w:tc>
      </w:tr>
      <w:tr>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立项依据</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①项目立项是否符合国家法律法规、国民经济发展规划和相关政策；</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②项目立项是否符合行业发展规划和政策要求；</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③项目立项是否与部门职责范围相符，属于部门履职所需；</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④项目是否属于公共财政支持范围，是否符合中央、地方事权支出责任划分原则；</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⑤项目是否与相关部门同类项目或部门内部相关项目重复。</w:t>
            </w:r>
          </w:p>
        </w:tc>
      </w:tr>
      <w:tr>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立项程序</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①项目是否按照规定的程序申请设立；</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②审批文件、材料是否符合相关要求；</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③事前是否已经过必要的可行性研究、专家论证、风险评估、绩效评估、集体决策。</w:t>
            </w:r>
          </w:p>
        </w:tc>
      </w:tr>
      <w:tr>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（如未设定预算绩效目标，也可考核其他工作任务目标）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①项目是否有绩效目标；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②项目绩效目标与实际工作内容是否具有相关性；</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③项目预期产出效益和效果是否符合正常的业绩水平；</w:t>
            </w:r>
          </w:p>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④是否与预算确定的项目投资额或资金量相匹配。</w:t>
            </w:r>
          </w:p>
        </w:tc>
      </w:tr>
      <w:tr>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绩效指标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①是否将项目绩效目标细化分解为具体的绩效指标；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②是否通过清晰、可衡量的指标值予以体现；</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③是否与项目目标任务数或计划数相对应。</w:t>
            </w:r>
            <w:r>
              <w:rPr>
                <w:rFonts w:hint="eastAsia" w:ascii="宋体" w:hAnsi="宋体" w:eastAsia="宋体" w:cs="宋体"/>
                <w:color w:val="000000"/>
                <w:kern w:val="0"/>
                <w:sz w:val="22"/>
                <w:highlight w:val="none"/>
              </w:rPr>
              <w:br/>
            </w:r>
          </w:p>
        </w:tc>
      </w:tr>
      <w:tr>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预算编制</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①预算编制是否经过科学论证；</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②预算内容与项目内容是否匹配；</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③预算额度测算依据是否充分，是否按照标准编制；</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④预算确定的项目投资额或资金量是否与工作任务相匹配。</w:t>
            </w:r>
          </w:p>
        </w:tc>
      </w:tr>
      <w:tr>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资金分配</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①预算资金分配依据是否充分；</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②资金分配额度是否合理，与项目单位或地方实际是否相适应。</w:t>
            </w:r>
          </w:p>
        </w:tc>
      </w:tr>
      <w:tr>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资金到位率=（实际到位资金/预算资金）×100%。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实际到位资金：一定时期（本年度或项目期）内落实到具体项目的资金。</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预算资金：一定时期（本年度或项目期）内预算安排到具体项目的资金。</w:t>
            </w:r>
          </w:p>
        </w:tc>
      </w:tr>
      <w:tr>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预算执行率=（实际支出资金/实际到位资金）×100%。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实际支出资金：一定时期（本年度或项目期）内项目实际拨付的资金。</w:t>
            </w:r>
          </w:p>
        </w:tc>
      </w:tr>
      <w:tr>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资金使用</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①是否符合国家财经法规和财务管理制度以及有关专项资金管理办法的规定；</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②资金的拨付是否有完整的审批程序和手续；</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③是否符合项目预算批复或合同规定的用途；</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④是否存在截留、挤占、挪用、虚列支出等情况。</w:t>
            </w:r>
          </w:p>
        </w:tc>
      </w:tr>
      <w:tr>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管理制度</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①是否已制定或具有相应的财务和业务管理制度；</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②财务和业务管理制度是否合法、合规、完整。</w:t>
            </w:r>
          </w:p>
        </w:tc>
      </w:tr>
      <w:tr>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制度执行</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①是否遵守相关法律法规和相关管理规定；</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②项目调整及支出调整手续是否完备；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③项目合同书、验收报告、技术鉴定等资料是否齐全并及时归档；</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④项目实施的人员条件、场地设备、信息支撑等是否落实到位。</w:t>
            </w:r>
          </w:p>
        </w:tc>
      </w:tr>
      <w:tr>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1" w:type="dxa"/>
            <w:tcBorders>
              <w:tl2br w:val="nil"/>
              <w:tr2bl w:val="nil"/>
            </w:tcBorders>
            <w:shd w:val="clear" w:color="auto" w:fill="FFFFFF"/>
            <w:vAlign w:val="top"/>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制剂生产设备采购</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实际完成率=（实际产出数/计划产出数）×100%。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实际产出数：一定时期（本年度或项目期）内项目实际产出的产品或提供的服务数量。</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计划产出数：项目绩效目标确定的在一定时期（本年度或项目期）内计划产出的产品或提供的服务数量。</w:t>
            </w:r>
          </w:p>
        </w:tc>
      </w:tr>
      <w:tr>
        <w:trPr>
          <w:trHeight w:val="640" w:hRule="atLeast"/>
          <w:jc w:val="center"/>
        </w:trPr>
        <w:tc>
          <w:tcPr>
            <w:tcW w:w="1155" w:type="dxa"/>
            <w:vMerge w:val="continue"/>
            <w:tcBorders>
              <w:tl2br w:val="nil"/>
              <w:tr2bl w:val="nil"/>
            </w:tcBorders>
            <w:shd w:val="clear" w:color="auto" w:fill="FFFFFF"/>
            <w:vAlign w:val="center"/>
          </w:tcPr>
          <w:p>
            <w:pPr>
              <w:ind w:firstLine="44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top"/>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制剂提取设备采购</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r>
      <w:tr>
        <w:trPr>
          <w:trHeight w:val="171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设备验收合格率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质量达标率=（质量达标产出数/实际产出数）×100%。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项目完成时限</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实际完成时间：项目实施单位完成该项目实际所耗用的时间。</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计划完成时间：按照项目实施计划或相关规定完成该项目所需的时间。</w:t>
            </w:r>
          </w:p>
        </w:tc>
      </w:tr>
      <w:tr>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制剂生产设备成本</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成本节约率=[（计划成本-实际成本）/计划成本]×100%。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实际成本：项目实施单位如期、保质、保量完成既定工作目标实际所耗费的支出。</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计划成本：项目实施单位为完成工作目标计划安排的支出，一般以项目预算为参考。</w:t>
            </w:r>
          </w:p>
        </w:tc>
      </w:tr>
      <w:tr>
        <w:trPr>
          <w:trHeight w:val="1133"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制剂提取设备成本</w:t>
            </w:r>
          </w:p>
        </w:tc>
        <w:tc>
          <w:tcPr>
            <w:tcW w:w="2789"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r>
      <w:tr>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促进中医药发展</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项目实施所产生的社会效益、经济效益、生态效益、可持续影响等。可根据项目实际情况有选择地设置和细化。</w:t>
            </w:r>
          </w:p>
        </w:tc>
      </w:tr>
      <w:tr>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r>
              <w:rPr>
                <w:rFonts w:ascii="宋体" w:hAnsi="宋体" w:eastAsia="宋体" w:cs="宋体"/>
                <w:color w:val="000000"/>
                <w:kern w:val="0"/>
                <w:sz w:val="22"/>
                <w:highlight w:val="none"/>
              </w:rPr>
              <w:t>完成情况分析</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患者</w:t>
            </w:r>
            <w:r>
              <w:rPr>
                <w:rFonts w:ascii="宋体" w:hAnsi="宋体" w:eastAsia="宋体" w:cs="宋体"/>
                <w:color w:val="000000"/>
                <w:kern w:val="0"/>
                <w:sz w:val="22"/>
                <w:highlight w:val="none"/>
              </w:rPr>
              <w:t>满意度</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社会公众或服务对象对项目实施效果的满意程度。</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社会公众或服务对象是指因该项目实施而受到影响的部门（单位）、群体或个人。一般采取社会调查的方式。</w:t>
            </w:r>
          </w:p>
        </w:tc>
      </w:tr>
    </w:tbl>
    <w:p>
      <w:pPr>
        <w:ind w:firstLine="0" w:firstLineChars="0"/>
        <w:rPr>
          <w:rFonts w:ascii="仿宋_GB2312"/>
          <w:color w:val="000000"/>
          <w:highlight w:val="none"/>
        </w:rPr>
      </w:pPr>
    </w:p>
    <w:p>
      <w:pPr>
        <w:ind w:firstLine="0" w:firstLineChars="0"/>
        <w:jc w:val="center"/>
        <w:rPr>
          <w:rFonts w:ascii="仿宋_GB2312"/>
          <w:color w:val="000000"/>
          <w:highlight w:val="none"/>
        </w:rPr>
        <w:sectPr>
          <w:footnotePr>
            <w:numFmt w:val="decimalEnclosedCircleChinese"/>
          </w:footnotePr>
          <w:pgSz w:w="16838" w:h="11906" w:orient="landscape"/>
          <w:pgMar w:top="1800" w:right="1440" w:bottom="1800" w:left="1440" w:header="1276" w:footer="992" w:gutter="0"/>
          <w:cols w:space="720" w:num="1"/>
          <w:docGrid w:type="lines" w:linePitch="381"/>
        </w:sectPr>
      </w:pPr>
    </w:p>
    <w:p>
      <w:pPr>
        <w:pStyle w:val="4"/>
        <w:ind w:firstLine="643"/>
        <w:rPr>
          <w:color w:val="000000"/>
          <w:highlight w:val="none"/>
        </w:rPr>
      </w:pPr>
      <w:bookmarkStart w:id="22" w:name="_Toc198307137"/>
      <w:bookmarkStart w:id="23" w:name="_Hlk67586038"/>
      <w:r>
        <w:rPr>
          <w:color w:val="000000"/>
          <w:highlight w:val="none"/>
        </w:rPr>
        <w:t>3.</w:t>
      </w:r>
      <w:r>
        <w:rPr>
          <w:rFonts w:hint="eastAsia"/>
          <w:color w:val="000000"/>
          <w:highlight w:val="none"/>
        </w:rPr>
        <w:t>评价方法</w:t>
      </w:r>
      <w:bookmarkEnd w:id="22"/>
    </w:p>
    <w:bookmarkEnd w:id="23"/>
    <w:p>
      <w:pPr>
        <w:spacing w:line="360" w:lineRule="auto"/>
        <w:ind w:firstLine="560"/>
        <w:rPr>
          <w:rFonts w:ascii="仿宋_GB2312"/>
          <w:color w:val="000000"/>
          <w:highlight w:val="none"/>
        </w:rPr>
      </w:pPr>
      <w:r>
        <w:rPr>
          <w:rFonts w:hint="eastAsia" w:ascii="仿宋_GB2312"/>
          <w:color w:val="000000"/>
          <w:highlight w:val="none"/>
        </w:rPr>
        <w:t>《关于印发</w:t>
      </w:r>
      <w:r>
        <w:rPr>
          <w:rFonts w:hint="eastAsia" w:ascii="仿宋_GB2312"/>
          <w:color w:val="000000"/>
          <w:highlight w:val="none"/>
          <w:lang w:eastAsia="zh-CN"/>
        </w:rPr>
        <w:t>〈</w:t>
      </w:r>
      <w:r>
        <w:rPr>
          <w:rFonts w:hint="eastAsia" w:ascii="仿宋_GB2312"/>
          <w:color w:val="000000"/>
          <w:highlight w:val="none"/>
        </w:rPr>
        <w:t>项目支出绩效评价管理办法</w:t>
      </w:r>
      <w:r>
        <w:rPr>
          <w:rFonts w:hint="eastAsia" w:ascii="仿宋_GB2312"/>
          <w:color w:val="000000"/>
          <w:highlight w:val="none"/>
          <w:lang w:eastAsia="zh-CN"/>
        </w:rPr>
        <w:t>〉的通知》</w:t>
      </w:r>
      <w:r>
        <w:rPr>
          <w:rFonts w:hint="eastAsia" w:ascii="仿宋_GB2312"/>
          <w:color w:val="000000"/>
          <w:highlight w:val="none"/>
        </w:rPr>
        <w:t>（财预〔2020〕10号）文件指出部门评价的方法主要包括成本效益分析法、比较法、因素分析法、最低成本法、公众评判法、标杆管理法等。</w:t>
      </w:r>
    </w:p>
    <w:p>
      <w:pPr>
        <w:spacing w:line="360" w:lineRule="auto"/>
        <w:ind w:firstLine="560"/>
        <w:rPr>
          <w:rFonts w:ascii="仿宋_GB2312"/>
          <w:color w:val="000000"/>
          <w:highlight w:val="none"/>
        </w:rPr>
      </w:pPr>
      <w:r>
        <w:rPr>
          <w:rFonts w:hint="eastAsia" w:ascii="仿宋_GB2312"/>
          <w:color w:val="000000"/>
          <w:highlight w:val="none"/>
        </w:rPr>
        <w:t>（1）成本效益分析法。是指将投入与产出、效益进行关联性分析的方法。</w:t>
      </w:r>
    </w:p>
    <w:p>
      <w:pPr>
        <w:spacing w:line="360" w:lineRule="auto"/>
        <w:ind w:firstLine="560"/>
        <w:rPr>
          <w:rFonts w:ascii="仿宋_GB2312"/>
          <w:color w:val="000000"/>
          <w:highlight w:val="none"/>
        </w:rPr>
      </w:pPr>
      <w:r>
        <w:rPr>
          <w:rFonts w:hint="eastAsia" w:ascii="仿宋_GB2312"/>
          <w:color w:val="000000"/>
          <w:highlight w:val="none"/>
        </w:rPr>
        <w:t>（2）比较法。是指将实施情况与绩效目标、历史情况、不同部门和地区同类支出情况进行比较的方法。</w:t>
      </w:r>
    </w:p>
    <w:p>
      <w:pPr>
        <w:spacing w:line="360" w:lineRule="auto"/>
        <w:ind w:firstLine="560"/>
        <w:rPr>
          <w:rFonts w:ascii="仿宋_GB2312"/>
          <w:color w:val="000000"/>
          <w:highlight w:val="none"/>
        </w:rPr>
      </w:pPr>
      <w:r>
        <w:rPr>
          <w:rFonts w:hint="eastAsia" w:ascii="仿宋_GB2312"/>
          <w:color w:val="000000"/>
          <w:highlight w:val="none"/>
        </w:rPr>
        <w:t>（3）因素分析法。是指综合分析影响绩效目标实现、实施效果的内外部因素的方法。</w:t>
      </w:r>
    </w:p>
    <w:p>
      <w:pPr>
        <w:spacing w:line="360" w:lineRule="auto"/>
        <w:ind w:firstLine="560"/>
        <w:rPr>
          <w:rFonts w:ascii="仿宋_GB2312"/>
          <w:color w:val="000000"/>
          <w:highlight w:val="none"/>
        </w:rPr>
      </w:pPr>
      <w:r>
        <w:rPr>
          <w:rFonts w:hint="eastAsia" w:ascii="仿宋_GB2312"/>
          <w:color w:val="000000"/>
          <w:highlight w:val="none"/>
        </w:rPr>
        <w:t>（4）最低成本法。是指在绩效目标确定的前提下，成本最小者为优的方法。</w:t>
      </w:r>
    </w:p>
    <w:p>
      <w:pPr>
        <w:spacing w:line="360" w:lineRule="auto"/>
        <w:ind w:firstLine="560"/>
        <w:rPr>
          <w:rFonts w:ascii="仿宋_GB2312"/>
          <w:color w:val="000000"/>
          <w:highlight w:val="none"/>
        </w:rPr>
      </w:pPr>
      <w:r>
        <w:rPr>
          <w:rFonts w:hint="eastAsia" w:ascii="仿宋_GB2312"/>
          <w:color w:val="000000"/>
          <w:highlight w:val="none"/>
        </w:rPr>
        <w:t>（5）公众评判法。是指通过专家评估、公众问卷及抽样调查等方式进行评判的方法。</w:t>
      </w:r>
    </w:p>
    <w:p>
      <w:pPr>
        <w:spacing w:line="360" w:lineRule="auto"/>
        <w:ind w:firstLine="560"/>
        <w:rPr>
          <w:rFonts w:ascii="仿宋_GB2312"/>
          <w:color w:val="000000"/>
          <w:highlight w:val="none"/>
        </w:rPr>
      </w:pPr>
      <w:r>
        <w:rPr>
          <w:rFonts w:hint="eastAsia" w:ascii="仿宋_GB2312"/>
          <w:color w:val="000000"/>
          <w:highlight w:val="none"/>
        </w:rPr>
        <w:t>（6）标杆管理法。是指以国内外同行业中较高的绩效水平为标杆进行评判的方法。</w:t>
      </w:r>
    </w:p>
    <w:p>
      <w:pPr>
        <w:spacing w:line="360" w:lineRule="auto"/>
        <w:ind w:firstLine="560"/>
        <w:rPr>
          <w:rFonts w:ascii="仿宋_GB2312"/>
          <w:color w:val="000000"/>
          <w:highlight w:val="none"/>
        </w:rPr>
      </w:pPr>
      <w:r>
        <w:rPr>
          <w:rFonts w:hint="eastAsia" w:ascii="仿宋_GB2312"/>
          <w:color w:val="000000"/>
          <w:highlight w:val="none"/>
        </w:rPr>
        <w:t>（7）其他评价方法。</w:t>
      </w:r>
    </w:p>
    <w:p>
      <w:pPr>
        <w:spacing w:line="360" w:lineRule="auto"/>
        <w:ind w:firstLine="560"/>
        <w:rPr>
          <w:rFonts w:ascii="仿宋_GB2312"/>
          <w:color w:val="000000"/>
          <w:highlight w:val="none"/>
        </w:rPr>
      </w:pPr>
      <w:r>
        <w:rPr>
          <w:rFonts w:hint="eastAsia" w:ascii="仿宋_GB2312"/>
          <w:color w:val="000000"/>
          <w:highlight w:val="none"/>
        </w:rPr>
        <w:t>根据本项目（关于拨付市中医院中医药制剂室2020年重点审专项资金项目）的特点，本次评价主要采用比较法</w:t>
      </w:r>
      <w:r>
        <w:rPr>
          <w:rFonts w:ascii="仿宋_GB2312"/>
          <w:color w:val="000000"/>
          <w:highlight w:val="none"/>
        </w:rPr>
        <w:t>和</w:t>
      </w:r>
      <w:r>
        <w:rPr>
          <w:rFonts w:hint="eastAsia" w:ascii="仿宋_GB2312"/>
          <w:color w:val="000000"/>
          <w:highlight w:val="none"/>
        </w:rPr>
        <w:t>公众评判法，对项目总预算和明细预算的内容、标准、计划是否经济合理进行深入分析，以考察实际产出和效益是否达到预期。</w:t>
      </w:r>
    </w:p>
    <w:p>
      <w:pPr>
        <w:pStyle w:val="4"/>
        <w:ind w:firstLine="643"/>
        <w:rPr>
          <w:color w:val="000000"/>
          <w:highlight w:val="none"/>
        </w:rPr>
      </w:pPr>
      <w:bookmarkStart w:id="24" w:name="_Toc198307138"/>
      <w:r>
        <w:rPr>
          <w:color w:val="000000"/>
          <w:highlight w:val="none"/>
        </w:rPr>
        <w:t>4.</w:t>
      </w:r>
      <w:r>
        <w:rPr>
          <w:rFonts w:hint="eastAsia"/>
          <w:color w:val="000000"/>
          <w:highlight w:val="none"/>
        </w:rPr>
        <w:t>评价标准</w:t>
      </w:r>
      <w:bookmarkEnd w:id="24"/>
    </w:p>
    <w:p>
      <w:pPr>
        <w:spacing w:line="360" w:lineRule="auto"/>
        <w:ind w:firstLine="560"/>
        <w:rPr>
          <w:rFonts w:ascii="仿宋_GB2312"/>
          <w:color w:val="000000"/>
          <w:highlight w:val="none"/>
        </w:rPr>
      </w:pPr>
      <w:r>
        <w:rPr>
          <w:rFonts w:hint="eastAsia" w:ascii="仿宋_GB2312"/>
          <w:color w:val="000000"/>
          <w:highlight w:val="none"/>
        </w:rPr>
        <w:t>绩效评价标准主要包括计划标准、行业标准、历史标准等，用于对绩效指标完成情况进行比较。</w:t>
      </w:r>
    </w:p>
    <w:p>
      <w:pPr>
        <w:spacing w:line="360" w:lineRule="auto"/>
        <w:ind w:firstLine="560"/>
        <w:rPr>
          <w:rFonts w:ascii="仿宋_GB2312"/>
          <w:color w:val="000000"/>
          <w:highlight w:val="none"/>
        </w:rPr>
      </w:pPr>
      <w:r>
        <w:rPr>
          <w:rFonts w:hint="eastAsia" w:ascii="仿宋_GB2312"/>
          <w:color w:val="000000"/>
          <w:highlight w:val="none"/>
        </w:rPr>
        <w:t>（1）计划标准。指以预先制定的目标、计划、预算、定额等作为评价标准。</w:t>
      </w:r>
    </w:p>
    <w:p>
      <w:pPr>
        <w:spacing w:line="360" w:lineRule="auto"/>
        <w:ind w:firstLine="560"/>
        <w:rPr>
          <w:rFonts w:ascii="仿宋_GB2312"/>
          <w:color w:val="000000"/>
          <w:highlight w:val="none"/>
        </w:rPr>
      </w:pPr>
      <w:r>
        <w:rPr>
          <w:rFonts w:hint="eastAsia" w:ascii="仿宋_GB2312"/>
          <w:color w:val="000000"/>
          <w:highlight w:val="none"/>
        </w:rPr>
        <w:t>（2）行业标准。指参照国家公布的行业指标数据制定的评价标准。</w:t>
      </w:r>
    </w:p>
    <w:p>
      <w:pPr>
        <w:spacing w:line="360" w:lineRule="auto"/>
        <w:ind w:firstLine="560"/>
        <w:rPr>
          <w:rFonts w:ascii="仿宋_GB2312"/>
          <w:color w:val="000000"/>
          <w:highlight w:val="none"/>
        </w:rPr>
      </w:pPr>
      <w:r>
        <w:rPr>
          <w:rFonts w:hint="eastAsia" w:ascii="仿宋_GB2312"/>
          <w:color w:val="000000"/>
          <w:highlight w:val="none"/>
        </w:rPr>
        <w:t>（3）历史标准。指参照历史数据制定的评价标准，为体现绩效改进的原则，在可实现的条件下应当确定相对较高的评价标准。</w:t>
      </w:r>
    </w:p>
    <w:p>
      <w:pPr>
        <w:spacing w:line="360" w:lineRule="auto"/>
        <w:ind w:firstLine="560"/>
        <w:rPr>
          <w:rFonts w:ascii="仿宋_GB2312"/>
          <w:color w:val="000000"/>
          <w:highlight w:val="none"/>
        </w:rPr>
      </w:pPr>
      <w:r>
        <w:rPr>
          <w:rFonts w:hint="eastAsia" w:ascii="仿宋_GB2312"/>
          <w:color w:val="000000"/>
          <w:highlight w:val="none"/>
        </w:rPr>
        <w:t>在上述评价标准的基础上，本次评价依据以下文件为重要指导和准绳：</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《中共中央</w:t>
      </w:r>
      <w:r>
        <w:rPr>
          <w:rFonts w:hint="eastAsia" w:ascii="仿宋_GB2312"/>
          <w:color w:val="000000"/>
          <w:highlight w:val="none"/>
          <w:lang w:val="en-US" w:eastAsia="zh-CN"/>
        </w:rPr>
        <w:t xml:space="preserve"> </w:t>
      </w:r>
      <w:r>
        <w:rPr>
          <w:rFonts w:hint="eastAsia" w:ascii="仿宋_GB2312"/>
          <w:color w:val="000000"/>
          <w:highlight w:val="none"/>
        </w:rPr>
        <w:t>国务院关于全面实施预算绩效管理的意见》（中发〔2018〕34号）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《关于印发</w:t>
      </w:r>
      <w:r>
        <w:rPr>
          <w:rFonts w:hint="eastAsia" w:ascii="仿宋_GB2312"/>
          <w:color w:val="000000"/>
          <w:highlight w:val="none"/>
          <w:lang w:eastAsia="zh-CN"/>
        </w:rPr>
        <w:t>〈</w:t>
      </w:r>
      <w:r>
        <w:rPr>
          <w:rFonts w:hint="eastAsia" w:ascii="仿宋_GB2312"/>
          <w:color w:val="000000"/>
          <w:highlight w:val="none"/>
        </w:rPr>
        <w:t>乌鲁木齐市本级部门预算绩效目标管理暂行办法</w:t>
      </w:r>
      <w:r>
        <w:rPr>
          <w:rFonts w:hint="eastAsia" w:ascii="仿宋_GB2312"/>
          <w:color w:val="000000"/>
          <w:highlight w:val="none"/>
          <w:lang w:eastAsia="zh-CN"/>
        </w:rPr>
        <w:t>〉的通知》</w:t>
      </w:r>
      <w:r>
        <w:rPr>
          <w:rFonts w:hint="eastAsia" w:ascii="仿宋_GB2312"/>
          <w:color w:val="000000"/>
          <w:highlight w:val="none"/>
        </w:rPr>
        <w:t>（乌财预〔2018〕56号）</w:t>
      </w:r>
    </w:p>
    <w:p>
      <w:pPr>
        <w:spacing w:line="360" w:lineRule="auto"/>
        <w:ind w:firstLine="560" w:firstLineChars="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《关于做好2019年部门预算项目支出绩效目标管理有关事宜的通知》（乌财预〔2018〕76号）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《项目支出绩效评价管理办法》（财预〔2020〕10号）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ascii="仿宋_GB2312"/>
          <w:color w:val="000000"/>
          <w:highlight w:val="none"/>
        </w:rPr>
        <w:t>《</w:t>
      </w:r>
      <w:r>
        <w:rPr>
          <w:rFonts w:hint="eastAsia" w:ascii="仿宋_GB2312"/>
          <w:color w:val="000000"/>
          <w:highlight w:val="none"/>
        </w:rPr>
        <w:t>政府采购需求管理办法</w:t>
      </w:r>
      <w:r>
        <w:rPr>
          <w:rFonts w:ascii="仿宋_GB2312"/>
          <w:color w:val="000000"/>
          <w:highlight w:val="none"/>
        </w:rPr>
        <w:t>》（财</w:t>
      </w:r>
      <w:r>
        <w:rPr>
          <w:rFonts w:hint="eastAsia" w:ascii="仿宋_GB2312"/>
          <w:color w:val="000000"/>
          <w:highlight w:val="none"/>
        </w:rPr>
        <w:t>库</w:t>
      </w:r>
      <w:r>
        <w:rPr>
          <w:rFonts w:ascii="仿宋_GB2312"/>
          <w:color w:val="000000"/>
          <w:highlight w:val="none"/>
        </w:rPr>
        <w:t>〔</w:t>
      </w:r>
      <w:r>
        <w:rPr>
          <w:rFonts w:hint="eastAsia" w:ascii="仿宋_GB2312"/>
          <w:color w:val="000000"/>
          <w:highlight w:val="none"/>
        </w:rPr>
        <w:t>2021</w:t>
      </w:r>
      <w:r>
        <w:rPr>
          <w:rFonts w:ascii="仿宋_GB2312"/>
          <w:color w:val="000000"/>
          <w:highlight w:val="none"/>
        </w:rPr>
        <w:t>〕</w:t>
      </w:r>
      <w:r>
        <w:rPr>
          <w:rFonts w:hint="eastAsia" w:ascii="仿宋_GB2312"/>
          <w:color w:val="000000"/>
          <w:highlight w:val="none"/>
        </w:rPr>
        <w:t>22</w:t>
      </w:r>
      <w:r>
        <w:rPr>
          <w:rFonts w:ascii="仿宋_GB2312"/>
          <w:color w:val="000000"/>
          <w:highlight w:val="none"/>
        </w:rPr>
        <w:t>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《基本建设项目建设成本管理规定》财建</w:t>
      </w:r>
      <w:r>
        <w:rPr>
          <w:rFonts w:ascii="仿宋_GB2312"/>
          <w:color w:val="000000"/>
          <w:highlight w:val="none"/>
        </w:rPr>
        <w:t>〔</w:t>
      </w:r>
      <w:r>
        <w:rPr>
          <w:rFonts w:hint="eastAsia" w:ascii="仿宋_GB2312"/>
          <w:color w:val="000000"/>
          <w:highlight w:val="none"/>
        </w:rPr>
        <w:t>2016</w:t>
      </w:r>
      <w:r>
        <w:rPr>
          <w:rFonts w:ascii="仿宋_GB2312"/>
          <w:color w:val="000000"/>
          <w:highlight w:val="none"/>
        </w:rPr>
        <w:t>〕</w:t>
      </w:r>
      <w:r>
        <w:rPr>
          <w:rFonts w:hint="eastAsia" w:ascii="仿宋_GB2312"/>
          <w:color w:val="000000"/>
          <w:highlight w:val="none"/>
        </w:rPr>
        <w:t>504号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《乌鲁木齐市中医医院财政专项资金管理制度》</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《乌鲁木齐市中医医院固定资产管理制度》</w:t>
      </w:r>
    </w:p>
    <w:p>
      <w:pPr>
        <w:pStyle w:val="3"/>
        <w:ind w:firstLine="643"/>
        <w:rPr>
          <w:rFonts w:ascii="仿宋" w:hAnsi="仿宋" w:eastAsia="仿宋"/>
          <w:color w:val="000000"/>
          <w:highlight w:val="none"/>
          <w:lang w:bidi="en-US"/>
        </w:rPr>
      </w:pPr>
      <w:bookmarkStart w:id="25" w:name="_Toc67911607"/>
      <w:bookmarkStart w:id="26" w:name="_Toc198307139"/>
      <w:r>
        <w:rPr>
          <w:rFonts w:hint="eastAsia" w:ascii="仿宋" w:hAnsi="仿宋" w:eastAsia="仿宋"/>
          <w:color w:val="000000"/>
          <w:highlight w:val="none"/>
          <w:lang w:bidi="en-US"/>
        </w:rPr>
        <w:t>（三）绩效评价工作过程</w:t>
      </w:r>
      <w:bookmarkEnd w:id="25"/>
      <w:bookmarkEnd w:id="26"/>
    </w:p>
    <w:p>
      <w:pPr>
        <w:spacing w:line="360" w:lineRule="auto"/>
        <w:ind w:firstLine="560"/>
        <w:rPr>
          <w:rFonts w:ascii="仿宋_GB2312"/>
          <w:color w:val="000000"/>
          <w:highlight w:val="none"/>
        </w:rPr>
      </w:pPr>
      <w:r>
        <w:rPr>
          <w:rFonts w:hint="eastAsia" w:ascii="仿宋_GB2312"/>
          <w:color w:val="000000"/>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8"/>
          <w:rFonts w:ascii="仿宋_GB2312"/>
          <w:color w:val="000000"/>
          <w:highlight w:val="none"/>
        </w:rPr>
        <w:footnoteReference w:id="0"/>
      </w:r>
      <w:r>
        <w:rPr>
          <w:rFonts w:hint="eastAsia" w:ascii="仿宋_GB2312"/>
          <w:color w:val="000000"/>
          <w:highlight w:val="none"/>
        </w:rPr>
        <w:t>、材料审核分析、现场核查评价、综合分析评价及报告撰写，评价项目实施情况，展现资金使用效益。</w:t>
      </w:r>
    </w:p>
    <w:p>
      <w:pPr>
        <w:pStyle w:val="2"/>
        <w:ind w:firstLine="0" w:firstLineChars="0"/>
        <w:jc w:val="left"/>
        <w:rPr>
          <w:rFonts w:ascii="仿宋" w:hAnsi="仿宋" w:eastAsia="仿宋"/>
          <w:color w:val="000000"/>
          <w:sz w:val="36"/>
          <w:szCs w:val="36"/>
          <w:highlight w:val="none"/>
          <w:lang w:bidi="en-US"/>
        </w:rPr>
      </w:pPr>
      <w:bookmarkStart w:id="27" w:name="_Toc198307140"/>
      <w:bookmarkStart w:id="28" w:name="_Toc67911608"/>
      <w:r>
        <w:rPr>
          <w:rFonts w:hint="eastAsia" w:ascii="仿宋" w:hAnsi="仿宋" w:eastAsia="仿宋"/>
          <w:color w:val="000000"/>
          <w:sz w:val="36"/>
          <w:szCs w:val="36"/>
          <w:highlight w:val="none"/>
          <w:lang w:bidi="en-US"/>
        </w:rPr>
        <w:t>三、综合评价情况及评价结论</w:t>
      </w:r>
      <w:bookmarkEnd w:id="27"/>
      <w:bookmarkEnd w:id="28"/>
    </w:p>
    <w:p>
      <w:pPr>
        <w:pStyle w:val="3"/>
        <w:ind w:firstLine="643"/>
        <w:rPr>
          <w:rFonts w:ascii="仿宋" w:hAnsi="仿宋" w:eastAsia="仿宋"/>
          <w:color w:val="000000"/>
          <w:highlight w:val="none"/>
          <w:lang w:bidi="en-US"/>
        </w:rPr>
      </w:pPr>
      <w:bookmarkStart w:id="29" w:name="_Toc198307141"/>
      <w:bookmarkStart w:id="30" w:name="_Toc67911609"/>
      <w:r>
        <w:rPr>
          <w:rFonts w:hint="eastAsia" w:ascii="仿宋" w:hAnsi="仿宋" w:eastAsia="仿宋"/>
          <w:color w:val="000000"/>
          <w:highlight w:val="none"/>
          <w:lang w:bidi="en-US"/>
        </w:rPr>
        <w:t>（一）评价结论</w:t>
      </w:r>
      <w:bookmarkEnd w:id="29"/>
      <w:bookmarkEnd w:id="30"/>
    </w:p>
    <w:p>
      <w:pPr>
        <w:spacing w:line="360" w:lineRule="auto"/>
        <w:ind w:firstLine="560"/>
        <w:rPr>
          <w:rFonts w:ascii="仿宋_GB2312"/>
          <w:color w:val="000000"/>
          <w:szCs w:val="28"/>
          <w:highlight w:val="none"/>
        </w:rPr>
      </w:pPr>
      <w:r>
        <w:rPr>
          <w:rFonts w:hint="eastAsia" w:ascii="仿宋_GB2312"/>
          <w:color w:val="000000"/>
          <w:szCs w:val="28"/>
          <w:highlight w:val="none"/>
        </w:rPr>
        <w:t>结合项目特点，制定符合项目实际的绩效评价指标体系及评分标准，通过数据采集、问卷调查等形式，对2024年</w:t>
      </w:r>
      <w:r>
        <w:rPr>
          <w:rFonts w:hint="eastAsia" w:ascii="仿宋_GB2312"/>
          <w:color w:val="000000"/>
          <w:highlight w:val="none"/>
        </w:rPr>
        <w:t>关于拨付市中医院中医药制剂室2020年重点审专项资金项目</w:t>
      </w:r>
      <w:r>
        <w:rPr>
          <w:rFonts w:hint="eastAsia" w:ascii="仿宋_GB2312"/>
          <w:color w:val="000000"/>
          <w:szCs w:val="28"/>
          <w:highlight w:val="none"/>
        </w:rPr>
        <w:t>进行客观评价，最终评分结果为：总分为100分，绩效评级为“优”</w:t>
      </w:r>
      <w:r>
        <w:rPr>
          <w:rStyle w:val="18"/>
          <w:rFonts w:ascii="仿宋_GB2312"/>
          <w:color w:val="000000"/>
          <w:szCs w:val="28"/>
          <w:highlight w:val="none"/>
        </w:rPr>
        <w:footnoteReference w:id="1"/>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hint="eastAsia" w:ascii="仿宋_GB2312"/>
          <w:color w:val="000000"/>
          <w:szCs w:val="28"/>
          <w:highlight w:val="none"/>
        </w:rPr>
        <w:t>项目各部分权重和绩效分值如附表所示：</w:t>
      </w:r>
    </w:p>
    <w:p>
      <w:pPr>
        <w:spacing w:line="360" w:lineRule="auto"/>
        <w:ind w:firstLine="0" w:firstLineChars="0"/>
        <w:jc w:val="center"/>
        <w:rPr>
          <w:rFonts w:ascii="仿宋_GB2312"/>
          <w:b/>
          <w:bCs/>
          <w:color w:val="000000"/>
          <w:szCs w:val="28"/>
          <w:highlight w:val="none"/>
        </w:rPr>
      </w:pPr>
      <w:r>
        <w:rPr>
          <w:rFonts w:ascii="仿宋_GB2312"/>
          <w:b/>
          <w:bCs/>
          <w:color w:val="000000"/>
          <w:szCs w:val="28"/>
          <w:highlight w:val="none"/>
        </w:rPr>
        <w:t xml:space="preserve">  </w:t>
      </w:r>
      <w:r>
        <w:rPr>
          <w:rFonts w:hint="eastAsia" w:ascii="仿宋_GB2312"/>
          <w:b/>
          <w:bCs/>
          <w:color w:val="000000"/>
          <w:szCs w:val="28"/>
          <w:highlight w:val="none"/>
        </w:rPr>
        <w:t>项目各部分权重和绩效分值</w:t>
      </w:r>
    </w:p>
    <w:tbl>
      <w:tblPr>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rPr>
          <w:trHeight w:val="442" w:hRule="atLeast"/>
          <w:tblHeader/>
          <w:jc w:val="center"/>
        </w:trPr>
        <w:tc>
          <w:tcPr>
            <w:tcW w:w="1550"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一级指标</w:t>
            </w:r>
          </w:p>
        </w:tc>
        <w:tc>
          <w:tcPr>
            <w:tcW w:w="1984"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二级指标</w:t>
            </w:r>
          </w:p>
        </w:tc>
        <w:tc>
          <w:tcPr>
            <w:tcW w:w="2693"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三级指标</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分值</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得分</w:t>
            </w:r>
          </w:p>
        </w:tc>
        <w:tc>
          <w:tcPr>
            <w:tcW w:w="1039" w:type="dxa"/>
            <w:tcBorders>
              <w:tl2br w:val="nil"/>
              <w:tr2bl w:val="nil"/>
            </w:tcBorders>
            <w:shd w:val="clear" w:color="auto" w:fill="D0CECE"/>
            <w:vAlign w:val="center"/>
          </w:tcPr>
          <w:p>
            <w:pPr>
              <w:widowControl/>
              <w:ind w:firstLine="0" w:firstLineChars="0"/>
              <w:jc w:val="center"/>
              <w:rPr>
                <w:rFonts w:ascii="仿宋_GB2312" w:hAnsi="Gungsuh" w:cs="宋体"/>
                <w:b/>
                <w:bCs/>
                <w:color w:val="000000"/>
                <w:kern w:val="0"/>
                <w:sz w:val="24"/>
                <w:szCs w:val="24"/>
                <w:highlight w:val="none"/>
              </w:rPr>
            </w:pPr>
            <w:r>
              <w:rPr>
                <w:rFonts w:hint="eastAsia" w:ascii="仿宋_GB2312" w:hAnsi="Gungsuh" w:cs="宋体"/>
                <w:b/>
                <w:bCs/>
                <w:color w:val="000000"/>
                <w:kern w:val="0"/>
                <w:sz w:val="24"/>
                <w:szCs w:val="24"/>
                <w:highlight w:val="none"/>
              </w:rPr>
              <w:t>得分率</w:t>
            </w:r>
          </w:p>
        </w:tc>
      </w:tr>
      <w:tr>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产出数量</w:t>
            </w:r>
          </w:p>
        </w:tc>
        <w:tc>
          <w:tcPr>
            <w:tcW w:w="2693" w:type="dxa"/>
            <w:tcBorders>
              <w:tl2br w:val="nil"/>
              <w:tr2bl w:val="nil"/>
            </w:tcBorders>
            <w:shd w:val="clear" w:color="auto" w:fill="FFFFFF"/>
            <w:vAlign w:val="top"/>
          </w:tcPr>
          <w:p>
            <w:pPr>
              <w:widowControl/>
              <w:ind w:firstLine="0" w:firstLineChars="0"/>
              <w:jc w:val="center"/>
              <w:rPr>
                <w:rFonts w:ascii="仿宋_GB2312" w:hAnsi="宋体" w:cs="宋体"/>
                <w:color w:val="000000"/>
                <w:kern w:val="0"/>
                <w:sz w:val="24"/>
                <w:szCs w:val="24"/>
                <w:highlight w:val="none"/>
              </w:rPr>
            </w:pPr>
            <w:r>
              <w:rPr>
                <w:rFonts w:hint="eastAsia" w:ascii="宋体" w:hAnsi="宋体" w:eastAsia="宋体" w:cs="宋体"/>
                <w:color w:val="000000"/>
                <w:kern w:val="0"/>
                <w:sz w:val="22"/>
                <w:highlight w:val="none"/>
              </w:rPr>
              <w:t>制剂生产设备采购</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vMerge w:val="restart"/>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2693" w:type="dxa"/>
            <w:tcBorders>
              <w:tl2br w:val="nil"/>
              <w:tr2bl w:val="nil"/>
            </w:tcBorders>
            <w:shd w:val="clear" w:color="auto" w:fill="FFFFFF"/>
            <w:vAlign w:val="top"/>
          </w:tcPr>
          <w:p>
            <w:pPr>
              <w:widowControl/>
              <w:ind w:firstLine="0" w:firstLineChars="0"/>
              <w:jc w:val="center"/>
              <w:rPr>
                <w:rFonts w:ascii="仿宋_GB2312" w:hAnsi="宋体" w:cs="宋体"/>
                <w:color w:val="000000"/>
                <w:kern w:val="0"/>
                <w:sz w:val="24"/>
                <w:szCs w:val="24"/>
                <w:highlight w:val="none"/>
              </w:rPr>
            </w:pPr>
            <w:r>
              <w:rPr>
                <w:rFonts w:hint="eastAsia" w:ascii="宋体" w:hAnsi="宋体" w:eastAsia="宋体" w:cs="宋体"/>
                <w:color w:val="000000"/>
                <w:kern w:val="0"/>
                <w:sz w:val="22"/>
                <w:highlight w:val="none"/>
              </w:rPr>
              <w:t>制剂提取设备采购</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宋体" w:hAnsi="宋体" w:eastAsia="宋体" w:cs="宋体"/>
                <w:color w:val="000000"/>
                <w:kern w:val="0"/>
                <w:sz w:val="22"/>
                <w:highlight w:val="none"/>
              </w:rPr>
              <w:t>设备验收合格率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w:t>
            </w:r>
            <w:r>
              <w:rPr>
                <w:rFonts w:ascii="仿宋_GB2312" w:hAnsi="宋体" w:cs="宋体"/>
                <w:color w:val="000000"/>
                <w:kern w:val="0"/>
                <w:sz w:val="24"/>
                <w:szCs w:val="24"/>
                <w:highlight w:val="none"/>
              </w:rPr>
              <w:t>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984" w:type="dxa"/>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宋体" w:hAnsi="宋体" w:eastAsia="宋体" w:cs="宋体"/>
                <w:color w:val="000000"/>
                <w:kern w:val="0"/>
                <w:sz w:val="22"/>
                <w:highlight w:val="none"/>
              </w:rPr>
              <w:t>项目完成时限</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81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eastAsia="宋体" w:cs="宋体"/>
                <w:color w:val="000000"/>
                <w:kern w:val="0"/>
                <w:sz w:val="24"/>
                <w:szCs w:val="24"/>
                <w:highlight w:val="none"/>
              </w:rPr>
            </w:pPr>
            <w:r>
              <w:rPr>
                <w:rFonts w:hint="eastAsia" w:ascii="宋体" w:hAnsi="宋体" w:eastAsia="宋体" w:cs="宋体"/>
                <w:color w:val="000000"/>
                <w:kern w:val="0"/>
                <w:sz w:val="22"/>
                <w:highlight w:val="none"/>
              </w:rPr>
              <w:t>制剂生产设备成本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vMerge w:val="restart"/>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751"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制剂提取设备投入成本</w:t>
            </w:r>
          </w:p>
        </w:tc>
        <w:tc>
          <w:tcPr>
            <w:tcW w:w="898" w:type="dxa"/>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r>
      <w:tr>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效益</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宋体" w:hAnsi="宋体" w:eastAsia="宋体" w:cs="宋体"/>
                <w:color w:val="000000"/>
                <w:kern w:val="0"/>
                <w:sz w:val="22"/>
                <w:highlight w:val="none"/>
              </w:rPr>
              <w:t>促进中医药发展</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满意度</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患者</w:t>
            </w:r>
            <w:r>
              <w:rPr>
                <w:rFonts w:ascii="仿宋_GB2312" w:hAnsi="宋体" w:cs="宋体"/>
                <w:color w:val="000000"/>
                <w:kern w:val="0"/>
                <w:sz w:val="24"/>
                <w:szCs w:val="24"/>
                <w:highlight w:val="none"/>
              </w:rPr>
              <w:t>满意度</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患者满意度</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bl>
    <w:p>
      <w:pPr>
        <w:pStyle w:val="3"/>
        <w:ind w:firstLine="643"/>
        <w:rPr>
          <w:rFonts w:ascii="仿宋" w:hAnsi="仿宋" w:eastAsia="仿宋"/>
          <w:color w:val="000000"/>
          <w:highlight w:val="none"/>
          <w:lang w:bidi="en-US"/>
        </w:rPr>
      </w:pPr>
      <w:bookmarkStart w:id="31" w:name="_Toc198307142"/>
      <w:bookmarkStart w:id="32" w:name="_Toc67911610"/>
      <w:r>
        <w:rPr>
          <w:rFonts w:hint="eastAsia" w:ascii="仿宋" w:hAnsi="仿宋" w:eastAsia="仿宋"/>
          <w:color w:val="000000"/>
          <w:highlight w:val="none"/>
          <w:lang w:bidi="en-US"/>
        </w:rPr>
        <w:t>（二）主要绩效</w:t>
      </w:r>
      <w:bookmarkEnd w:id="31"/>
      <w:bookmarkEnd w:id="32"/>
    </w:p>
    <w:p>
      <w:pPr>
        <w:spacing w:line="360" w:lineRule="auto"/>
        <w:ind w:firstLine="548" w:firstLineChars="196"/>
        <w:rPr>
          <w:rFonts w:ascii="仿宋_GB2312"/>
          <w:bCs/>
          <w:color w:val="000000"/>
          <w:szCs w:val="28"/>
          <w:highlight w:val="none"/>
        </w:rPr>
      </w:pPr>
      <w:r>
        <w:rPr>
          <w:rFonts w:hint="eastAsia" w:ascii="仿宋_GB2312"/>
          <w:bCs/>
          <w:color w:val="000000"/>
          <w:szCs w:val="28"/>
          <w:highlight w:val="none"/>
        </w:rPr>
        <w:t>该项目资金区财政及时拨付，单位在此次评价期间内，有序完成设定目标的部分工作任务，2024年已完成采购一套制剂生产设备，包括全自动制丸机、胶囊机、颗粒剂包装机等，支付</w:t>
      </w:r>
      <w:r>
        <w:rPr>
          <w:rFonts w:ascii="仿宋_GB2312"/>
          <w:bCs/>
          <w:color w:val="000000"/>
          <w:szCs w:val="28"/>
          <w:highlight w:val="none"/>
        </w:rPr>
        <w:t>设备购置费用</w:t>
      </w:r>
      <w:r>
        <w:rPr>
          <w:rFonts w:hint="eastAsia" w:ascii="仿宋_GB2312"/>
          <w:bCs/>
          <w:color w:val="000000"/>
          <w:szCs w:val="28"/>
          <w:highlight w:val="none"/>
        </w:rPr>
        <w:t>125.95万元</w:t>
      </w:r>
      <w:r>
        <w:rPr>
          <w:rFonts w:ascii="仿宋_GB2312"/>
          <w:bCs/>
          <w:color w:val="000000"/>
          <w:szCs w:val="28"/>
          <w:highlight w:val="none"/>
        </w:rPr>
        <w:t>，</w:t>
      </w:r>
      <w:r>
        <w:rPr>
          <w:rFonts w:hint="eastAsia" w:ascii="仿宋_GB2312"/>
          <w:bCs/>
          <w:color w:val="000000"/>
          <w:szCs w:val="28"/>
          <w:highlight w:val="none"/>
        </w:rPr>
        <w:t>以提升医院中药制剂的生产能力，满足临床日益增长的用药需求；采购一套制剂提取设备，包括多功能提取罐、浓缩器、干燥设备等，支付</w:t>
      </w:r>
      <w:r>
        <w:rPr>
          <w:rFonts w:ascii="仿宋_GB2312"/>
          <w:bCs/>
          <w:color w:val="000000"/>
          <w:szCs w:val="28"/>
          <w:highlight w:val="none"/>
        </w:rPr>
        <w:t>设备购置费用</w:t>
      </w:r>
      <w:r>
        <w:rPr>
          <w:rFonts w:hint="eastAsia" w:ascii="仿宋_GB2312"/>
          <w:bCs/>
          <w:color w:val="000000"/>
          <w:szCs w:val="28"/>
          <w:highlight w:val="none"/>
        </w:rPr>
        <w:t>109.8万元</w:t>
      </w:r>
      <w:r>
        <w:rPr>
          <w:rFonts w:ascii="仿宋_GB2312"/>
          <w:bCs/>
          <w:color w:val="000000"/>
          <w:szCs w:val="28"/>
          <w:highlight w:val="none"/>
        </w:rPr>
        <w:t>，</w:t>
      </w:r>
      <w:r>
        <w:rPr>
          <w:rFonts w:hint="eastAsia" w:ascii="仿宋_GB2312"/>
          <w:bCs/>
          <w:color w:val="000000"/>
          <w:szCs w:val="28"/>
          <w:highlight w:val="none"/>
        </w:rPr>
        <w:t>以提高我院提高中药制剂的提取效率与质量稳定性，所有设备均已验收合格后投入使用，通过该项目的实施，我院制剂室的硬件设施得到极大改善，新设备的投入使用显著提升了中药制剂的生产能力与质量水平。</w:t>
      </w:r>
    </w:p>
    <w:p>
      <w:pPr>
        <w:pStyle w:val="2"/>
        <w:ind w:firstLine="0" w:firstLineChars="0"/>
        <w:jc w:val="left"/>
        <w:rPr>
          <w:rFonts w:ascii="仿宋" w:hAnsi="仿宋" w:eastAsia="仿宋"/>
          <w:color w:val="000000"/>
          <w:sz w:val="36"/>
          <w:szCs w:val="36"/>
          <w:highlight w:val="none"/>
          <w:lang w:bidi="en-US"/>
        </w:rPr>
      </w:pPr>
      <w:bookmarkStart w:id="33" w:name="_Toc67911611"/>
      <w:bookmarkStart w:id="34" w:name="_Toc198307143"/>
      <w:r>
        <w:rPr>
          <w:rFonts w:hint="eastAsia" w:ascii="仿宋" w:hAnsi="仿宋" w:eastAsia="仿宋"/>
          <w:color w:val="000000"/>
          <w:sz w:val="36"/>
          <w:szCs w:val="36"/>
          <w:highlight w:val="none"/>
          <w:lang w:bidi="en-US"/>
        </w:rPr>
        <w:t>四、绩效评价指标分析</w:t>
      </w:r>
      <w:bookmarkEnd w:id="33"/>
      <w:bookmarkEnd w:id="34"/>
    </w:p>
    <w:p>
      <w:pPr>
        <w:pStyle w:val="3"/>
        <w:ind w:firstLine="643"/>
        <w:rPr>
          <w:rFonts w:ascii="仿宋" w:hAnsi="仿宋" w:eastAsia="仿宋"/>
          <w:color w:val="000000"/>
          <w:highlight w:val="none"/>
          <w:lang w:bidi="en-US"/>
        </w:rPr>
      </w:pPr>
      <w:bookmarkStart w:id="35" w:name="_Toc67911612"/>
      <w:bookmarkStart w:id="36" w:name="_Toc198307144"/>
      <w:r>
        <w:rPr>
          <w:rFonts w:hint="eastAsia" w:ascii="仿宋" w:hAnsi="仿宋" w:eastAsia="仿宋"/>
          <w:color w:val="000000"/>
          <w:highlight w:val="none"/>
          <w:lang w:bidi="en-US"/>
        </w:rPr>
        <w:t>（一）项目决策情况</w:t>
      </w:r>
      <w:bookmarkEnd w:id="35"/>
      <w:bookmarkEnd w:id="36"/>
    </w:p>
    <w:p>
      <w:pPr>
        <w:spacing w:line="360" w:lineRule="auto"/>
        <w:ind w:firstLine="560"/>
        <w:rPr>
          <w:rFonts w:ascii="仿宋_GB2312"/>
          <w:color w:val="000000"/>
          <w:szCs w:val="28"/>
          <w:highlight w:val="none"/>
        </w:rPr>
      </w:pPr>
      <w:r>
        <w:rPr>
          <w:rFonts w:hint="eastAsia" w:ascii="仿宋_GB2312"/>
          <w:color w:val="000000"/>
          <w:szCs w:val="28"/>
          <w:highlight w:val="none"/>
        </w:rPr>
        <w:t>项目决策指标由3个二级指标和6个三级指标构成，权重为</w:t>
      </w:r>
      <w:r>
        <w:rPr>
          <w:rFonts w:ascii="仿宋_GB2312"/>
          <w:color w:val="000000"/>
          <w:szCs w:val="28"/>
          <w:highlight w:val="none"/>
        </w:rPr>
        <w:t>20</w:t>
      </w:r>
      <w:r>
        <w:rPr>
          <w:rFonts w:hint="eastAsia" w:ascii="仿宋_GB2312"/>
          <w:color w:val="000000"/>
          <w:szCs w:val="28"/>
          <w:highlight w:val="none"/>
        </w:rPr>
        <w:t>分，实际得分20分。</w:t>
      </w:r>
    </w:p>
    <w:p>
      <w:pPr>
        <w:pStyle w:val="4"/>
        <w:ind w:firstLine="643"/>
        <w:rPr>
          <w:color w:val="000000"/>
          <w:highlight w:val="none"/>
        </w:rPr>
      </w:pPr>
      <w:bookmarkStart w:id="37" w:name="_Toc198307145"/>
      <w:r>
        <w:rPr>
          <w:color w:val="000000"/>
          <w:highlight w:val="none"/>
        </w:rPr>
        <w:t>1.</w:t>
      </w:r>
      <w:r>
        <w:rPr>
          <w:rFonts w:hint="eastAsia"/>
          <w:color w:val="000000"/>
          <w:highlight w:val="none"/>
        </w:rPr>
        <w:t>项目立项</w:t>
      </w:r>
      <w:bookmarkEnd w:id="37"/>
    </w:p>
    <w:p>
      <w:pPr>
        <w:spacing w:line="360" w:lineRule="auto"/>
        <w:ind w:firstLine="562"/>
        <w:rPr>
          <w:rFonts w:ascii="仿宋_GB2312"/>
          <w:color w:val="000000"/>
          <w:szCs w:val="28"/>
          <w:highlight w:val="none"/>
        </w:rPr>
      </w:pPr>
      <w:r>
        <w:rPr>
          <w:rFonts w:hint="eastAsia" w:ascii="仿宋_GB2312"/>
          <w:b/>
          <w:bCs/>
          <w:color w:val="000000"/>
          <w:szCs w:val="28"/>
          <w:highlight w:val="none"/>
        </w:rPr>
        <w:t>立项依据充分性：</w:t>
      </w:r>
      <w:r>
        <w:rPr>
          <w:rFonts w:hint="eastAsia" w:ascii="仿宋_GB2312"/>
          <w:color w:val="000000"/>
          <w:szCs w:val="28"/>
          <w:highlight w:val="none"/>
        </w:rPr>
        <w:t>项目立项符合</w:t>
      </w:r>
      <w:r>
        <w:rPr>
          <w:rFonts w:ascii="仿宋_GB2312"/>
          <w:color w:val="000000"/>
          <w:highlight w:val="none"/>
        </w:rPr>
        <w:t>《</w:t>
      </w:r>
      <w:r>
        <w:rPr>
          <w:rFonts w:hint="eastAsia" w:ascii="仿宋_GB2312"/>
          <w:color w:val="000000"/>
          <w:highlight w:val="none"/>
        </w:rPr>
        <w:t>政府采购需求管理办法</w:t>
      </w:r>
      <w:r>
        <w:rPr>
          <w:rFonts w:ascii="仿宋_GB2312"/>
          <w:color w:val="000000"/>
          <w:highlight w:val="none"/>
        </w:rPr>
        <w:t>》（财</w:t>
      </w:r>
      <w:r>
        <w:rPr>
          <w:rFonts w:hint="eastAsia" w:ascii="仿宋_GB2312"/>
          <w:color w:val="000000"/>
          <w:highlight w:val="none"/>
        </w:rPr>
        <w:t>库</w:t>
      </w:r>
      <w:r>
        <w:rPr>
          <w:rFonts w:ascii="仿宋_GB2312"/>
          <w:color w:val="000000"/>
          <w:highlight w:val="none"/>
        </w:rPr>
        <w:t>〔</w:t>
      </w:r>
      <w:r>
        <w:rPr>
          <w:rFonts w:hint="eastAsia" w:ascii="仿宋_GB2312"/>
          <w:color w:val="000000"/>
          <w:highlight w:val="none"/>
        </w:rPr>
        <w:t>2021</w:t>
      </w:r>
      <w:r>
        <w:rPr>
          <w:rFonts w:ascii="仿宋_GB2312"/>
          <w:color w:val="000000"/>
          <w:highlight w:val="none"/>
        </w:rPr>
        <w:t>〕</w:t>
      </w:r>
      <w:r>
        <w:rPr>
          <w:rFonts w:hint="eastAsia" w:ascii="仿宋_GB2312"/>
          <w:color w:val="000000"/>
          <w:highlight w:val="none"/>
        </w:rPr>
        <w:t>22</w:t>
      </w:r>
      <w:r>
        <w:rPr>
          <w:rFonts w:ascii="仿宋_GB2312"/>
          <w:color w:val="000000"/>
          <w:highlight w:val="none"/>
        </w:rPr>
        <w:t>号）</w:t>
      </w:r>
      <w:r>
        <w:rPr>
          <w:rFonts w:hint="eastAsia" w:ascii="仿宋_GB2312"/>
          <w:color w:val="000000"/>
          <w:highlight w:val="none"/>
        </w:rPr>
        <w:t>、《基本建设项目建设成本管理规定》财建</w:t>
      </w:r>
      <w:r>
        <w:rPr>
          <w:rFonts w:ascii="仿宋_GB2312"/>
          <w:color w:val="000000"/>
          <w:highlight w:val="none"/>
        </w:rPr>
        <w:t>〔</w:t>
      </w:r>
      <w:r>
        <w:rPr>
          <w:rFonts w:hint="eastAsia" w:ascii="仿宋_GB2312"/>
          <w:color w:val="000000"/>
          <w:highlight w:val="none"/>
        </w:rPr>
        <w:t>2016</w:t>
      </w:r>
      <w:r>
        <w:rPr>
          <w:rFonts w:ascii="仿宋_GB2312"/>
          <w:color w:val="000000"/>
          <w:highlight w:val="none"/>
        </w:rPr>
        <w:t>〕</w:t>
      </w:r>
      <w:r>
        <w:rPr>
          <w:rFonts w:hint="eastAsia" w:ascii="仿宋_GB2312"/>
          <w:color w:val="000000"/>
          <w:highlight w:val="none"/>
        </w:rPr>
        <w:t>504号、《乌鲁木齐市中医医院财政专项资金管理制度</w:t>
      </w:r>
      <w:r>
        <w:rPr>
          <w:rFonts w:hint="eastAsia" w:ascii="仿宋_GB2312"/>
          <w:color w:val="000000"/>
          <w:highlight w:val="none"/>
          <w:lang w:eastAsia="zh-CN"/>
        </w:rPr>
        <w:t>》《</w:t>
      </w:r>
      <w:r>
        <w:rPr>
          <w:rFonts w:hint="eastAsia" w:ascii="仿宋_GB2312"/>
          <w:color w:val="000000"/>
          <w:highlight w:val="none"/>
        </w:rPr>
        <w:t>乌鲁木齐市中医医院固定资产管理制度》</w:t>
      </w:r>
      <w:r>
        <w:rPr>
          <w:rFonts w:hint="eastAsia" w:ascii="仿宋_GB2312"/>
          <w:color w:val="000000"/>
          <w:szCs w:val="28"/>
          <w:highlight w:val="none"/>
        </w:rPr>
        <w:t>文件要求。同时，项目与我院作为医疗、教学、科研、预防、保健、康复于一体的综合性中医医院，核心使命是运用中医药理论和技术，为群众提供安全、有效、便捷的中医诊疗服务，而制剂室是医院开展中药制剂研发、生产和供应的重要部门，承担着将传统中医药理论与临床实践相结合，生产出符合临床需求的特色中药制剂任务的部门职责范围相符，此外，本项目属于公共财政支持范围，符合中央、地方事权支出责任划分原则。因此，立项依据充分，得4分。</w:t>
      </w:r>
    </w:p>
    <w:p>
      <w:pPr>
        <w:spacing w:line="360" w:lineRule="auto"/>
        <w:ind w:firstLine="562"/>
        <w:rPr>
          <w:rFonts w:ascii="仿宋_GB2312"/>
          <w:color w:val="000000"/>
          <w:szCs w:val="28"/>
          <w:highlight w:val="none"/>
        </w:rPr>
      </w:pPr>
      <w:r>
        <w:rPr>
          <w:rFonts w:hint="eastAsia" w:ascii="仿宋_GB2312"/>
          <w:b/>
          <w:bCs/>
          <w:color w:val="000000"/>
          <w:szCs w:val="28"/>
          <w:highlight w:val="none"/>
        </w:rPr>
        <w:t>立项程序规范性</w:t>
      </w:r>
      <w:r>
        <w:rPr>
          <w:rFonts w:hint="eastAsia" w:ascii="仿宋_GB2312"/>
          <w:b/>
          <w:bCs/>
          <w:color w:val="000000"/>
          <w:szCs w:val="28"/>
          <w:highlight w:val="none"/>
          <w:lang w:eastAsia="zh-CN"/>
        </w:rPr>
        <w:t>：</w:t>
      </w:r>
      <w:r>
        <w:rPr>
          <w:rFonts w:hint="eastAsia"/>
          <w:color w:val="000000"/>
          <w:highlight w:val="none"/>
        </w:rPr>
        <w:t xml:space="preserve"> </w:t>
      </w:r>
      <w:r>
        <w:rPr>
          <w:rFonts w:hint="eastAsia" w:ascii="仿宋_GB2312"/>
          <w:color w:val="000000"/>
          <w:szCs w:val="28"/>
          <w:highlight w:val="none"/>
        </w:rPr>
        <w:t>项目按照《基本建设项目建设成本管理规定》财建〔2016〕504号、《乌鲁木齐市中医医院固定资产管理制度》等文件要求、并结合</w:t>
      </w:r>
      <w:r>
        <w:rPr>
          <w:rFonts w:ascii="仿宋_GB2312"/>
          <w:color w:val="000000"/>
          <w:szCs w:val="28"/>
          <w:highlight w:val="none"/>
        </w:rPr>
        <w:t>我院</w:t>
      </w:r>
      <w:r>
        <w:rPr>
          <w:rFonts w:hint="eastAsia" w:ascii="仿宋_GB2312"/>
          <w:color w:val="000000"/>
          <w:szCs w:val="28"/>
          <w:highlight w:val="none"/>
        </w:rPr>
        <w:t>财政专项资金管理制度，材料符合相关要求，故立项程序规范，得4分。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8</w:t>
      </w:r>
      <w:r>
        <w:rPr>
          <w:rFonts w:hint="eastAsia" w:ascii="仿宋_GB2312" w:hAnsi="仿宋" w:cs="宋体"/>
          <w:b/>
          <w:color w:val="000000"/>
          <w:kern w:val="0"/>
          <w:szCs w:val="28"/>
          <w:highlight w:val="none"/>
        </w:rPr>
        <w:t>分，得分8分。</w:t>
      </w:r>
    </w:p>
    <w:p>
      <w:pPr>
        <w:pStyle w:val="4"/>
        <w:ind w:firstLine="643"/>
        <w:rPr>
          <w:color w:val="000000"/>
          <w:highlight w:val="none"/>
        </w:rPr>
      </w:pPr>
      <w:bookmarkStart w:id="38" w:name="_Toc198307146"/>
      <w:r>
        <w:rPr>
          <w:rFonts w:hint="eastAsia"/>
          <w:color w:val="000000"/>
          <w:highlight w:val="none"/>
        </w:rPr>
        <w:t>2</w:t>
      </w:r>
      <w:r>
        <w:rPr>
          <w:color w:val="000000"/>
          <w:highlight w:val="none"/>
        </w:rPr>
        <w:t>.</w:t>
      </w:r>
      <w:r>
        <w:rPr>
          <w:rFonts w:hint="eastAsia"/>
          <w:color w:val="000000"/>
          <w:highlight w:val="none"/>
        </w:rPr>
        <w:t>绩效目标</w:t>
      </w:r>
      <w:bookmarkEnd w:id="38"/>
    </w:p>
    <w:p>
      <w:pPr>
        <w:spacing w:line="360" w:lineRule="auto"/>
        <w:ind w:firstLine="562"/>
        <w:rPr>
          <w:rFonts w:ascii="仿宋_GB2312"/>
          <w:color w:val="000000"/>
          <w:szCs w:val="28"/>
          <w:highlight w:val="none"/>
        </w:rPr>
      </w:pPr>
      <w:r>
        <w:rPr>
          <w:rFonts w:hint="eastAsia" w:ascii="仿宋_GB2312"/>
          <w:b/>
          <w:bCs/>
          <w:color w:val="000000"/>
          <w:szCs w:val="28"/>
          <w:highlight w:val="none"/>
        </w:rPr>
        <w:t>绩效目标合理性：</w:t>
      </w:r>
      <w:r>
        <w:rPr>
          <w:rFonts w:hint="eastAsia" w:ascii="仿宋_GB2312"/>
          <w:color w:val="000000"/>
          <w:szCs w:val="28"/>
          <w:highlight w:val="none"/>
        </w:rPr>
        <w:t>本项目的绩效目标按照产出、效益、时效和成本构建绩效评价指标，且具有明确性、可衡量性、可实现性、相关性和时限性等特点，能较为全面地反映本项目的产出和效益，故绩效目标合理性指标得分</w:t>
      </w:r>
      <w:r>
        <w:rPr>
          <w:rFonts w:ascii="仿宋_GB2312"/>
          <w:color w:val="000000"/>
          <w:szCs w:val="28"/>
          <w:highlight w:val="none"/>
        </w:rPr>
        <w:t>3</w:t>
      </w:r>
      <w:r>
        <w:rPr>
          <w:rFonts w:hint="eastAsia" w:ascii="仿宋_GB2312"/>
          <w:color w:val="000000"/>
          <w:szCs w:val="28"/>
          <w:highlight w:val="none"/>
        </w:rPr>
        <w:t>分。</w:t>
      </w:r>
    </w:p>
    <w:p>
      <w:pPr>
        <w:autoSpaceDE w:val="0"/>
        <w:spacing w:line="600" w:lineRule="exact"/>
        <w:ind w:firstLine="562"/>
        <w:rPr>
          <w:rFonts w:ascii="仿宋_GB2312" w:hAnsi="仿宋" w:cs="宋体"/>
          <w:color w:val="000000"/>
          <w:kern w:val="0"/>
          <w:szCs w:val="28"/>
          <w:highlight w:val="none"/>
        </w:rPr>
      </w:pPr>
      <w:r>
        <w:rPr>
          <w:rFonts w:hint="eastAsia" w:ascii="仿宋_GB2312" w:hAnsi="仿宋" w:cs="宋体"/>
          <w:b/>
          <w:color w:val="000000"/>
          <w:kern w:val="0"/>
          <w:szCs w:val="28"/>
          <w:highlight w:val="none"/>
        </w:rPr>
        <w:t>绩效目标明确性：</w:t>
      </w:r>
      <w:r>
        <w:rPr>
          <w:rFonts w:hint="eastAsia" w:ascii="仿宋_GB2312" w:hAnsi="仿宋" w:cs="宋体"/>
          <w:color w:val="000000"/>
          <w:kern w:val="0"/>
          <w:szCs w:val="28"/>
          <w:highlight w:val="none"/>
        </w:rPr>
        <w:t>其中，目标已细化为具体的绩效指标，一级指标5个，二级指标1</w:t>
      </w:r>
      <w:r>
        <w:rPr>
          <w:rFonts w:ascii="仿宋_GB2312" w:hAnsi="仿宋" w:cs="宋体"/>
          <w:color w:val="000000"/>
          <w:kern w:val="0"/>
          <w:szCs w:val="28"/>
          <w:highlight w:val="none"/>
        </w:rPr>
        <w:t>1</w:t>
      </w:r>
      <w:r>
        <w:rPr>
          <w:rFonts w:hint="eastAsia" w:ascii="仿宋_GB2312" w:hAnsi="仿宋" w:cs="宋体"/>
          <w:color w:val="000000"/>
          <w:kern w:val="0"/>
          <w:szCs w:val="28"/>
          <w:highlight w:val="none"/>
        </w:rPr>
        <w:t>个，三级指标19个，可通过数量指标、质量指标、时效指标和成本指标予以量化，并具有确切的评价标准，且指标设定均与目标相关。各项指标均能在现实条件下收集到相关数据进行佐证（为每个绩效目标设定可量化的指标和衡量标准，在制剂生产与制剂提取设备采购数量及设备验收合格率通过提供中标单位的设备入库单及验收报告作为佐证材料；项目完成及时率提供情况说明；在促进中医药发展方面，通过提供情况说明加以佐证；项目的投入标准提供财务明细账），并与当年项目年度计划相对应，故绩效目标明确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6</w:t>
      </w:r>
      <w:r>
        <w:rPr>
          <w:rFonts w:hint="eastAsia" w:ascii="仿宋_GB2312" w:hAnsi="仿宋" w:cs="宋体"/>
          <w:b/>
          <w:color w:val="000000"/>
          <w:kern w:val="0"/>
          <w:szCs w:val="28"/>
          <w:highlight w:val="none"/>
        </w:rPr>
        <w:t>分，得分6分。</w:t>
      </w:r>
    </w:p>
    <w:p>
      <w:pPr>
        <w:pStyle w:val="4"/>
        <w:ind w:firstLine="643"/>
        <w:rPr>
          <w:color w:val="000000"/>
          <w:highlight w:val="none"/>
        </w:rPr>
      </w:pPr>
      <w:bookmarkStart w:id="39" w:name="_Toc198307147"/>
      <w:r>
        <w:rPr>
          <w:rFonts w:hint="eastAsia"/>
          <w:color w:val="000000"/>
          <w:highlight w:val="none"/>
        </w:rPr>
        <w:t>3.资金投入</w:t>
      </w:r>
      <w:bookmarkEnd w:id="39"/>
    </w:p>
    <w:p>
      <w:pPr>
        <w:autoSpaceDE w:val="0"/>
        <w:spacing w:line="600" w:lineRule="exact"/>
        <w:ind w:firstLine="562"/>
        <w:rPr>
          <w:rFonts w:ascii="仿宋_GB2312" w:hAnsi="仿宋" w:cs="宋体"/>
          <w:bCs/>
          <w:color w:val="000000"/>
          <w:kern w:val="0"/>
          <w:szCs w:val="28"/>
          <w:highlight w:val="none"/>
        </w:rPr>
      </w:pPr>
      <w:r>
        <w:rPr>
          <w:rFonts w:hint="eastAsia" w:ascii="仿宋_GB2312" w:hAnsi="仿宋" w:cs="宋体"/>
          <w:b/>
          <w:color w:val="000000"/>
          <w:kern w:val="0"/>
          <w:szCs w:val="28"/>
          <w:highlight w:val="none"/>
        </w:rPr>
        <w:t>预算编制科学性：</w:t>
      </w:r>
      <w:r>
        <w:rPr>
          <w:rFonts w:hint="eastAsia" w:ascii="仿宋_GB2312" w:hAnsi="仿宋" w:cs="宋体"/>
          <w:bCs/>
          <w:color w:val="000000"/>
          <w:kern w:val="0"/>
          <w:szCs w:val="28"/>
          <w:highlight w:val="none"/>
        </w:rPr>
        <w:t>该项目为市级财政资金，专款专用，根据</w:t>
      </w:r>
      <w:r>
        <w:rPr>
          <w:rFonts w:hint="eastAsia" w:ascii="仿宋_GB2312"/>
          <w:color w:val="000000"/>
          <w:highlight w:val="none"/>
        </w:rPr>
        <w:t>《关于拨付市中医院中医药制剂室2020年重点审专项资金的通知》乌财社〔2024〕15号</w:t>
      </w:r>
      <w:r>
        <w:rPr>
          <w:rFonts w:hint="eastAsia" w:ascii="仿宋_GB2312" w:hAnsi="仿宋" w:cs="宋体"/>
          <w:bCs/>
          <w:color w:val="000000"/>
          <w:kern w:val="0"/>
          <w:szCs w:val="28"/>
          <w:highlight w:val="none"/>
        </w:rPr>
        <w:t>，预算编制紧密围绕医院的长期发展战略和年度工作目标，严格按照具体的工作任务和经济支出分类科目，明确每一笔资金的用途和流向，根据项目的重点和关键环节，合理分配</w:t>
      </w:r>
      <w:r>
        <w:rPr>
          <w:rFonts w:hint="eastAsia" w:ascii="仿宋_GB2312" w:hAnsi="仿宋" w:cs="宋体"/>
          <w:bCs/>
          <w:color w:val="000000"/>
          <w:kern w:val="0"/>
          <w:szCs w:val="28"/>
          <w:highlight w:val="none"/>
          <w:lang w:eastAsia="zh-CN"/>
        </w:rPr>
        <w:t>资金</w:t>
      </w:r>
      <w:r>
        <w:rPr>
          <w:rFonts w:hint="eastAsia" w:ascii="仿宋_GB2312" w:hAnsi="仿宋" w:cs="宋体"/>
          <w:b/>
          <w:color w:val="000000"/>
          <w:kern w:val="0"/>
          <w:szCs w:val="28"/>
          <w:highlight w:val="none"/>
        </w:rPr>
        <w:t>。</w:t>
      </w:r>
      <w:r>
        <w:rPr>
          <w:rFonts w:hint="eastAsia" w:ascii="仿宋_GB2312" w:hAnsi="仿宋" w:cs="宋体"/>
          <w:color w:val="000000"/>
          <w:kern w:val="0"/>
          <w:szCs w:val="28"/>
          <w:highlight w:val="none"/>
        </w:rPr>
        <w:t>故预算编制科学性指标得分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0" w:firstLineChars="0"/>
        <w:rPr>
          <w:rFonts w:ascii="仿宋_GB2312" w:hAnsi="仿宋" w:cs="宋体"/>
          <w:bCs/>
          <w:color w:val="000000"/>
          <w:kern w:val="0"/>
          <w:szCs w:val="28"/>
          <w:highlight w:val="none"/>
        </w:rPr>
      </w:pPr>
    </w:p>
    <w:p>
      <w:pPr>
        <w:spacing w:line="360" w:lineRule="auto"/>
        <w:ind w:firstLine="562"/>
        <w:rPr>
          <w:color w:val="000000"/>
          <w:highlight w:val="none"/>
        </w:rPr>
      </w:pPr>
      <w:r>
        <w:rPr>
          <w:rFonts w:hint="eastAsia"/>
          <w:b/>
          <w:bCs/>
          <w:color w:val="000000"/>
          <w:highlight w:val="none"/>
        </w:rPr>
        <w:t>资金分配合理性</w:t>
      </w:r>
      <w:r>
        <w:rPr>
          <w:rFonts w:hint="eastAsia"/>
          <w:color w:val="000000"/>
          <w:highlight w:val="none"/>
        </w:rPr>
        <w:t>：</w:t>
      </w:r>
      <w:r>
        <w:rPr>
          <w:color w:val="000000"/>
          <w:highlight w:val="none"/>
        </w:rPr>
        <w:t xml:space="preserve"> </w:t>
      </w:r>
      <w:r>
        <w:rPr>
          <w:rFonts w:hint="eastAsia"/>
          <w:color w:val="000000"/>
          <w:highlight w:val="none"/>
        </w:rPr>
        <w:t>根据</w:t>
      </w:r>
      <w:r>
        <w:rPr>
          <w:rFonts w:ascii="仿宋_GB2312"/>
          <w:color w:val="000000"/>
          <w:highlight w:val="none"/>
        </w:rPr>
        <w:t>《</w:t>
      </w:r>
      <w:r>
        <w:rPr>
          <w:rFonts w:hint="eastAsia" w:ascii="仿宋_GB2312"/>
          <w:color w:val="000000"/>
          <w:highlight w:val="none"/>
        </w:rPr>
        <w:t>政府采购需求管理办法</w:t>
      </w:r>
      <w:r>
        <w:rPr>
          <w:rFonts w:ascii="仿宋_GB2312"/>
          <w:color w:val="000000"/>
          <w:highlight w:val="none"/>
        </w:rPr>
        <w:t>》（财</w:t>
      </w:r>
      <w:r>
        <w:rPr>
          <w:rFonts w:hint="eastAsia" w:ascii="仿宋_GB2312"/>
          <w:color w:val="000000"/>
          <w:highlight w:val="none"/>
        </w:rPr>
        <w:t>库</w:t>
      </w:r>
      <w:r>
        <w:rPr>
          <w:rFonts w:ascii="仿宋_GB2312"/>
          <w:color w:val="000000"/>
          <w:highlight w:val="none"/>
        </w:rPr>
        <w:t>〔</w:t>
      </w:r>
      <w:r>
        <w:rPr>
          <w:rFonts w:hint="eastAsia" w:ascii="仿宋_GB2312"/>
          <w:color w:val="000000"/>
          <w:highlight w:val="none"/>
        </w:rPr>
        <w:t>2021</w:t>
      </w:r>
      <w:r>
        <w:rPr>
          <w:rFonts w:ascii="仿宋_GB2312"/>
          <w:color w:val="000000"/>
          <w:highlight w:val="none"/>
        </w:rPr>
        <w:t>〕</w:t>
      </w:r>
      <w:r>
        <w:rPr>
          <w:rFonts w:hint="eastAsia" w:ascii="仿宋_GB2312"/>
          <w:color w:val="000000"/>
          <w:highlight w:val="none"/>
        </w:rPr>
        <w:t>22</w:t>
      </w:r>
      <w:r>
        <w:rPr>
          <w:rFonts w:ascii="仿宋_GB2312"/>
          <w:color w:val="000000"/>
          <w:highlight w:val="none"/>
        </w:rPr>
        <w:t>号）</w:t>
      </w:r>
      <w:r>
        <w:rPr>
          <w:rFonts w:hint="eastAsia" w:ascii="仿宋_GB2312"/>
          <w:color w:val="000000"/>
          <w:highlight w:val="none"/>
        </w:rPr>
        <w:t>、《基本建设项目建设成本管理规定》财建</w:t>
      </w:r>
      <w:r>
        <w:rPr>
          <w:rFonts w:ascii="仿宋_GB2312"/>
          <w:color w:val="000000"/>
          <w:highlight w:val="none"/>
        </w:rPr>
        <w:t>〔</w:t>
      </w:r>
      <w:r>
        <w:rPr>
          <w:rFonts w:hint="eastAsia" w:ascii="仿宋_GB2312"/>
          <w:color w:val="000000"/>
          <w:highlight w:val="none"/>
        </w:rPr>
        <w:t>2016</w:t>
      </w:r>
      <w:r>
        <w:rPr>
          <w:rFonts w:ascii="仿宋_GB2312"/>
          <w:color w:val="000000"/>
          <w:highlight w:val="none"/>
        </w:rPr>
        <w:t>〕</w:t>
      </w:r>
      <w:r>
        <w:rPr>
          <w:rFonts w:hint="eastAsia" w:ascii="仿宋_GB2312"/>
          <w:color w:val="000000"/>
          <w:highlight w:val="none"/>
        </w:rPr>
        <w:t>504号、《乌鲁木齐市中医医院财政专项资金管理制度</w:t>
      </w:r>
      <w:r>
        <w:rPr>
          <w:rFonts w:hint="eastAsia" w:ascii="仿宋_GB2312"/>
          <w:color w:val="000000"/>
          <w:highlight w:val="none"/>
          <w:lang w:eastAsia="zh-CN"/>
        </w:rPr>
        <w:t>》《</w:t>
      </w:r>
      <w:r>
        <w:rPr>
          <w:rFonts w:hint="eastAsia" w:ascii="仿宋_GB2312"/>
          <w:color w:val="000000"/>
          <w:highlight w:val="none"/>
        </w:rPr>
        <w:t>乌鲁木齐市中医医院固定资产管理制度</w:t>
      </w:r>
      <w:r>
        <w:rPr>
          <w:rFonts w:hint="eastAsia" w:ascii="仿宋_GB2312"/>
          <w:color w:val="000000"/>
          <w:highlight w:val="none"/>
          <w:lang w:eastAsia="zh-CN"/>
        </w:rPr>
        <w:t>》等</w:t>
      </w:r>
      <w:r>
        <w:rPr>
          <w:rFonts w:hint="eastAsia" w:ascii="仿宋_GB2312"/>
          <w:color w:val="000000"/>
          <w:szCs w:val="28"/>
          <w:highlight w:val="none"/>
        </w:rPr>
        <w:t>文件精神</w:t>
      </w:r>
      <w:r>
        <w:rPr>
          <w:rFonts w:hint="eastAsia" w:ascii="仿宋_GB2312" w:hAnsi="仿宋" w:cs="宋体"/>
          <w:b/>
          <w:color w:val="000000"/>
          <w:kern w:val="0"/>
          <w:szCs w:val="28"/>
          <w:highlight w:val="none"/>
        </w:rPr>
        <w:t>。</w:t>
      </w:r>
      <w:r>
        <w:rPr>
          <w:rFonts w:hint="eastAsia" w:ascii="仿宋_GB2312" w:hAnsi="仿宋" w:cs="宋体"/>
          <w:bCs/>
          <w:color w:val="000000"/>
          <w:kern w:val="0"/>
          <w:szCs w:val="28"/>
          <w:highlight w:val="none"/>
        </w:rPr>
        <w:t>项目资金</w:t>
      </w:r>
      <w:r>
        <w:rPr>
          <w:rFonts w:hint="eastAsia" w:ascii="仿宋_GB2312"/>
          <w:color w:val="000000"/>
          <w:highlight w:val="none"/>
        </w:rPr>
        <w:t>主要</w:t>
      </w:r>
      <w:r>
        <w:rPr>
          <w:rFonts w:hint="eastAsia" w:ascii="仿宋_GB2312"/>
          <w:color w:val="000000"/>
          <w:highlight w:val="none"/>
          <w:lang w:eastAsia="zh-CN"/>
        </w:rPr>
        <w:t>用于</w:t>
      </w:r>
      <w:r>
        <w:rPr>
          <w:rFonts w:hint="eastAsia" w:ascii="仿宋_GB2312"/>
          <w:color w:val="000000"/>
          <w:highlight w:val="none"/>
        </w:rPr>
        <w:t>提高院内制剂生产效率和产品质量，满足临床需求，增强医院中医药服务的核心竞争力，为患者提供更优质、安全、有效的中药制剂，采购一套的制剂生产设备和一套制剂提取设备，提升制剂生产的自动化、智能化水平，研发和生产符合现代人用药习惯的中药制剂以促进乌鲁木齐中医药事业的发展，制剂</w:t>
      </w:r>
      <w:r>
        <w:rPr>
          <w:rFonts w:ascii="仿宋_GB2312"/>
          <w:color w:val="000000"/>
          <w:highlight w:val="none"/>
        </w:rPr>
        <w:t>生产设备购置费用</w:t>
      </w:r>
      <w:r>
        <w:rPr>
          <w:rFonts w:hint="eastAsia" w:ascii="仿宋_GB2312"/>
          <w:color w:val="000000"/>
          <w:highlight w:val="none"/>
        </w:rPr>
        <w:t>125.95万元</w:t>
      </w:r>
      <w:r>
        <w:rPr>
          <w:rFonts w:ascii="仿宋_GB2312"/>
          <w:color w:val="000000"/>
          <w:highlight w:val="none"/>
        </w:rPr>
        <w:t>，制剂提取设备购置费用</w:t>
      </w:r>
      <w:r>
        <w:rPr>
          <w:rFonts w:hint="eastAsia" w:ascii="仿宋_GB2312"/>
          <w:color w:val="000000"/>
          <w:highlight w:val="none"/>
        </w:rPr>
        <w:t>109.8万元</w:t>
      </w:r>
      <w:r>
        <w:rPr>
          <w:rFonts w:ascii="仿宋_GB2312"/>
          <w:color w:val="000000"/>
          <w:highlight w:val="none"/>
        </w:rPr>
        <w:t>，</w:t>
      </w:r>
      <w:r>
        <w:rPr>
          <w:rFonts w:hint="eastAsia" w:ascii="仿宋_GB2312"/>
          <w:color w:val="000000"/>
          <w:highlight w:val="none"/>
        </w:rPr>
        <w:t>设备采购费用共计235.75万元，</w:t>
      </w:r>
      <w:r>
        <w:rPr>
          <w:rFonts w:hint="eastAsia" w:ascii="仿宋_GB2312" w:hAnsi="仿宋" w:cs="宋体"/>
          <w:color w:val="000000"/>
          <w:kern w:val="0"/>
          <w:szCs w:val="28"/>
          <w:highlight w:val="none"/>
        </w:rPr>
        <w:t>故资金分配合理性指标得分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6</w:t>
      </w:r>
      <w:r>
        <w:rPr>
          <w:rFonts w:hint="eastAsia" w:ascii="仿宋_GB2312" w:hAnsi="仿宋" w:cs="宋体"/>
          <w:b/>
          <w:color w:val="000000"/>
          <w:kern w:val="0"/>
          <w:szCs w:val="28"/>
          <w:highlight w:val="none"/>
        </w:rPr>
        <w:t>分，得分6分。</w:t>
      </w:r>
    </w:p>
    <w:p>
      <w:pPr>
        <w:pStyle w:val="3"/>
        <w:ind w:firstLine="643"/>
        <w:rPr>
          <w:rFonts w:ascii="仿宋" w:hAnsi="仿宋" w:eastAsia="仿宋"/>
          <w:color w:val="000000"/>
          <w:highlight w:val="none"/>
          <w:lang w:bidi="en-US"/>
        </w:rPr>
      </w:pPr>
      <w:bookmarkStart w:id="40" w:name="_Toc198307148"/>
      <w:bookmarkStart w:id="41" w:name="_Toc67911613"/>
      <w:r>
        <w:rPr>
          <w:rFonts w:hint="eastAsia" w:ascii="仿宋" w:hAnsi="仿宋" w:eastAsia="仿宋"/>
          <w:color w:val="000000"/>
          <w:highlight w:val="none"/>
          <w:lang w:bidi="en-US"/>
        </w:rPr>
        <w:t>（二）项目过程情况</w:t>
      </w:r>
      <w:bookmarkEnd w:id="40"/>
      <w:bookmarkEnd w:id="41"/>
    </w:p>
    <w:p>
      <w:pPr>
        <w:spacing w:line="360" w:lineRule="auto"/>
        <w:ind w:firstLine="560"/>
        <w:rPr>
          <w:rFonts w:ascii="仿宋_GB2312"/>
          <w:color w:val="000000"/>
          <w:szCs w:val="28"/>
          <w:highlight w:val="none"/>
        </w:rPr>
      </w:pPr>
      <w:r>
        <w:rPr>
          <w:rFonts w:hint="eastAsia" w:ascii="仿宋_GB2312"/>
          <w:color w:val="000000"/>
          <w:szCs w:val="28"/>
          <w:highlight w:val="none"/>
        </w:rPr>
        <w:t>项目过程指标由2个二级指标和</w:t>
      </w:r>
      <w:r>
        <w:rPr>
          <w:rFonts w:ascii="仿宋_GB2312"/>
          <w:color w:val="000000"/>
          <w:szCs w:val="28"/>
          <w:highlight w:val="none"/>
        </w:rPr>
        <w:t>5</w:t>
      </w:r>
      <w:r>
        <w:rPr>
          <w:rFonts w:hint="eastAsia" w:ascii="仿宋_GB2312"/>
          <w:color w:val="000000"/>
          <w:szCs w:val="28"/>
          <w:highlight w:val="none"/>
        </w:rPr>
        <w:t>个三级指标构成，权重为</w:t>
      </w:r>
      <w:r>
        <w:rPr>
          <w:rFonts w:ascii="仿宋_GB2312"/>
          <w:color w:val="000000"/>
          <w:szCs w:val="28"/>
          <w:highlight w:val="none"/>
        </w:rPr>
        <w:t>20</w:t>
      </w:r>
      <w:r>
        <w:rPr>
          <w:rFonts w:hint="eastAsia" w:ascii="仿宋_GB2312"/>
          <w:color w:val="000000"/>
          <w:szCs w:val="28"/>
          <w:highlight w:val="none"/>
        </w:rPr>
        <w:t>分，实际得分20分。</w:t>
      </w:r>
    </w:p>
    <w:p>
      <w:pPr>
        <w:pStyle w:val="4"/>
        <w:ind w:firstLine="643"/>
        <w:rPr>
          <w:color w:val="000000"/>
          <w:highlight w:val="none"/>
        </w:rPr>
      </w:pPr>
      <w:bookmarkStart w:id="42" w:name="_Toc198307149"/>
      <w:r>
        <w:rPr>
          <w:color w:val="000000"/>
          <w:highlight w:val="none"/>
        </w:rPr>
        <w:t>1.</w:t>
      </w:r>
      <w:r>
        <w:rPr>
          <w:rFonts w:hint="eastAsia"/>
          <w:color w:val="000000"/>
          <w:highlight w:val="none"/>
        </w:rPr>
        <w:t>资金管理</w:t>
      </w:r>
      <w:bookmarkEnd w:id="42"/>
    </w:p>
    <w:p>
      <w:pPr>
        <w:spacing w:line="360" w:lineRule="auto"/>
        <w:ind w:firstLine="562"/>
        <w:rPr>
          <w:rFonts w:ascii="仿宋_GB2312"/>
          <w:color w:val="000000"/>
          <w:szCs w:val="28"/>
          <w:highlight w:val="none"/>
        </w:rPr>
      </w:pPr>
      <w:r>
        <w:rPr>
          <w:rFonts w:hint="eastAsia" w:ascii="仿宋_GB2312"/>
          <w:b/>
          <w:bCs/>
          <w:color w:val="000000"/>
          <w:szCs w:val="28"/>
          <w:highlight w:val="none"/>
        </w:rPr>
        <w:t>资金到位率：</w:t>
      </w:r>
      <w:r>
        <w:rPr>
          <w:color w:val="000000"/>
          <w:highlight w:val="none"/>
        </w:rPr>
        <w:t xml:space="preserve"> </w:t>
      </w:r>
      <w:r>
        <w:rPr>
          <w:rFonts w:hint="eastAsia" w:ascii="仿宋_GB2312" w:hAnsi="仿宋" w:cs="宋体"/>
          <w:bCs/>
          <w:color w:val="000000"/>
          <w:kern w:val="0"/>
          <w:szCs w:val="28"/>
          <w:highlight w:val="none"/>
        </w:rPr>
        <w:t>该项目资金由财政拨付，预算批复235.75万元，在2024年2月19日通过</w:t>
      </w:r>
      <w:r>
        <w:rPr>
          <w:rFonts w:hint="eastAsia" w:ascii="仿宋_GB2312"/>
          <w:color w:val="000000"/>
          <w:highlight w:val="none"/>
        </w:rPr>
        <w:t>《关于拨付市中医院中医药制剂室2020年重点审专项资金的通知》乌财社〔2024〕15号</w:t>
      </w:r>
      <w:r>
        <w:rPr>
          <w:rFonts w:hint="eastAsia" w:ascii="仿宋_GB2312" w:hAnsi="仿宋" w:cs="宋体"/>
          <w:bCs/>
          <w:color w:val="000000"/>
          <w:kern w:val="0"/>
          <w:szCs w:val="28"/>
          <w:highlight w:val="none"/>
        </w:rPr>
        <w:t>拨付资金235.75万元，资金到位率100%，</w:t>
      </w:r>
      <w:r>
        <w:rPr>
          <w:rFonts w:hint="eastAsia" w:ascii="仿宋_GB2312" w:hAnsi="仿宋" w:cs="宋体"/>
          <w:color w:val="000000"/>
          <w:kern w:val="0"/>
          <w:szCs w:val="28"/>
          <w:highlight w:val="none"/>
        </w:rPr>
        <w:t>故资金到位率指标得分5分。</w:t>
      </w:r>
    </w:p>
    <w:p>
      <w:pPr>
        <w:spacing w:line="360" w:lineRule="auto"/>
        <w:ind w:firstLine="562"/>
        <w:rPr>
          <w:rFonts w:ascii="仿宋_GB2312"/>
          <w:color w:val="000000"/>
          <w:szCs w:val="28"/>
          <w:highlight w:val="none"/>
        </w:rPr>
      </w:pPr>
      <w:r>
        <w:rPr>
          <w:rFonts w:hint="eastAsia" w:ascii="仿宋_GB2312"/>
          <w:b/>
          <w:bCs/>
          <w:color w:val="000000"/>
          <w:szCs w:val="28"/>
          <w:highlight w:val="none"/>
        </w:rPr>
        <w:t>预算执行率：</w:t>
      </w:r>
      <w:r>
        <w:rPr>
          <w:rFonts w:hint="eastAsia" w:ascii="仿宋_GB2312"/>
          <w:color w:val="000000"/>
          <w:szCs w:val="28"/>
          <w:highlight w:val="none"/>
        </w:rPr>
        <w:t>该</w:t>
      </w:r>
      <w:r>
        <w:rPr>
          <w:rFonts w:hint="eastAsia" w:ascii="仿宋_GB2312" w:hAnsi="仿宋" w:cs="宋体"/>
          <w:bCs/>
          <w:color w:val="000000"/>
          <w:kern w:val="0"/>
          <w:szCs w:val="28"/>
          <w:highlight w:val="none"/>
        </w:rPr>
        <w:t>项目资金用于</w:t>
      </w:r>
      <w:r>
        <w:rPr>
          <w:rFonts w:hint="eastAsia" w:ascii="仿宋_GB2312"/>
          <w:color w:val="000000"/>
          <w:highlight w:val="none"/>
        </w:rPr>
        <w:t>采购一套的制剂生产设备和一套制剂提取设备，提升制剂生产的自动化、智能化水平，研发和生产符合现代人用药习惯的中药制剂以促进乌鲁木齐中医药事业的发展</w:t>
      </w:r>
      <w:r>
        <w:rPr>
          <w:rFonts w:hint="eastAsia" w:ascii="仿宋_GB2312"/>
          <w:b/>
          <w:bCs/>
          <w:color w:val="000000"/>
          <w:szCs w:val="28"/>
          <w:highlight w:val="none"/>
        </w:rPr>
        <w:t>。</w:t>
      </w:r>
      <w:r>
        <w:rPr>
          <w:rFonts w:hint="eastAsia" w:ascii="仿宋_GB2312"/>
          <w:color w:val="000000"/>
          <w:szCs w:val="28"/>
          <w:highlight w:val="none"/>
        </w:rPr>
        <w:t>2024年6月支付吉林鸿展流体科技有限公司制剂提取设备费用60万元；6月支付新疆华宇创杰国际贸易有限公司制剂生产设备费用60万元；7月支付吉林鸿展流体科技有限公司制剂提取设备费用49.8万元；7月支付新疆华宇创杰国际贸易有限公司制剂生产设备费用65.95万元。共执行资金235.75万元，235.75/235.75*5=5故预算执行率得分为5分。</w:t>
      </w:r>
    </w:p>
    <w:p>
      <w:pPr>
        <w:spacing w:line="360" w:lineRule="auto"/>
        <w:ind w:firstLine="562"/>
        <w:rPr>
          <w:rFonts w:ascii="仿宋_GB2312"/>
          <w:color w:val="000000"/>
          <w:szCs w:val="28"/>
          <w:highlight w:val="none"/>
        </w:rPr>
      </w:pPr>
      <w:r>
        <w:rPr>
          <w:rFonts w:hint="eastAsia" w:ascii="仿宋_GB2312"/>
          <w:b/>
          <w:bCs/>
          <w:color w:val="000000"/>
          <w:szCs w:val="28"/>
          <w:highlight w:val="none"/>
        </w:rPr>
        <w:t>资金使用合规性：</w:t>
      </w:r>
      <w:r>
        <w:rPr>
          <w:rFonts w:hint="eastAsia" w:ascii="仿宋_GB2312"/>
          <w:color w:val="000000"/>
          <w:szCs w:val="28"/>
          <w:highlight w:val="none"/>
        </w:rPr>
        <w:t>本项目资金使用严格遵循本单位的《财政专项资金使用制度》和《基本建设项目建设成本管理规定》的规定。同时，资金的拨付有使用计划的申请和资金支付的审批程序，需要项目负责人、项目管理科室、分管院领导、财务科长和分管财务的院领导签批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13</w:t>
      </w:r>
      <w:r>
        <w:rPr>
          <w:rFonts w:hint="eastAsia" w:ascii="仿宋_GB2312" w:hAnsi="仿宋" w:cs="宋体"/>
          <w:b/>
          <w:color w:val="000000"/>
          <w:kern w:val="0"/>
          <w:szCs w:val="28"/>
          <w:highlight w:val="none"/>
        </w:rPr>
        <w:t>分，得分13分。</w:t>
      </w:r>
    </w:p>
    <w:p>
      <w:pPr>
        <w:pStyle w:val="4"/>
        <w:ind w:firstLine="643"/>
        <w:rPr>
          <w:color w:val="000000"/>
          <w:highlight w:val="none"/>
        </w:rPr>
      </w:pPr>
      <w:bookmarkStart w:id="43" w:name="_Toc198307150"/>
      <w:r>
        <w:rPr>
          <w:color w:val="000000"/>
          <w:highlight w:val="none"/>
        </w:rPr>
        <w:t>2.</w:t>
      </w:r>
      <w:r>
        <w:rPr>
          <w:rFonts w:hint="eastAsia"/>
          <w:color w:val="000000"/>
          <w:highlight w:val="none"/>
        </w:rPr>
        <w:t>组织实施</w:t>
      </w:r>
      <w:bookmarkEnd w:id="43"/>
    </w:p>
    <w:p>
      <w:pPr>
        <w:spacing w:line="360" w:lineRule="auto"/>
        <w:ind w:firstLine="562"/>
        <w:rPr>
          <w:rFonts w:ascii="仿宋_GB2312"/>
          <w:color w:val="000000"/>
          <w:szCs w:val="28"/>
          <w:highlight w:val="none"/>
        </w:rPr>
      </w:pPr>
      <w:r>
        <w:rPr>
          <w:rFonts w:hint="eastAsia" w:ascii="仿宋_GB2312"/>
          <w:b/>
          <w:bCs/>
          <w:color w:val="000000"/>
          <w:szCs w:val="28"/>
          <w:highlight w:val="none"/>
        </w:rPr>
        <w:t>管理制度健全性</w:t>
      </w:r>
      <w:r>
        <w:rPr>
          <w:rFonts w:hint="eastAsia" w:ascii="仿宋_GB2312"/>
          <w:color w:val="000000"/>
          <w:szCs w:val="28"/>
          <w:highlight w:val="none"/>
        </w:rPr>
        <w:t>：乌鲁木齐市中医医院已制定相应的《财政专项资金使用制度》和《乌鲁木齐市中医医院政府采购制度和预算管理制度》，且制度合法、合规、完整，为项目顺利实施提供重要保障。对资金的使用范围有清晰界定，包括专用设备采购费用，同时明确各类支出的审批流程、额度限制等，确保资金使用合理、规范，且制度合法、合规、完整，为项目顺利实施提供重要保障。故管理制度健全性得分为3分。</w:t>
      </w:r>
    </w:p>
    <w:p>
      <w:pPr>
        <w:spacing w:line="360" w:lineRule="auto"/>
        <w:ind w:firstLine="562"/>
        <w:rPr>
          <w:rFonts w:ascii="仿宋_GB2312"/>
          <w:color w:val="000000"/>
          <w:szCs w:val="28"/>
          <w:highlight w:val="none"/>
        </w:rPr>
      </w:pPr>
      <w:r>
        <w:rPr>
          <w:rFonts w:hint="eastAsia" w:ascii="仿宋_GB2312"/>
          <w:b/>
          <w:bCs/>
          <w:color w:val="000000"/>
          <w:szCs w:val="28"/>
          <w:highlight w:val="none"/>
        </w:rPr>
        <w:t>制度执行有效性：</w:t>
      </w:r>
      <w:r>
        <w:rPr>
          <w:rFonts w:hint="eastAsia" w:ascii="仿宋_GB2312"/>
          <w:color w:val="000000"/>
          <w:szCs w:val="28"/>
          <w:highlight w:val="none"/>
        </w:rPr>
        <w:t>根据评价小组核查情况，乌鲁木齐市中医医院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color w:val="000000"/>
          <w:szCs w:val="28"/>
          <w:highlight w:val="none"/>
        </w:rPr>
        <w:t>4</w:t>
      </w:r>
      <w:r>
        <w:rPr>
          <w:rFonts w:hint="eastAsia" w:ascii="仿宋_GB2312"/>
          <w:color w:val="000000"/>
          <w:szCs w:val="28"/>
          <w:highlight w:val="none"/>
        </w:rPr>
        <w:t>分。</w:t>
      </w:r>
    </w:p>
    <w:p>
      <w:pPr>
        <w:autoSpaceDE w:val="0"/>
        <w:spacing w:line="600" w:lineRule="exact"/>
        <w:ind w:firstLine="562"/>
        <w:rPr>
          <w:rFonts w:ascii="仿宋_GB2312" w:hAnsi="仿宋" w:cs="宋体"/>
          <w:b/>
          <w:color w:val="000000"/>
          <w:kern w:val="0"/>
          <w:szCs w:val="28"/>
          <w:highlight w:val="none"/>
        </w:rPr>
      </w:pPr>
      <w:bookmarkStart w:id="44" w:name="_Hlk67670213"/>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7</w:t>
      </w:r>
      <w:r>
        <w:rPr>
          <w:rFonts w:hint="eastAsia" w:ascii="仿宋_GB2312" w:hAnsi="仿宋" w:cs="宋体"/>
          <w:b/>
          <w:color w:val="000000"/>
          <w:kern w:val="0"/>
          <w:szCs w:val="28"/>
          <w:highlight w:val="none"/>
        </w:rPr>
        <w:t>分，得分</w:t>
      </w:r>
      <w:r>
        <w:rPr>
          <w:rFonts w:ascii="仿宋_GB2312" w:hAnsi="仿宋" w:cs="宋体"/>
          <w:b/>
          <w:color w:val="000000"/>
          <w:kern w:val="0"/>
          <w:szCs w:val="28"/>
          <w:highlight w:val="none"/>
        </w:rPr>
        <w:t>7</w:t>
      </w:r>
      <w:r>
        <w:rPr>
          <w:rFonts w:hint="eastAsia" w:ascii="仿宋_GB2312" w:hAnsi="仿宋" w:cs="宋体"/>
          <w:b/>
          <w:color w:val="000000"/>
          <w:kern w:val="0"/>
          <w:szCs w:val="28"/>
          <w:highlight w:val="none"/>
        </w:rPr>
        <w:t>分。</w:t>
      </w:r>
    </w:p>
    <w:bookmarkEnd w:id="44"/>
    <w:p>
      <w:pPr>
        <w:pStyle w:val="3"/>
        <w:ind w:firstLine="643"/>
        <w:rPr>
          <w:rFonts w:ascii="仿宋" w:hAnsi="仿宋" w:eastAsia="仿宋"/>
          <w:color w:val="000000"/>
          <w:highlight w:val="none"/>
          <w:lang w:bidi="en-US"/>
        </w:rPr>
      </w:pPr>
      <w:bookmarkStart w:id="45" w:name="_Toc198307151"/>
      <w:bookmarkStart w:id="46" w:name="_Toc67911614"/>
      <w:r>
        <w:rPr>
          <w:rFonts w:hint="eastAsia" w:ascii="仿宋" w:hAnsi="仿宋" w:eastAsia="仿宋"/>
          <w:color w:val="000000"/>
          <w:highlight w:val="none"/>
          <w:lang w:bidi="en-US"/>
        </w:rPr>
        <w:t>（三）项目产出情况</w:t>
      </w:r>
      <w:bookmarkEnd w:id="45"/>
      <w:bookmarkEnd w:id="46"/>
    </w:p>
    <w:p>
      <w:pPr>
        <w:spacing w:line="360" w:lineRule="auto"/>
        <w:ind w:firstLine="560"/>
        <w:rPr>
          <w:rFonts w:ascii="仿宋_GB2312"/>
          <w:color w:val="000000"/>
          <w:szCs w:val="28"/>
          <w:highlight w:val="none"/>
        </w:rPr>
      </w:pPr>
      <w:r>
        <w:rPr>
          <w:rFonts w:hint="eastAsia" w:ascii="仿宋_GB2312"/>
          <w:color w:val="000000"/>
          <w:szCs w:val="28"/>
          <w:highlight w:val="none"/>
        </w:rPr>
        <w:t>项目产出指标由</w:t>
      </w:r>
      <w:r>
        <w:rPr>
          <w:rFonts w:ascii="仿宋_GB2312"/>
          <w:color w:val="000000"/>
          <w:szCs w:val="28"/>
          <w:highlight w:val="none"/>
        </w:rPr>
        <w:t>4</w:t>
      </w:r>
      <w:r>
        <w:rPr>
          <w:rFonts w:hint="eastAsia" w:ascii="仿宋_GB2312"/>
          <w:color w:val="000000"/>
          <w:szCs w:val="28"/>
          <w:highlight w:val="none"/>
        </w:rPr>
        <w:t>个二级指标和6个三级指标构成，权重为</w:t>
      </w:r>
      <w:r>
        <w:rPr>
          <w:rFonts w:ascii="仿宋_GB2312"/>
          <w:color w:val="000000"/>
          <w:szCs w:val="28"/>
          <w:highlight w:val="none"/>
        </w:rPr>
        <w:t>40</w:t>
      </w:r>
      <w:r>
        <w:rPr>
          <w:rFonts w:hint="eastAsia" w:ascii="仿宋_GB2312"/>
          <w:color w:val="000000"/>
          <w:szCs w:val="28"/>
          <w:highlight w:val="none"/>
        </w:rPr>
        <w:t>分，实际得分40分。</w:t>
      </w:r>
    </w:p>
    <w:p>
      <w:pPr>
        <w:pStyle w:val="4"/>
        <w:ind w:firstLine="643"/>
        <w:rPr>
          <w:color w:val="000000"/>
          <w:highlight w:val="none"/>
        </w:rPr>
      </w:pPr>
      <w:bookmarkStart w:id="47" w:name="_Toc198307152"/>
      <w:r>
        <w:rPr>
          <w:rFonts w:hint="eastAsia"/>
          <w:color w:val="000000"/>
          <w:highlight w:val="none"/>
        </w:rPr>
        <w:t>1</w:t>
      </w:r>
      <w:r>
        <w:rPr>
          <w:color w:val="000000"/>
          <w:highlight w:val="none"/>
        </w:rPr>
        <w:t>.</w:t>
      </w:r>
      <w:r>
        <w:rPr>
          <w:rFonts w:hint="eastAsia"/>
          <w:color w:val="000000"/>
          <w:highlight w:val="none"/>
        </w:rPr>
        <w:t>产出数量</w:t>
      </w:r>
      <w:bookmarkEnd w:id="47"/>
    </w:p>
    <w:p>
      <w:pPr>
        <w:spacing w:line="360" w:lineRule="auto"/>
        <w:ind w:firstLine="560"/>
        <w:rPr>
          <w:rFonts w:ascii="仿宋_GB2312"/>
          <w:color w:val="000000"/>
          <w:szCs w:val="28"/>
          <w:highlight w:val="none"/>
        </w:rPr>
      </w:pPr>
      <w:r>
        <w:rPr>
          <w:rFonts w:hint="eastAsia" w:ascii="仿宋_GB2312"/>
          <w:bCs/>
          <w:color w:val="000000"/>
          <w:szCs w:val="28"/>
          <w:highlight w:val="none"/>
        </w:rPr>
        <w:t>数量指标 “制剂生产设备采购”完成100%，“制剂提取设备采购完成率”完成100%，</w:t>
      </w:r>
      <w:r>
        <w:rPr>
          <w:rFonts w:hint="eastAsia" w:ascii="仿宋_GB2312"/>
          <w:bCs/>
          <w:color w:val="000000"/>
          <w:szCs w:val="28"/>
          <w:highlight w:val="none"/>
          <w:lang w:eastAsia="zh-CN"/>
        </w:rPr>
        <w:t>“</w:t>
      </w:r>
      <w:r>
        <w:rPr>
          <w:rFonts w:hint="eastAsia" w:ascii="仿宋_GB2312"/>
          <w:bCs/>
          <w:color w:val="000000"/>
          <w:szCs w:val="28"/>
          <w:highlight w:val="none"/>
        </w:rPr>
        <w:t>制剂生产设备购置数”目标值</w:t>
      </w:r>
      <w:r>
        <w:rPr>
          <w:rFonts w:hint="eastAsia" w:ascii="仿宋_GB2312"/>
          <w:bCs/>
          <w:color w:val="000000"/>
          <w:szCs w:val="28"/>
          <w:highlight w:val="none"/>
          <w:lang w:val="en-US" w:eastAsia="zh-CN"/>
        </w:rPr>
        <w:t>≥</w:t>
      </w:r>
      <w:r>
        <w:rPr>
          <w:rFonts w:hint="eastAsia" w:ascii="仿宋_GB2312"/>
          <w:bCs/>
          <w:color w:val="000000"/>
          <w:szCs w:val="28"/>
          <w:highlight w:val="none"/>
        </w:rPr>
        <w:t>一套，“制剂提取设备购置数</w:t>
      </w:r>
      <w:r>
        <w:rPr>
          <w:rFonts w:hint="eastAsia" w:ascii="仿宋_GB2312"/>
          <w:bCs/>
          <w:color w:val="000000"/>
          <w:szCs w:val="28"/>
          <w:highlight w:val="none"/>
          <w:lang w:eastAsia="zh-CN"/>
        </w:rPr>
        <w:t>”</w:t>
      </w:r>
      <w:r>
        <w:rPr>
          <w:rFonts w:hint="eastAsia" w:ascii="仿宋_GB2312"/>
          <w:bCs/>
          <w:color w:val="000000"/>
          <w:szCs w:val="28"/>
          <w:highlight w:val="none"/>
        </w:rPr>
        <w:t>目标值是一套，2024</w:t>
      </w:r>
      <w:r>
        <w:rPr>
          <w:rFonts w:ascii="仿宋_GB2312"/>
          <w:bCs/>
          <w:color w:val="000000"/>
          <w:szCs w:val="28"/>
          <w:highlight w:val="none"/>
        </w:rPr>
        <w:t>年度我单位实际完成</w:t>
      </w:r>
      <w:r>
        <w:rPr>
          <w:rFonts w:hint="eastAsia" w:ascii="仿宋_GB2312"/>
          <w:bCs/>
          <w:color w:val="000000"/>
          <w:szCs w:val="28"/>
          <w:highlight w:val="none"/>
        </w:rPr>
        <w:t>了一套制剂生产设备与一套制剂提取设备，</w:t>
      </w:r>
      <w:r>
        <w:rPr>
          <w:rFonts w:hint="eastAsia" w:ascii="仿宋_GB2312"/>
          <w:color w:val="000000"/>
          <w:szCs w:val="28"/>
          <w:highlight w:val="none"/>
        </w:rPr>
        <w:t>实际完成率：100%，故实际完成率得分为10分。</w:t>
      </w:r>
    </w:p>
    <w:p>
      <w:pPr>
        <w:spacing w:line="360" w:lineRule="auto"/>
        <w:ind w:firstLine="560"/>
        <w:rPr>
          <w:rFonts w:ascii="仿宋_GB2312"/>
          <w:bCs/>
          <w:color w:val="000000"/>
          <w:szCs w:val="28"/>
          <w:highlight w:val="none"/>
        </w:rPr>
      </w:pPr>
      <w:r>
        <w:rPr>
          <w:rFonts w:hint="eastAsia" w:ascii="仿宋_GB2312"/>
          <w:color w:val="000000"/>
          <w:szCs w:val="28"/>
          <w:highlight w:val="none"/>
        </w:rPr>
        <w:t>故</w:t>
      </w:r>
      <w:r>
        <w:rPr>
          <w:rFonts w:ascii="仿宋_GB2312"/>
          <w:color w:val="000000"/>
          <w:szCs w:val="28"/>
          <w:highlight w:val="none"/>
        </w:rPr>
        <w:t>数量指标得分为</w:t>
      </w:r>
      <w:r>
        <w:rPr>
          <w:rFonts w:hint="eastAsia" w:ascii="仿宋_GB2312"/>
          <w:color w:val="000000"/>
          <w:szCs w:val="28"/>
          <w:highlight w:val="none"/>
        </w:rPr>
        <w:t>10</w:t>
      </w:r>
      <w:r>
        <w:rPr>
          <w:rFonts w:ascii="仿宋_GB2312"/>
          <w:color w:val="000000"/>
          <w:szCs w:val="28"/>
          <w:highlight w:val="none"/>
        </w:rPr>
        <w:t>分。</w:t>
      </w:r>
    </w:p>
    <w:p>
      <w:pPr>
        <w:pStyle w:val="4"/>
        <w:ind w:firstLine="643"/>
        <w:rPr>
          <w:color w:val="000000"/>
          <w:highlight w:val="none"/>
        </w:rPr>
      </w:pPr>
      <w:bookmarkStart w:id="48" w:name="_Toc198307153"/>
      <w:r>
        <w:rPr>
          <w:rFonts w:hint="eastAsia"/>
          <w:color w:val="000000"/>
          <w:highlight w:val="none"/>
        </w:rPr>
        <w:t>2</w:t>
      </w:r>
      <w:r>
        <w:rPr>
          <w:color w:val="000000"/>
          <w:highlight w:val="none"/>
        </w:rPr>
        <w:t>.</w:t>
      </w:r>
      <w:r>
        <w:rPr>
          <w:rFonts w:hint="eastAsia"/>
          <w:color w:val="000000"/>
          <w:highlight w:val="none"/>
        </w:rPr>
        <w:t>产出质量</w:t>
      </w:r>
      <w:bookmarkEnd w:id="48"/>
    </w:p>
    <w:p>
      <w:pPr>
        <w:spacing w:line="360" w:lineRule="auto"/>
        <w:ind w:firstLine="560"/>
        <w:rPr>
          <w:rFonts w:ascii="仿宋_GB2312"/>
          <w:bCs/>
          <w:color w:val="000000"/>
          <w:szCs w:val="28"/>
          <w:highlight w:val="none"/>
        </w:rPr>
      </w:pPr>
      <w:r>
        <w:rPr>
          <w:rFonts w:hint="eastAsia" w:ascii="仿宋_GB2312"/>
          <w:bCs/>
          <w:color w:val="000000"/>
          <w:szCs w:val="28"/>
          <w:highlight w:val="none"/>
        </w:rPr>
        <w:t>质量指标“设备验收合格率”的目标值</w:t>
      </w:r>
      <w:r>
        <w:rPr>
          <w:rFonts w:hint="eastAsia" w:ascii="仿宋_GB2312"/>
          <w:bCs/>
          <w:color w:val="000000"/>
          <w:szCs w:val="28"/>
          <w:highlight w:val="none"/>
          <w:lang w:val="en-US" w:eastAsia="zh-CN"/>
        </w:rPr>
        <w:t>≥</w:t>
      </w:r>
      <w:r>
        <w:rPr>
          <w:rFonts w:hint="eastAsia" w:ascii="仿宋_GB2312"/>
          <w:bCs/>
          <w:color w:val="000000"/>
          <w:szCs w:val="28"/>
          <w:highlight w:val="none"/>
        </w:rPr>
        <w:t>100%，2024年度我单位实际完成100%。实际完成率：100%，故实际完成率得分为10分。</w:t>
      </w:r>
    </w:p>
    <w:p>
      <w:pPr>
        <w:spacing w:line="360" w:lineRule="auto"/>
        <w:ind w:firstLine="560"/>
        <w:rPr>
          <w:rFonts w:ascii="仿宋_GB2312"/>
          <w:color w:val="000000"/>
          <w:szCs w:val="28"/>
          <w:highlight w:val="none"/>
        </w:rPr>
      </w:pPr>
      <w:r>
        <w:rPr>
          <w:rFonts w:hint="eastAsia" w:ascii="仿宋_GB2312"/>
          <w:bCs/>
          <w:color w:val="000000"/>
          <w:szCs w:val="28"/>
          <w:highlight w:val="none"/>
        </w:rPr>
        <w:t>故</w:t>
      </w:r>
      <w:r>
        <w:rPr>
          <w:rFonts w:hint="eastAsia" w:ascii="仿宋_GB2312"/>
          <w:color w:val="000000"/>
          <w:szCs w:val="28"/>
          <w:highlight w:val="none"/>
        </w:rPr>
        <w:t>质量达标率得分为10分。</w:t>
      </w:r>
    </w:p>
    <w:p>
      <w:pPr>
        <w:pStyle w:val="4"/>
        <w:ind w:firstLine="643"/>
        <w:rPr>
          <w:color w:val="000000"/>
          <w:highlight w:val="none"/>
        </w:rPr>
      </w:pPr>
      <w:bookmarkStart w:id="49" w:name="_Toc198307154"/>
      <w:r>
        <w:rPr>
          <w:rFonts w:hint="eastAsia"/>
          <w:color w:val="000000"/>
          <w:highlight w:val="none"/>
        </w:rPr>
        <w:t>3</w:t>
      </w:r>
      <w:r>
        <w:rPr>
          <w:color w:val="000000"/>
          <w:highlight w:val="none"/>
        </w:rPr>
        <w:t>.</w:t>
      </w:r>
      <w:r>
        <w:rPr>
          <w:rFonts w:hint="eastAsia"/>
          <w:color w:val="000000"/>
          <w:highlight w:val="none"/>
        </w:rPr>
        <w:t>产出时效</w:t>
      </w:r>
      <w:bookmarkEnd w:id="49"/>
    </w:p>
    <w:p>
      <w:pPr>
        <w:spacing w:line="360" w:lineRule="auto"/>
        <w:ind w:firstLine="560"/>
        <w:rPr>
          <w:rFonts w:ascii="仿宋_GB2312"/>
          <w:bCs/>
          <w:color w:val="000000"/>
          <w:szCs w:val="28"/>
          <w:highlight w:val="none"/>
        </w:rPr>
      </w:pPr>
      <w:r>
        <w:rPr>
          <w:rFonts w:hint="eastAsia" w:ascii="仿宋_GB2312"/>
          <w:bCs/>
          <w:color w:val="000000"/>
          <w:szCs w:val="28"/>
          <w:highlight w:val="none"/>
        </w:rPr>
        <w:t>时效指标“项目完成年限” 目标值</w:t>
      </w:r>
      <w:r>
        <w:rPr>
          <w:rFonts w:hint="eastAsia" w:ascii="仿宋_GB2312"/>
          <w:bCs/>
          <w:color w:val="000000"/>
          <w:szCs w:val="28"/>
          <w:highlight w:val="none"/>
          <w:lang w:val="en-US" w:eastAsia="zh-CN"/>
        </w:rPr>
        <w:t>≤</w:t>
      </w:r>
      <w:r>
        <w:rPr>
          <w:rFonts w:hint="eastAsia" w:ascii="仿宋_GB2312"/>
          <w:bCs/>
          <w:color w:val="000000"/>
          <w:szCs w:val="28"/>
          <w:highlight w:val="none"/>
        </w:rPr>
        <w:t>1年，2024年度我单位实际1年完成，</w:t>
      </w:r>
      <w:r>
        <w:rPr>
          <w:rFonts w:hint="eastAsia" w:ascii="仿宋_GB2312"/>
          <w:color w:val="000000"/>
          <w:szCs w:val="28"/>
          <w:highlight w:val="none"/>
        </w:rPr>
        <w:t>实际完成率：100%，故实际完成率得分为10分。</w:t>
      </w:r>
    </w:p>
    <w:p>
      <w:pPr>
        <w:spacing w:line="360" w:lineRule="auto"/>
        <w:ind w:firstLine="560"/>
        <w:rPr>
          <w:rFonts w:ascii="仿宋_GB2312"/>
          <w:color w:val="000000"/>
          <w:szCs w:val="28"/>
          <w:highlight w:val="none"/>
        </w:rPr>
      </w:pPr>
      <w:r>
        <w:rPr>
          <w:rFonts w:hint="eastAsia" w:ascii="仿宋_GB2312"/>
          <w:color w:val="000000"/>
          <w:szCs w:val="28"/>
          <w:highlight w:val="none"/>
        </w:rPr>
        <w:t>故完成及时性得分为10分。</w:t>
      </w:r>
    </w:p>
    <w:p>
      <w:pPr>
        <w:pStyle w:val="4"/>
        <w:ind w:firstLine="643"/>
        <w:rPr>
          <w:color w:val="000000"/>
          <w:highlight w:val="none"/>
        </w:rPr>
      </w:pPr>
      <w:bookmarkStart w:id="50" w:name="_Toc198307155"/>
      <w:bookmarkStart w:id="51" w:name="_Toc67911615"/>
      <w:r>
        <w:rPr>
          <w:rFonts w:hint="eastAsia"/>
          <w:color w:val="000000"/>
          <w:highlight w:val="none"/>
        </w:rPr>
        <w:t>4</w:t>
      </w:r>
      <w:r>
        <w:rPr>
          <w:color w:val="000000"/>
          <w:highlight w:val="none"/>
        </w:rPr>
        <w:t>.</w:t>
      </w:r>
      <w:r>
        <w:rPr>
          <w:rFonts w:hint="eastAsia"/>
          <w:color w:val="000000"/>
          <w:highlight w:val="none"/>
        </w:rPr>
        <w:t>产出成本</w:t>
      </w:r>
      <w:bookmarkEnd w:id="50"/>
      <w:bookmarkEnd w:id="51"/>
    </w:p>
    <w:p>
      <w:pPr>
        <w:spacing w:line="360" w:lineRule="auto"/>
        <w:ind w:firstLine="560"/>
        <w:rPr>
          <w:rFonts w:ascii="仿宋_GB2312"/>
          <w:bCs/>
          <w:color w:val="000000"/>
          <w:szCs w:val="28"/>
          <w:highlight w:val="none"/>
        </w:rPr>
      </w:pPr>
      <w:r>
        <w:rPr>
          <w:rFonts w:hint="eastAsia" w:ascii="仿宋_GB2312"/>
          <w:bCs/>
          <w:color w:val="000000"/>
          <w:szCs w:val="28"/>
          <w:highlight w:val="none"/>
        </w:rPr>
        <w:t>成本指标“制剂生产设备成本”完成100%，“制剂提取设备投入标准成本”完成100%，</w:t>
      </w:r>
      <w:r>
        <w:rPr>
          <w:rFonts w:hint="eastAsia" w:ascii="仿宋_GB2312"/>
          <w:bCs/>
          <w:color w:val="000000"/>
          <w:szCs w:val="28"/>
          <w:highlight w:val="none"/>
          <w:lang w:eastAsia="zh-CN"/>
        </w:rPr>
        <w:t>“</w:t>
      </w:r>
      <w:r>
        <w:rPr>
          <w:rFonts w:hint="eastAsia" w:ascii="仿宋_GB2312"/>
          <w:bCs/>
          <w:color w:val="000000"/>
          <w:szCs w:val="28"/>
          <w:highlight w:val="none"/>
        </w:rPr>
        <w:t>制剂生产设备成本</w:t>
      </w:r>
      <w:r>
        <w:rPr>
          <w:rFonts w:hint="eastAsia" w:ascii="仿宋_GB2312"/>
          <w:bCs/>
          <w:color w:val="000000"/>
          <w:szCs w:val="28"/>
          <w:highlight w:val="none"/>
          <w:lang w:eastAsia="zh-CN"/>
        </w:rPr>
        <w:t>”</w:t>
      </w:r>
      <w:r>
        <w:rPr>
          <w:rFonts w:hint="eastAsia" w:ascii="仿宋_GB2312"/>
          <w:bCs/>
          <w:color w:val="000000"/>
          <w:szCs w:val="28"/>
          <w:highlight w:val="none"/>
        </w:rPr>
        <w:t>目标值为125.95万元，2024年度我单位实际完成值125.95万元。</w:t>
      </w:r>
    </w:p>
    <w:p>
      <w:pPr>
        <w:spacing w:line="360" w:lineRule="auto"/>
        <w:ind w:firstLine="560"/>
        <w:rPr>
          <w:rFonts w:ascii="仿宋_GB2312"/>
          <w:bCs/>
          <w:color w:val="000000"/>
          <w:szCs w:val="28"/>
          <w:highlight w:val="none"/>
        </w:rPr>
      </w:pPr>
      <w:r>
        <w:rPr>
          <w:rFonts w:hint="eastAsia" w:ascii="仿宋_GB2312"/>
          <w:bCs/>
          <w:color w:val="000000"/>
          <w:szCs w:val="28"/>
          <w:highlight w:val="none"/>
          <w:lang w:eastAsia="zh-CN"/>
        </w:rPr>
        <w:t>“</w:t>
      </w:r>
      <w:r>
        <w:rPr>
          <w:rFonts w:hint="eastAsia" w:ascii="仿宋_GB2312"/>
          <w:bCs/>
          <w:color w:val="000000"/>
          <w:szCs w:val="28"/>
          <w:highlight w:val="none"/>
        </w:rPr>
        <w:t>制剂提取设备成本</w:t>
      </w:r>
      <w:r>
        <w:rPr>
          <w:rFonts w:hint="eastAsia" w:ascii="仿宋_GB2312"/>
          <w:bCs/>
          <w:color w:val="000000"/>
          <w:szCs w:val="28"/>
          <w:highlight w:val="none"/>
          <w:lang w:eastAsia="zh-CN"/>
        </w:rPr>
        <w:t>”</w:t>
      </w:r>
      <w:r>
        <w:rPr>
          <w:rFonts w:hint="eastAsia" w:ascii="仿宋_GB2312"/>
          <w:bCs/>
          <w:color w:val="000000"/>
          <w:szCs w:val="28"/>
          <w:highlight w:val="none"/>
        </w:rPr>
        <w:t>目标值为109.8万元，2024年我单位实际完成值109.8万元，</w:t>
      </w:r>
      <w:r>
        <w:rPr>
          <w:rFonts w:hint="eastAsia" w:ascii="仿宋_GB2312"/>
          <w:color w:val="000000"/>
          <w:szCs w:val="28"/>
          <w:highlight w:val="none"/>
        </w:rPr>
        <w:t>无超支情况，项目资金全部完成，得分为10分。</w:t>
      </w:r>
    </w:p>
    <w:p>
      <w:pPr>
        <w:pStyle w:val="3"/>
        <w:ind w:firstLine="643"/>
        <w:rPr>
          <w:rFonts w:ascii="仿宋" w:hAnsi="仿宋" w:eastAsia="仿宋"/>
          <w:color w:val="000000"/>
          <w:highlight w:val="none"/>
          <w:lang w:bidi="en-US"/>
        </w:rPr>
      </w:pPr>
      <w:bookmarkStart w:id="52" w:name="_Toc198307156"/>
      <w:r>
        <w:rPr>
          <w:rFonts w:ascii="仿宋" w:hAnsi="仿宋" w:eastAsia="仿宋"/>
          <w:color w:val="000000"/>
          <w:highlight w:val="none"/>
          <w:lang w:bidi="en-US"/>
        </w:rPr>
        <w:t>（四）项目效益</w:t>
      </w:r>
      <w:bookmarkEnd w:id="52"/>
    </w:p>
    <w:p>
      <w:pPr>
        <w:spacing w:line="360" w:lineRule="auto"/>
        <w:ind w:firstLine="560"/>
        <w:rPr>
          <w:rFonts w:ascii="仿宋_GB2312"/>
          <w:color w:val="000000"/>
          <w:szCs w:val="28"/>
          <w:highlight w:val="none"/>
        </w:rPr>
      </w:pPr>
      <w:r>
        <w:rPr>
          <w:rFonts w:hint="eastAsia" w:ascii="仿宋_GB2312"/>
          <w:color w:val="000000"/>
          <w:szCs w:val="28"/>
          <w:highlight w:val="none"/>
        </w:rPr>
        <w:t>项目效益指标由</w:t>
      </w:r>
      <w:r>
        <w:rPr>
          <w:rFonts w:ascii="仿宋_GB2312"/>
          <w:color w:val="000000"/>
          <w:szCs w:val="28"/>
          <w:highlight w:val="none"/>
        </w:rPr>
        <w:t>1</w:t>
      </w:r>
      <w:r>
        <w:rPr>
          <w:rFonts w:hint="eastAsia" w:ascii="仿宋_GB2312"/>
          <w:color w:val="000000"/>
          <w:szCs w:val="28"/>
          <w:highlight w:val="none"/>
        </w:rPr>
        <w:t>个二级指标和1个三级指标构成，权重为</w:t>
      </w:r>
      <w:r>
        <w:rPr>
          <w:rFonts w:ascii="仿宋_GB2312"/>
          <w:color w:val="000000"/>
          <w:szCs w:val="28"/>
          <w:highlight w:val="none"/>
        </w:rPr>
        <w:t>10</w:t>
      </w:r>
      <w:r>
        <w:rPr>
          <w:rFonts w:hint="eastAsia" w:ascii="仿宋_GB2312"/>
          <w:color w:val="000000"/>
          <w:szCs w:val="28"/>
          <w:highlight w:val="none"/>
        </w:rPr>
        <w:t>分，实际得分</w:t>
      </w:r>
      <w:r>
        <w:rPr>
          <w:rFonts w:ascii="仿宋_GB2312"/>
          <w:color w:val="000000"/>
          <w:szCs w:val="28"/>
          <w:highlight w:val="none"/>
        </w:rPr>
        <w:t>10</w:t>
      </w:r>
      <w:r>
        <w:rPr>
          <w:rFonts w:hint="eastAsia" w:ascii="仿宋_GB2312"/>
          <w:color w:val="000000"/>
          <w:szCs w:val="28"/>
          <w:highlight w:val="none"/>
        </w:rPr>
        <w:t>分。</w:t>
      </w:r>
      <w:r>
        <w:rPr>
          <w:rFonts w:ascii="仿宋_GB2312"/>
          <w:color w:val="000000"/>
          <w:szCs w:val="28"/>
          <w:highlight w:val="none"/>
        </w:rPr>
        <w:t xml:space="preserve"> </w:t>
      </w:r>
    </w:p>
    <w:p>
      <w:pPr>
        <w:spacing w:line="360" w:lineRule="auto"/>
        <w:ind w:firstLine="562"/>
        <w:rPr>
          <w:rFonts w:ascii="仿宋_GB2312"/>
          <w:color w:val="000000"/>
          <w:szCs w:val="28"/>
          <w:highlight w:val="none"/>
        </w:rPr>
      </w:pPr>
      <w:r>
        <w:rPr>
          <w:rFonts w:hint="eastAsia" w:ascii="仿宋_GB2312"/>
          <w:b/>
          <w:bCs/>
          <w:color w:val="000000"/>
          <w:szCs w:val="28"/>
          <w:highlight w:val="none"/>
        </w:rPr>
        <w:t>经济效益指标：</w:t>
      </w:r>
      <w:r>
        <w:rPr>
          <w:rFonts w:hint="eastAsia" w:ascii="仿宋_GB2312"/>
          <w:color w:val="000000"/>
          <w:szCs w:val="28"/>
          <w:highlight w:val="none"/>
        </w:rPr>
        <w:t>不适用。</w:t>
      </w:r>
      <w:r>
        <w:rPr>
          <w:rFonts w:ascii="仿宋_GB2312"/>
          <w:color w:val="000000"/>
          <w:szCs w:val="28"/>
          <w:highlight w:val="none"/>
        </w:rPr>
        <w:t xml:space="preserve"> </w:t>
      </w:r>
    </w:p>
    <w:p>
      <w:pPr>
        <w:spacing w:line="360" w:lineRule="auto"/>
        <w:ind w:firstLine="562"/>
        <w:rPr>
          <w:rFonts w:ascii="仿宋_GB2312"/>
          <w:color w:val="000000"/>
          <w:highlight w:val="none"/>
        </w:rPr>
      </w:pPr>
      <w:r>
        <w:rPr>
          <w:rFonts w:hint="eastAsia" w:ascii="仿宋_GB2312"/>
          <w:b/>
          <w:bCs/>
          <w:color w:val="000000"/>
          <w:szCs w:val="28"/>
          <w:highlight w:val="none"/>
        </w:rPr>
        <w:t>社会效益指标</w:t>
      </w:r>
      <w:r>
        <w:rPr>
          <w:rFonts w:hint="eastAsia" w:ascii="仿宋_GB2312"/>
          <w:color w:val="000000"/>
          <w:szCs w:val="28"/>
          <w:highlight w:val="none"/>
        </w:rPr>
        <w:t>：评价指标“促进中医药发展”，指标值：有效促进，实际完成值：达成年度指标。本项目的实施</w:t>
      </w:r>
      <w:r>
        <w:rPr>
          <w:rFonts w:hint="eastAsia" w:ascii="仿宋_GB2312"/>
          <w:color w:val="000000"/>
          <w:highlight w:val="none"/>
        </w:rPr>
        <w:t>用于采购制剂生产与制剂提取设备，在升级制剂室的基础设施和设备，提高制剂室的生产能力，增加医院中药制剂的产量等方面都取得了较大成效，产生了良好的社会效益。</w:t>
      </w:r>
    </w:p>
    <w:p>
      <w:pPr>
        <w:spacing w:line="360" w:lineRule="auto"/>
        <w:ind w:firstLine="562"/>
        <w:rPr>
          <w:rFonts w:ascii="仿宋_GB2312"/>
          <w:color w:val="000000"/>
          <w:szCs w:val="28"/>
          <w:highlight w:val="none"/>
        </w:rPr>
      </w:pPr>
      <w:r>
        <w:rPr>
          <w:rFonts w:hint="eastAsia" w:ascii="仿宋_GB2312"/>
          <w:b/>
          <w:bCs/>
          <w:color w:val="000000"/>
          <w:szCs w:val="28"/>
          <w:highlight w:val="none"/>
        </w:rPr>
        <w:t>生态效益指标</w:t>
      </w:r>
      <w:r>
        <w:rPr>
          <w:rFonts w:hint="eastAsia" w:ascii="仿宋_GB2312"/>
          <w:color w:val="000000"/>
          <w:szCs w:val="28"/>
          <w:highlight w:val="none"/>
        </w:rPr>
        <w:t>：不适用。</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10</w:t>
      </w:r>
      <w:r>
        <w:rPr>
          <w:rFonts w:hint="eastAsia" w:ascii="仿宋_GB2312" w:hAnsi="仿宋" w:cs="宋体"/>
          <w:b/>
          <w:color w:val="000000"/>
          <w:kern w:val="0"/>
          <w:szCs w:val="28"/>
          <w:highlight w:val="none"/>
        </w:rPr>
        <w:t>分，得分</w:t>
      </w:r>
      <w:r>
        <w:rPr>
          <w:rFonts w:ascii="仿宋_GB2312" w:hAnsi="仿宋" w:cs="宋体"/>
          <w:b/>
          <w:color w:val="000000"/>
          <w:kern w:val="0"/>
          <w:szCs w:val="28"/>
          <w:highlight w:val="none"/>
        </w:rPr>
        <w:t>10</w:t>
      </w:r>
      <w:r>
        <w:rPr>
          <w:rFonts w:hint="eastAsia" w:ascii="仿宋_GB2312" w:hAnsi="仿宋" w:cs="宋体"/>
          <w:b/>
          <w:color w:val="000000"/>
          <w:kern w:val="0"/>
          <w:szCs w:val="28"/>
          <w:highlight w:val="none"/>
        </w:rPr>
        <w:t>分。</w:t>
      </w:r>
    </w:p>
    <w:p>
      <w:pPr>
        <w:pStyle w:val="3"/>
        <w:ind w:firstLine="643"/>
        <w:rPr>
          <w:rFonts w:ascii="仿宋" w:hAnsi="仿宋" w:eastAsia="仿宋"/>
          <w:color w:val="000000"/>
          <w:highlight w:val="none"/>
          <w:lang w:bidi="en-US"/>
        </w:rPr>
      </w:pPr>
      <w:bookmarkStart w:id="53" w:name="_Toc198307157"/>
      <w:r>
        <w:rPr>
          <w:rFonts w:ascii="仿宋" w:hAnsi="仿宋" w:eastAsia="仿宋"/>
          <w:color w:val="000000"/>
          <w:highlight w:val="none"/>
          <w:lang w:bidi="en-US"/>
        </w:rPr>
        <w:t>（</w:t>
      </w:r>
      <w:r>
        <w:rPr>
          <w:rFonts w:hint="eastAsia" w:ascii="仿宋" w:hAnsi="仿宋" w:eastAsia="仿宋"/>
          <w:color w:val="000000"/>
          <w:highlight w:val="none"/>
          <w:lang w:bidi="en-US"/>
        </w:rPr>
        <w:t>五</w:t>
      </w:r>
      <w:r>
        <w:rPr>
          <w:rFonts w:ascii="仿宋" w:hAnsi="仿宋" w:eastAsia="仿宋"/>
          <w:color w:val="000000"/>
          <w:highlight w:val="none"/>
          <w:lang w:bidi="en-US"/>
        </w:rPr>
        <w:t>）</w:t>
      </w:r>
      <w:r>
        <w:rPr>
          <w:rFonts w:hint="eastAsia" w:ascii="仿宋" w:hAnsi="仿宋" w:eastAsia="仿宋"/>
          <w:color w:val="000000"/>
          <w:highlight w:val="none"/>
          <w:lang w:bidi="en-US"/>
        </w:rPr>
        <w:t>项目</w:t>
      </w:r>
      <w:r>
        <w:rPr>
          <w:rFonts w:ascii="仿宋" w:hAnsi="仿宋" w:eastAsia="仿宋"/>
          <w:color w:val="000000"/>
          <w:highlight w:val="none"/>
          <w:lang w:bidi="en-US"/>
        </w:rPr>
        <w:t>满意度</w:t>
      </w:r>
      <w:bookmarkEnd w:id="53"/>
    </w:p>
    <w:p>
      <w:pPr>
        <w:spacing w:line="360" w:lineRule="auto"/>
        <w:ind w:firstLine="560"/>
        <w:rPr>
          <w:color w:val="000000"/>
          <w:highlight w:val="none"/>
          <w:lang w:bidi="en-US"/>
        </w:rPr>
      </w:pPr>
      <w:r>
        <w:rPr>
          <w:rFonts w:hint="eastAsia"/>
          <w:color w:val="000000"/>
          <w:highlight w:val="none"/>
          <w:lang w:bidi="en-US"/>
        </w:rPr>
        <w:t>项目满意度指标由1个二级指标和1个三级指标构成，权重为10分，实际得分10分。</w:t>
      </w:r>
    </w:p>
    <w:p>
      <w:pPr>
        <w:spacing w:line="360" w:lineRule="auto"/>
        <w:ind w:firstLine="560"/>
        <w:rPr>
          <w:color w:val="000000"/>
          <w:highlight w:val="none"/>
          <w:lang w:bidi="en-US"/>
        </w:rPr>
      </w:pPr>
      <w:r>
        <w:rPr>
          <w:rFonts w:hint="eastAsia"/>
          <w:color w:val="000000"/>
          <w:highlight w:val="none"/>
          <w:lang w:bidi="en-US"/>
        </w:rPr>
        <w:t>满意度指标“患者满意度” 目标值</w:t>
      </w:r>
      <w:r>
        <w:rPr>
          <w:rFonts w:hint="eastAsia" w:ascii="仿宋_GB2312"/>
          <w:bCs/>
          <w:color w:val="000000"/>
          <w:szCs w:val="28"/>
          <w:highlight w:val="none"/>
          <w:lang w:val="en-US" w:eastAsia="zh-CN"/>
        </w:rPr>
        <w:t>≥</w:t>
      </w:r>
      <w:r>
        <w:rPr>
          <w:rFonts w:hint="eastAsia"/>
          <w:color w:val="000000"/>
          <w:highlight w:val="none"/>
          <w:lang w:bidi="en-US"/>
        </w:rPr>
        <w:t>90%，2024年度我单位实际向患者发放</w:t>
      </w:r>
      <w:r>
        <w:rPr>
          <w:color w:val="000000"/>
          <w:highlight w:val="none"/>
          <w:lang w:bidi="en-US"/>
        </w:rPr>
        <w:t>问卷</w:t>
      </w:r>
      <w:r>
        <w:rPr>
          <w:rFonts w:hint="eastAsia"/>
          <w:color w:val="000000"/>
          <w:highlight w:val="none"/>
          <w:lang w:bidi="en-US"/>
        </w:rPr>
        <w:t>30份</w:t>
      </w:r>
      <w:r>
        <w:rPr>
          <w:color w:val="000000"/>
          <w:highlight w:val="none"/>
          <w:lang w:bidi="en-US"/>
        </w:rPr>
        <w:t>，</w:t>
      </w:r>
      <w:r>
        <w:rPr>
          <w:rFonts w:hint="eastAsia"/>
          <w:color w:val="000000"/>
          <w:highlight w:val="none"/>
          <w:lang w:bidi="en-US"/>
        </w:rPr>
        <w:t>收回</w:t>
      </w:r>
      <w:r>
        <w:rPr>
          <w:color w:val="000000"/>
          <w:highlight w:val="none"/>
          <w:lang w:bidi="en-US"/>
        </w:rPr>
        <w:t>有效问卷</w:t>
      </w:r>
      <w:r>
        <w:rPr>
          <w:rFonts w:hint="eastAsia"/>
          <w:color w:val="000000"/>
          <w:highlight w:val="none"/>
          <w:lang w:bidi="en-US"/>
        </w:rPr>
        <w:t>30份，90</w:t>
      </w:r>
      <w:r>
        <w:rPr>
          <w:color w:val="000000"/>
          <w:highlight w:val="none"/>
          <w:lang w:bidi="en-US"/>
        </w:rPr>
        <w:t>%的患者认为</w:t>
      </w:r>
      <w:r>
        <w:rPr>
          <w:rFonts w:hint="eastAsia"/>
          <w:color w:val="000000"/>
          <w:highlight w:val="none"/>
          <w:lang w:bidi="en-US"/>
        </w:rPr>
        <w:t>新的制剂</w:t>
      </w:r>
      <w:r>
        <w:rPr>
          <w:color w:val="000000"/>
          <w:highlight w:val="none"/>
          <w:lang w:bidi="en-US"/>
        </w:rPr>
        <w:t>生产和提取设备投入使用</w:t>
      </w:r>
      <w:r>
        <w:rPr>
          <w:rFonts w:hint="eastAsia"/>
          <w:color w:val="000000"/>
          <w:highlight w:val="none"/>
          <w:lang w:bidi="en-US"/>
        </w:rPr>
        <w:t>后</w:t>
      </w:r>
      <w:r>
        <w:rPr>
          <w:color w:val="000000"/>
          <w:highlight w:val="none"/>
          <w:lang w:bidi="en-US"/>
        </w:rPr>
        <w:t>，</w:t>
      </w:r>
      <w:r>
        <w:rPr>
          <w:rFonts w:hint="eastAsia"/>
          <w:color w:val="000000"/>
          <w:highlight w:val="none"/>
          <w:lang w:bidi="en-US"/>
        </w:rPr>
        <w:t>通过</w:t>
      </w:r>
      <w:r>
        <w:rPr>
          <w:color w:val="000000"/>
          <w:highlight w:val="none"/>
          <w:lang w:bidi="en-US"/>
        </w:rPr>
        <w:t>质量保障、效率提升、服务创新</w:t>
      </w:r>
      <w:r>
        <w:rPr>
          <w:rFonts w:hint="eastAsia"/>
          <w:color w:val="000000"/>
          <w:highlight w:val="none"/>
          <w:lang w:bidi="en-US"/>
        </w:rPr>
        <w:t>三重</w:t>
      </w:r>
      <w:r>
        <w:rPr>
          <w:color w:val="000000"/>
          <w:highlight w:val="none"/>
          <w:lang w:bidi="en-US"/>
        </w:rPr>
        <w:t>维度，切实提升</w:t>
      </w:r>
      <w:r>
        <w:rPr>
          <w:rFonts w:hint="eastAsia"/>
          <w:color w:val="000000"/>
          <w:highlight w:val="none"/>
          <w:lang w:bidi="en-US"/>
        </w:rPr>
        <w:t>了</w:t>
      </w:r>
      <w:r>
        <w:rPr>
          <w:color w:val="000000"/>
          <w:highlight w:val="none"/>
          <w:lang w:bidi="en-US"/>
        </w:rPr>
        <w:t>患者就医体验</w:t>
      </w:r>
      <w:r>
        <w:rPr>
          <w:rFonts w:hint="eastAsia"/>
          <w:color w:val="000000"/>
          <w:highlight w:val="none"/>
          <w:lang w:bidi="en-US"/>
        </w:rPr>
        <w:t>，故满意度为90%</w:t>
      </w:r>
      <w:r>
        <w:rPr>
          <w:rFonts w:hint="eastAsia"/>
          <w:color w:val="000000"/>
          <w:highlight w:val="none"/>
          <w:lang w:eastAsia="zh-CN" w:bidi="en-US"/>
        </w:rPr>
        <w:t>，</w:t>
      </w:r>
      <w:r>
        <w:rPr>
          <w:rFonts w:hint="eastAsia"/>
          <w:color w:val="000000"/>
          <w:highlight w:val="none"/>
          <w:lang w:bidi="en-US"/>
        </w:rPr>
        <w:t>得分为10分。</w:t>
      </w:r>
    </w:p>
    <w:p>
      <w:pPr>
        <w:autoSpaceDE w:val="0"/>
        <w:spacing w:line="360" w:lineRule="auto"/>
        <w:ind w:firstLine="562"/>
        <w:rPr>
          <w:rFonts w:ascii="仿宋_GB2312" w:hAnsi="仿宋" w:cs="宋体"/>
          <w:b/>
          <w:color w:val="000000"/>
          <w:kern w:val="0"/>
          <w:szCs w:val="28"/>
          <w:highlight w:val="none"/>
        </w:rPr>
      </w:pPr>
    </w:p>
    <w:p>
      <w:pPr>
        <w:pStyle w:val="2"/>
        <w:ind w:firstLine="0" w:firstLineChars="0"/>
        <w:jc w:val="left"/>
        <w:rPr>
          <w:rFonts w:ascii="仿宋" w:hAnsi="仿宋" w:eastAsia="仿宋"/>
          <w:color w:val="000000"/>
          <w:sz w:val="36"/>
          <w:szCs w:val="36"/>
          <w:highlight w:val="none"/>
          <w:lang w:bidi="en-US"/>
        </w:rPr>
      </w:pPr>
      <w:bookmarkStart w:id="54" w:name="_Toc67911617"/>
      <w:bookmarkStart w:id="55" w:name="_Toc198307158"/>
      <w:r>
        <w:rPr>
          <w:rFonts w:hint="eastAsia" w:ascii="仿宋" w:hAnsi="仿宋" w:eastAsia="仿宋"/>
          <w:color w:val="000000"/>
          <w:sz w:val="36"/>
          <w:szCs w:val="36"/>
          <w:highlight w:val="none"/>
          <w:lang w:bidi="en-US"/>
        </w:rPr>
        <w:t>五、主要经验及做法、存在的问题及原因分析</w:t>
      </w:r>
      <w:bookmarkEnd w:id="54"/>
      <w:bookmarkEnd w:id="55"/>
    </w:p>
    <w:p>
      <w:pPr>
        <w:pStyle w:val="3"/>
        <w:ind w:firstLine="643"/>
        <w:rPr>
          <w:rFonts w:ascii="仿宋" w:hAnsi="仿宋" w:eastAsia="仿宋"/>
          <w:color w:val="000000"/>
          <w:highlight w:val="none"/>
          <w:lang w:bidi="en-US"/>
        </w:rPr>
      </w:pPr>
      <w:bookmarkStart w:id="56" w:name="_Toc198307159"/>
      <w:bookmarkStart w:id="57" w:name="_Toc67911618"/>
      <w:r>
        <w:rPr>
          <w:rFonts w:hint="eastAsia" w:ascii="仿宋" w:hAnsi="仿宋" w:eastAsia="仿宋"/>
          <w:color w:val="000000"/>
          <w:highlight w:val="none"/>
          <w:lang w:bidi="en-US"/>
        </w:rPr>
        <w:t>（一）主要经验及做法</w:t>
      </w:r>
      <w:bookmarkEnd w:id="56"/>
      <w:bookmarkEnd w:id="57"/>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1.科学规划，精准定位项目需求</w:t>
      </w:r>
    </w:p>
    <w:p>
      <w:pPr>
        <w:autoSpaceDE w:val="0"/>
        <w:spacing w:line="600" w:lineRule="exact"/>
        <w:ind w:firstLine="560"/>
        <w:rPr>
          <w:rFonts w:ascii="仿宋_GB2312" w:hAnsi="仿宋" w:cs="宋体"/>
          <w:b/>
          <w:color w:val="000000"/>
          <w:kern w:val="0"/>
          <w:szCs w:val="28"/>
          <w:highlight w:val="none"/>
        </w:rPr>
      </w:pPr>
      <w:r>
        <w:rPr>
          <w:rFonts w:hint="eastAsia" w:ascii="仿宋_GB2312" w:hAnsi="仿宋" w:cs="宋体"/>
          <w:color w:val="000000"/>
          <w:kern w:val="0"/>
          <w:szCs w:val="28"/>
          <w:highlight w:val="none"/>
        </w:rPr>
        <w:t>在项目启动前，医院深入分析制剂室现状，通过实地勘查设备老化程度、统计制剂室产能缺口、收集临床科室对制剂品种的需求等方式，精准定位基础设施升级、设备更新，制定详细的项目可行性研究报告，明确将资金用于制剂室新型制剂设备购置，确保资金使用与医院发展战略、中医药服务需求紧密结合。</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2.高效的项目规划与资金管理</w:t>
      </w:r>
    </w:p>
    <w:p>
      <w:pPr>
        <w:autoSpaceDE w:val="0"/>
        <w:spacing w:line="600" w:lineRule="exact"/>
        <w:ind w:firstLine="560"/>
        <w:rPr>
          <w:rFonts w:ascii="仿宋_GB2312" w:hAnsi="仿宋" w:cs="宋体"/>
          <w:color w:val="000000"/>
          <w:kern w:val="0"/>
          <w:szCs w:val="28"/>
          <w:highlight w:val="none"/>
        </w:rPr>
      </w:pPr>
      <w:r>
        <w:rPr>
          <w:rFonts w:hint="eastAsia" w:ascii="仿宋_GB2312" w:hAnsi="仿宋" w:cs="宋体"/>
          <w:color w:val="000000"/>
          <w:kern w:val="0"/>
          <w:szCs w:val="28"/>
          <w:highlight w:val="none"/>
        </w:rPr>
        <w:t>医院成立项目专项工作小组，由院领导牵头，联合财务、药剂、基建、设备、医疗等多部门骨干人员，对项目资金进行合理规划</w:t>
      </w:r>
      <w:r>
        <w:rPr>
          <w:rFonts w:hint="eastAsia" w:ascii="仿宋_GB2312" w:hAnsi="仿宋" w:cs="宋体"/>
          <w:color w:val="000000"/>
          <w:kern w:val="0"/>
          <w:szCs w:val="28"/>
          <w:highlight w:val="none"/>
          <w:lang w:eastAsia="zh-CN"/>
        </w:rPr>
        <w:t>，</w:t>
      </w:r>
      <w:r>
        <w:rPr>
          <w:rFonts w:hint="eastAsia" w:ascii="仿宋_GB2312" w:hAnsi="仿宋" w:cs="宋体"/>
          <w:color w:val="000000"/>
          <w:kern w:val="0"/>
          <w:szCs w:val="28"/>
          <w:highlight w:val="none"/>
        </w:rPr>
        <w:t>明确资金主要用于重症救治资源扩充，如购置先进医疗设备</w:t>
      </w:r>
      <w:r>
        <w:rPr>
          <w:rFonts w:hint="eastAsia" w:ascii="仿宋_GB2312" w:hAnsi="仿宋" w:cs="宋体"/>
          <w:color w:val="000000"/>
          <w:kern w:val="0"/>
          <w:szCs w:val="28"/>
          <w:highlight w:val="none"/>
          <w:lang w:eastAsia="zh-CN"/>
        </w:rPr>
        <w:t>，</w:t>
      </w:r>
      <w:r>
        <w:rPr>
          <w:rFonts w:hint="eastAsia" w:ascii="仿宋_GB2312" w:hAnsi="仿宋" w:cs="宋体"/>
          <w:color w:val="000000"/>
          <w:kern w:val="0"/>
          <w:szCs w:val="28"/>
          <w:highlight w:val="none"/>
        </w:rPr>
        <w:t>在资金使用过程中，严格遵循预算管理规定，每一笔支出都经过细致审核，确保资金精准投入到关键环节，避免资金浪费与滥用，极大提高了资金使用效率，保障项目有序推进。</w:t>
      </w:r>
    </w:p>
    <w:p>
      <w:pPr>
        <w:pStyle w:val="3"/>
        <w:numPr>
          <w:ilvl w:val="0"/>
          <w:numId w:val="1"/>
        </w:numPr>
        <w:ind w:firstLine="643"/>
        <w:rPr>
          <w:rFonts w:ascii="仿宋" w:hAnsi="仿宋" w:eastAsia="仿宋"/>
          <w:color w:val="000000"/>
          <w:highlight w:val="none"/>
          <w:lang w:bidi="en-US"/>
        </w:rPr>
      </w:pPr>
      <w:bookmarkStart w:id="58" w:name="_Toc198307160"/>
      <w:r>
        <w:rPr>
          <w:rFonts w:hint="eastAsia" w:ascii="仿宋" w:hAnsi="仿宋" w:eastAsia="仿宋"/>
          <w:color w:val="000000"/>
          <w:highlight w:val="none"/>
          <w:lang w:bidi="en-US"/>
        </w:rPr>
        <w:t>存在的问题及原因分析</w:t>
      </w:r>
      <w:bookmarkEnd w:id="58"/>
    </w:p>
    <w:p>
      <w:pPr>
        <w:spacing w:line="360" w:lineRule="auto"/>
        <w:ind w:left="560" w:leftChars="200" w:firstLine="0" w:firstLineChars="0"/>
        <w:rPr>
          <w:rFonts w:ascii="仿宋_GB2312"/>
          <w:color w:val="000000"/>
          <w:szCs w:val="28"/>
          <w:highlight w:val="none"/>
        </w:rPr>
      </w:pPr>
      <w:r>
        <w:rPr>
          <w:rFonts w:hint="eastAsia" w:ascii="仿宋_GB2312"/>
          <w:color w:val="000000"/>
          <w:szCs w:val="28"/>
          <w:highlight w:val="none"/>
        </w:rPr>
        <w:t>1.资金分配在不同环节存在不均衡</w:t>
      </w:r>
    </w:p>
    <w:p>
      <w:pPr>
        <w:spacing w:line="360" w:lineRule="auto"/>
        <w:ind w:firstLine="560"/>
        <w:rPr>
          <w:rFonts w:ascii="仿宋_GB2312"/>
          <w:color w:val="000000"/>
          <w:szCs w:val="28"/>
          <w:highlight w:val="none"/>
        </w:rPr>
      </w:pPr>
      <w:r>
        <w:rPr>
          <w:rFonts w:ascii="仿宋_GB2312"/>
          <w:color w:val="000000"/>
          <w:szCs w:val="28"/>
          <w:highlight w:val="none"/>
        </w:rPr>
        <w:t>在项目执行过程中，发现资金分配在不同项目环节存在不均衡现象。设备采购环节资金充足</w:t>
      </w:r>
      <w:r>
        <w:rPr>
          <w:rFonts w:hint="eastAsia" w:ascii="仿宋_GB2312"/>
          <w:color w:val="000000"/>
          <w:szCs w:val="28"/>
          <w:highlight w:val="none"/>
        </w:rPr>
        <w:t>，</w:t>
      </w:r>
      <w:r>
        <w:rPr>
          <w:rFonts w:ascii="仿宋_GB2312"/>
          <w:color w:val="000000"/>
          <w:szCs w:val="28"/>
          <w:highlight w:val="none"/>
        </w:rPr>
        <w:t>但在一些配套设施建设与人员培训方面，资金相对紧张。</w:t>
      </w:r>
      <w:r>
        <w:rPr>
          <w:rFonts w:hint="eastAsia" w:ascii="仿宋_GB2312"/>
          <w:color w:val="000000"/>
          <w:szCs w:val="28"/>
          <w:highlight w:val="none"/>
        </w:rPr>
        <w:t>原因分析</w:t>
      </w:r>
      <w:r>
        <w:rPr>
          <w:rFonts w:ascii="仿宋_GB2312"/>
          <w:color w:val="000000"/>
          <w:szCs w:val="28"/>
          <w:highlight w:val="none"/>
        </w:rPr>
        <w:t>是由于项目前期规划时，对各环节资金需求的精准度预估不够，过于侧重设备采购，忽视了配套设施建设与人员培训的重要性及其资金需求。同时，在项目执行过程中，缺乏动态的资金调整机制，未能根据项目实际进展情况及时对资金分配进行优化</w:t>
      </w:r>
      <w:r>
        <w:rPr>
          <w:rFonts w:hint="eastAsia" w:ascii="仿宋_GB2312"/>
          <w:color w:val="000000"/>
          <w:szCs w:val="28"/>
          <w:highlight w:val="none"/>
        </w:rPr>
        <w:t>。</w:t>
      </w:r>
    </w:p>
    <w:p>
      <w:pPr>
        <w:tabs>
          <w:tab w:val="left" w:pos="312"/>
        </w:tabs>
        <w:spacing w:line="360" w:lineRule="auto"/>
        <w:ind w:left="560" w:firstLine="0" w:firstLineChars="0"/>
        <w:rPr>
          <w:rFonts w:ascii="仿宋_GB2312"/>
          <w:color w:val="000000"/>
          <w:szCs w:val="28"/>
          <w:highlight w:val="none"/>
        </w:rPr>
      </w:pPr>
      <w:r>
        <w:rPr>
          <w:rFonts w:hint="eastAsia" w:ascii="仿宋_GB2312"/>
          <w:color w:val="000000"/>
          <w:szCs w:val="28"/>
          <w:highlight w:val="none"/>
        </w:rPr>
        <w:t>2.后期运维成本增加</w:t>
      </w:r>
    </w:p>
    <w:p>
      <w:pPr>
        <w:spacing w:line="360" w:lineRule="auto"/>
        <w:ind w:firstLine="0" w:firstLineChars="0"/>
        <w:rPr>
          <w:rFonts w:ascii="仿宋_GB2312"/>
          <w:color w:val="000000"/>
          <w:szCs w:val="28"/>
          <w:highlight w:val="none"/>
        </w:rPr>
      </w:pPr>
      <w:r>
        <w:rPr>
          <w:rFonts w:hint="eastAsia" w:ascii="仿宋_GB2312"/>
          <w:color w:val="000000"/>
          <w:szCs w:val="28"/>
          <w:highlight w:val="none"/>
        </w:rPr>
        <w:t>升级改造后的制剂室，在设备维护、能源消耗、人员培训等方面的后期运维成本显著增加，给医院带来一定的经济压力，原因分析是在项目规划阶段，对后期运维成本预估不足，缺乏全面的成本分析和预算规划，同时，医院内部设备维护技术力量相对薄弱，缺乏精通进口高端设备维修的专业人才，难以在设备出现小故障时及时进行自主维修，进一步加剧了设备维护管理难度。</w:t>
      </w:r>
    </w:p>
    <w:p>
      <w:pPr>
        <w:pStyle w:val="2"/>
        <w:numPr>
          <w:ilvl w:val="0"/>
          <w:numId w:val="2"/>
        </w:numPr>
        <w:ind w:firstLine="0" w:firstLineChars="0"/>
        <w:jc w:val="left"/>
        <w:rPr>
          <w:rFonts w:ascii="仿宋" w:hAnsi="仿宋" w:eastAsia="仿宋"/>
          <w:color w:val="000000"/>
          <w:sz w:val="36"/>
          <w:szCs w:val="36"/>
          <w:highlight w:val="none"/>
          <w:lang w:bidi="en-US"/>
        </w:rPr>
      </w:pPr>
      <w:bookmarkStart w:id="59" w:name="_Toc67911620"/>
      <w:bookmarkStart w:id="60" w:name="_Toc198307161"/>
      <w:bookmarkStart w:id="61" w:name="_Toc67911619"/>
      <w:r>
        <w:rPr>
          <w:rFonts w:hint="eastAsia" w:ascii="仿宋" w:hAnsi="仿宋" w:eastAsia="仿宋"/>
          <w:color w:val="000000"/>
          <w:sz w:val="36"/>
          <w:szCs w:val="36"/>
          <w:highlight w:val="none"/>
          <w:lang w:bidi="en-US"/>
        </w:rPr>
        <w:t>有关建议</w:t>
      </w:r>
      <w:bookmarkEnd w:id="59"/>
      <w:bookmarkEnd w:id="60"/>
    </w:p>
    <w:p>
      <w:pPr>
        <w:spacing w:line="360" w:lineRule="auto"/>
        <w:ind w:firstLine="560"/>
        <w:rPr>
          <w:color w:val="000000"/>
          <w:highlight w:val="none"/>
          <w:lang w:bidi="en-US"/>
        </w:rPr>
      </w:pPr>
      <w:r>
        <w:rPr>
          <w:rFonts w:hint="eastAsia"/>
          <w:color w:val="000000"/>
          <w:highlight w:val="none"/>
          <w:lang w:bidi="en-US"/>
        </w:rPr>
        <w:t>1.提高资金分配在不同环节</w:t>
      </w:r>
      <w:r>
        <w:rPr>
          <w:rFonts w:hint="eastAsia"/>
          <w:color w:val="000000"/>
          <w:highlight w:val="none"/>
          <w:lang w:eastAsia="zh-CN" w:bidi="en-US"/>
        </w:rPr>
        <w:t>存在</w:t>
      </w:r>
      <w:r>
        <w:rPr>
          <w:rFonts w:hint="eastAsia"/>
          <w:color w:val="000000"/>
          <w:highlight w:val="none"/>
          <w:lang w:bidi="en-US"/>
        </w:rPr>
        <w:t>的均衡性</w:t>
      </w:r>
    </w:p>
    <w:p>
      <w:pPr>
        <w:spacing w:line="360" w:lineRule="auto"/>
        <w:ind w:firstLine="560"/>
        <w:rPr>
          <w:color w:val="000000"/>
          <w:highlight w:val="none"/>
          <w:lang w:bidi="en-US"/>
        </w:rPr>
      </w:pPr>
      <w:r>
        <w:rPr>
          <w:rFonts w:hint="eastAsia"/>
          <w:color w:val="000000"/>
          <w:highlight w:val="none"/>
          <w:lang w:bidi="en-US"/>
        </w:rPr>
        <w:t>项目前期规划时，对各环节资金需求合理</w:t>
      </w:r>
      <w:r>
        <w:rPr>
          <w:color w:val="000000"/>
          <w:highlight w:val="none"/>
          <w:lang w:bidi="en-US"/>
        </w:rPr>
        <w:t>评估</w:t>
      </w:r>
      <w:r>
        <w:rPr>
          <w:rFonts w:hint="eastAsia"/>
          <w:color w:val="000000"/>
          <w:highlight w:val="none"/>
          <w:lang w:bidi="en-US"/>
        </w:rPr>
        <w:t>，明确各</w:t>
      </w:r>
      <w:r>
        <w:rPr>
          <w:color w:val="000000"/>
          <w:highlight w:val="none"/>
          <w:lang w:bidi="en-US"/>
        </w:rPr>
        <w:t>环节</w:t>
      </w:r>
      <w:r>
        <w:rPr>
          <w:rFonts w:hint="eastAsia"/>
          <w:color w:val="000000"/>
          <w:highlight w:val="none"/>
          <w:lang w:bidi="en-US"/>
        </w:rPr>
        <w:t>分类</w:t>
      </w:r>
      <w:r>
        <w:rPr>
          <w:color w:val="000000"/>
          <w:highlight w:val="none"/>
          <w:lang w:bidi="en-US"/>
        </w:rPr>
        <w:t>与资金占比，将项目</w:t>
      </w:r>
      <w:r>
        <w:rPr>
          <w:rFonts w:hint="eastAsia"/>
          <w:color w:val="000000"/>
          <w:highlight w:val="none"/>
          <w:lang w:bidi="en-US"/>
        </w:rPr>
        <w:t>资金划分为</w:t>
      </w:r>
      <w:r>
        <w:rPr>
          <w:color w:val="000000"/>
          <w:highlight w:val="none"/>
          <w:lang w:bidi="en-US"/>
        </w:rPr>
        <w:t>设备</w:t>
      </w:r>
      <w:r>
        <w:rPr>
          <w:rFonts w:hint="eastAsia"/>
          <w:color w:val="000000"/>
          <w:highlight w:val="none"/>
          <w:lang w:bidi="en-US"/>
        </w:rPr>
        <w:t>购置</w:t>
      </w:r>
      <w:r>
        <w:rPr>
          <w:color w:val="000000"/>
          <w:highlight w:val="none"/>
          <w:lang w:bidi="en-US"/>
        </w:rPr>
        <w:t>、技术研发、人员培训</w:t>
      </w:r>
      <w:r>
        <w:rPr>
          <w:rFonts w:hint="eastAsia"/>
          <w:color w:val="000000"/>
          <w:highlight w:val="none"/>
          <w:lang w:bidi="en-US"/>
        </w:rPr>
        <w:t>、</w:t>
      </w:r>
      <w:r>
        <w:rPr>
          <w:color w:val="000000"/>
          <w:highlight w:val="none"/>
          <w:lang w:bidi="en-US"/>
        </w:rPr>
        <w:t>质量管控、</w:t>
      </w:r>
      <w:r>
        <w:rPr>
          <w:rFonts w:hint="eastAsia"/>
          <w:color w:val="000000"/>
          <w:highlight w:val="none"/>
          <w:lang w:bidi="en-US"/>
        </w:rPr>
        <w:t>日常</w:t>
      </w:r>
      <w:r>
        <w:rPr>
          <w:color w:val="000000"/>
          <w:highlight w:val="none"/>
          <w:lang w:bidi="en-US"/>
        </w:rPr>
        <w:t>运营等方面</w:t>
      </w:r>
      <w:r>
        <w:rPr>
          <w:rFonts w:hint="eastAsia"/>
          <w:color w:val="000000"/>
          <w:highlight w:val="none"/>
          <w:lang w:bidi="en-US"/>
        </w:rPr>
        <w:t>；</w:t>
      </w:r>
      <w:r>
        <w:rPr>
          <w:color w:val="000000"/>
          <w:highlight w:val="none"/>
          <w:lang w:bidi="en-US"/>
        </w:rPr>
        <w:t>与药企合作共建研发平台，通过“</w:t>
      </w:r>
      <w:r>
        <w:rPr>
          <w:rFonts w:hint="eastAsia"/>
          <w:color w:val="000000"/>
          <w:highlight w:val="none"/>
          <w:lang w:bidi="en-US"/>
        </w:rPr>
        <w:t>企业</w:t>
      </w:r>
      <w:r>
        <w:rPr>
          <w:color w:val="000000"/>
          <w:highlight w:val="none"/>
          <w:lang w:bidi="en-US"/>
        </w:rPr>
        <w:t>出资</w:t>
      </w:r>
      <w:r>
        <w:rPr>
          <w:rFonts w:hint="eastAsia"/>
          <w:color w:val="000000"/>
          <w:highlight w:val="none"/>
          <w:lang w:bidi="en-US"/>
        </w:rPr>
        <w:t>+医院</w:t>
      </w:r>
      <w:r>
        <w:rPr>
          <w:color w:val="000000"/>
          <w:highlight w:val="none"/>
          <w:lang w:bidi="en-US"/>
        </w:rPr>
        <w:t>出技术”</w:t>
      </w:r>
      <w:r>
        <w:rPr>
          <w:rFonts w:hint="eastAsia"/>
          <w:color w:val="000000"/>
          <w:highlight w:val="none"/>
          <w:lang w:bidi="en-US"/>
        </w:rPr>
        <w:t>模式</w:t>
      </w:r>
      <w:r>
        <w:rPr>
          <w:color w:val="000000"/>
          <w:highlight w:val="none"/>
          <w:lang w:bidi="en-US"/>
        </w:rPr>
        <w:t>，将社会资本引入研发或设备升级环节。</w:t>
      </w:r>
    </w:p>
    <w:p>
      <w:pPr>
        <w:spacing w:line="360" w:lineRule="auto"/>
        <w:ind w:firstLine="560"/>
        <w:rPr>
          <w:color w:val="000000"/>
          <w:highlight w:val="none"/>
          <w:lang w:bidi="en-US"/>
        </w:rPr>
      </w:pPr>
      <w:r>
        <w:rPr>
          <w:color w:val="000000"/>
          <w:highlight w:val="none"/>
          <w:lang w:bidi="en-US"/>
        </w:rPr>
        <w:t>2.</w:t>
      </w:r>
      <w:r>
        <w:rPr>
          <w:rFonts w:hint="eastAsia"/>
          <w:color w:val="000000"/>
          <w:highlight w:val="none"/>
          <w:lang w:bidi="en-US"/>
        </w:rPr>
        <w:t>降低后期运维成本</w:t>
      </w:r>
    </w:p>
    <w:p>
      <w:pPr>
        <w:spacing w:line="360" w:lineRule="auto"/>
        <w:ind w:firstLine="560"/>
        <w:rPr>
          <w:color w:val="000000"/>
          <w:highlight w:val="none"/>
          <w:lang w:bidi="en-US"/>
        </w:rPr>
      </w:pPr>
      <w:r>
        <w:rPr>
          <w:rFonts w:hint="eastAsia"/>
          <w:color w:val="000000"/>
          <w:highlight w:val="none"/>
          <w:lang w:bidi="en-US"/>
        </w:rPr>
        <w:t>在</w:t>
      </w:r>
      <w:r>
        <w:rPr>
          <w:color w:val="000000"/>
          <w:highlight w:val="none"/>
          <w:lang w:bidi="en-US"/>
        </w:rPr>
        <w:t>采购</w:t>
      </w:r>
      <w:r>
        <w:rPr>
          <w:rFonts w:hint="eastAsia"/>
          <w:color w:val="000000"/>
          <w:highlight w:val="none"/>
          <w:lang w:bidi="en-US"/>
        </w:rPr>
        <w:t>合同</w:t>
      </w:r>
      <w:r>
        <w:rPr>
          <w:color w:val="000000"/>
          <w:highlight w:val="none"/>
          <w:lang w:bidi="en-US"/>
        </w:rPr>
        <w:t>中明确设备保修期延长</w:t>
      </w:r>
      <w:r>
        <w:rPr>
          <w:rFonts w:hint="eastAsia"/>
          <w:color w:val="000000"/>
          <w:highlight w:val="none"/>
          <w:lang w:bidi="en-US"/>
        </w:rPr>
        <w:t>、</w:t>
      </w:r>
      <w:r>
        <w:rPr>
          <w:color w:val="000000"/>
          <w:highlight w:val="none"/>
          <w:lang w:bidi="en-US"/>
        </w:rPr>
        <w:t>维护折扣协议、</w:t>
      </w:r>
      <w:r>
        <w:rPr>
          <w:rFonts w:hint="eastAsia"/>
          <w:color w:val="000000"/>
          <w:highlight w:val="none"/>
          <w:lang w:bidi="en-US"/>
        </w:rPr>
        <w:t>备件</w:t>
      </w:r>
      <w:r>
        <w:rPr>
          <w:color w:val="000000"/>
          <w:highlight w:val="none"/>
          <w:lang w:bidi="en-US"/>
        </w:rPr>
        <w:t>价格锁定</w:t>
      </w:r>
      <w:r>
        <w:rPr>
          <w:rFonts w:hint="eastAsia"/>
          <w:color w:val="000000"/>
          <w:highlight w:val="none"/>
          <w:lang w:bidi="en-US"/>
        </w:rPr>
        <w:t>等内容；</w:t>
      </w:r>
      <w:r>
        <w:rPr>
          <w:color w:val="000000"/>
          <w:highlight w:val="none"/>
          <w:lang w:bidi="en-US"/>
        </w:rPr>
        <w:t>同时引入第三方技术评估，</w:t>
      </w:r>
      <w:r>
        <w:rPr>
          <w:rFonts w:hint="eastAsia"/>
          <w:color w:val="000000"/>
          <w:highlight w:val="none"/>
          <w:lang w:bidi="en-US"/>
        </w:rPr>
        <w:t>建立内部</w:t>
      </w:r>
      <w:r>
        <w:rPr>
          <w:color w:val="000000"/>
          <w:highlight w:val="none"/>
          <w:lang w:bidi="en-US"/>
        </w:rPr>
        <w:t>运维团队，</w:t>
      </w:r>
      <w:r>
        <w:rPr>
          <w:rFonts w:hint="eastAsia"/>
          <w:color w:val="000000"/>
          <w:highlight w:val="none"/>
          <w:lang w:bidi="en-US"/>
        </w:rPr>
        <w:t>保证</w:t>
      </w:r>
      <w:r>
        <w:rPr>
          <w:color w:val="000000"/>
          <w:highlight w:val="none"/>
          <w:lang w:bidi="en-US"/>
        </w:rPr>
        <w:t>规范化操作与预防性维护</w:t>
      </w:r>
      <w:r>
        <w:rPr>
          <w:rFonts w:hint="eastAsia"/>
          <w:color w:val="000000"/>
          <w:highlight w:val="none"/>
          <w:lang w:bidi="en-US"/>
        </w:rPr>
        <w:t>。</w:t>
      </w:r>
    </w:p>
    <w:p>
      <w:pPr>
        <w:pStyle w:val="2"/>
        <w:ind w:firstLine="0" w:firstLineChars="0"/>
        <w:jc w:val="left"/>
        <w:rPr>
          <w:rFonts w:ascii="仿宋" w:hAnsi="仿宋" w:eastAsia="仿宋"/>
          <w:color w:val="000000"/>
          <w:sz w:val="36"/>
          <w:szCs w:val="36"/>
          <w:highlight w:val="none"/>
          <w:lang w:bidi="en-US"/>
        </w:rPr>
      </w:pPr>
      <w:bookmarkStart w:id="62" w:name="_Toc198307162"/>
      <w:r>
        <w:rPr>
          <w:rFonts w:hint="eastAsia" w:ascii="仿宋" w:hAnsi="仿宋" w:eastAsia="仿宋"/>
          <w:color w:val="000000"/>
          <w:sz w:val="36"/>
          <w:szCs w:val="36"/>
          <w:highlight w:val="none"/>
          <w:lang w:bidi="en-US"/>
        </w:rPr>
        <w:t>七、其他需要说明的问题</w:t>
      </w:r>
      <w:bookmarkEnd w:id="61"/>
      <w:bookmarkEnd w:id="62"/>
    </w:p>
    <w:p>
      <w:pPr>
        <w:spacing w:line="360" w:lineRule="auto"/>
        <w:ind w:firstLine="560"/>
        <w:rPr>
          <w:rFonts w:ascii="仿宋_GB2312"/>
          <w:color w:val="000000"/>
          <w:szCs w:val="28"/>
          <w:highlight w:val="none"/>
        </w:rPr>
      </w:pPr>
      <w:r>
        <w:rPr>
          <w:rFonts w:hint="eastAsia" w:ascii="仿宋_GB2312"/>
          <w:color w:val="000000"/>
          <w:szCs w:val="28"/>
          <w:highlight w:val="none"/>
        </w:rPr>
        <w:t>绩效目标贯穿项目实施的整个周期，指导着项目的发展方向：绩效指标是绩效目标的具体化对项目实施的各个阶段起着考核、监督、引导的作用。</w:t>
      </w:r>
    </w:p>
    <w:p>
      <w:pPr>
        <w:numPr>
          <w:ilvl w:val="0"/>
          <w:numId w:val="3"/>
        </w:numPr>
        <w:spacing w:line="360" w:lineRule="auto"/>
        <w:ind w:firstLine="560"/>
        <w:rPr>
          <w:rFonts w:ascii="仿宋_GB2312"/>
          <w:color w:val="000000"/>
          <w:szCs w:val="28"/>
          <w:highlight w:val="none"/>
        </w:rPr>
      </w:pPr>
      <w:r>
        <w:rPr>
          <w:rFonts w:hint="eastAsia" w:ascii="仿宋_GB2312"/>
          <w:color w:val="000000"/>
          <w:szCs w:val="28"/>
          <w:highlight w:val="none"/>
        </w:rPr>
        <w:t>依据预算法及相关资金管理办法，明确项目资金的使用范围，确保专款专用，杜绝任何形式的挤占、截留或挪用现象。每一笔资金的支出都应严格按照既定流程审批，保证资金流向清晰、合理。</w:t>
      </w:r>
    </w:p>
    <w:p>
      <w:pPr>
        <w:spacing w:line="360" w:lineRule="auto"/>
        <w:ind w:firstLine="560"/>
        <w:rPr>
          <w:rFonts w:ascii="仿宋_GB2312"/>
          <w:color w:val="000000"/>
          <w:szCs w:val="28"/>
          <w:highlight w:val="none"/>
        </w:rPr>
      </w:pPr>
      <w:r>
        <w:rPr>
          <w:rFonts w:hint="eastAsia" w:ascii="仿宋_GB2312"/>
          <w:color w:val="000000"/>
          <w:szCs w:val="28"/>
          <w:highlight w:val="none"/>
        </w:rPr>
        <w:t>2.在现有绩效目标基础上，结合医院实际情况和项目特点，将目标进一步细化、量化，使其更具可操作性和可衡量性。</w:t>
      </w:r>
    </w:p>
    <w:p>
      <w:pPr>
        <w:spacing w:line="360" w:lineRule="auto"/>
        <w:ind w:firstLine="560"/>
        <w:rPr>
          <w:rFonts w:ascii="仿宋_GB2312"/>
          <w:color w:val="000000"/>
          <w:szCs w:val="28"/>
          <w:highlight w:val="none"/>
        </w:rPr>
      </w:pPr>
      <w:r>
        <w:rPr>
          <w:rFonts w:hint="eastAsia" w:ascii="仿宋_GB2312"/>
          <w:color w:val="000000"/>
          <w:szCs w:val="28"/>
          <w:highlight w:val="none"/>
        </w:rPr>
        <w:t>3.在项目执行过程中和完成后，对照确定的绩效目标，组织开展全面的绩效自评工作。通过自评，总结项目实施过程中的经验教训，发现存在的问题和不足，为今后类似项目的实施提供参考依据。</w:t>
      </w:r>
    </w:p>
    <w:p>
      <w:pPr>
        <w:spacing w:line="360" w:lineRule="auto"/>
        <w:ind w:firstLine="560"/>
        <w:rPr>
          <w:rFonts w:ascii="仿宋_GB2312"/>
          <w:color w:val="000000"/>
          <w:szCs w:val="28"/>
          <w:highlight w:val="none"/>
        </w:rPr>
      </w:pPr>
      <w:r>
        <w:rPr>
          <w:rFonts w:hint="eastAsia" w:ascii="仿宋_GB2312"/>
          <w:color w:val="000000"/>
          <w:szCs w:val="28"/>
          <w:highlight w:val="none"/>
        </w:rPr>
        <w:t>4.增加政府采购计划性，督促各部门必须加强和提高政府采购预算编制的科学性和准确性，严格按照政府采购预算细化的要求编制采购计划，做到先有计划，后有执行。</w:t>
      </w:r>
    </w:p>
    <w:p>
      <w:pPr>
        <w:spacing w:line="360" w:lineRule="auto"/>
        <w:ind w:firstLine="560"/>
        <w:rPr>
          <w:color w:val="000000"/>
          <w:highlight w:val="none"/>
        </w:rPr>
      </w:pPr>
      <w:r>
        <w:rPr>
          <w:rFonts w:hint="eastAsia" w:ascii="仿宋_GB2312"/>
          <w:color w:val="000000"/>
          <w:szCs w:val="28"/>
          <w:highlight w:val="none"/>
        </w:rPr>
        <w:t>5.加强监督检查，配合监察、审计、纪检和各部门，对采购工作定期进行监督检查。</w:t>
      </w:r>
    </w:p>
    <w:p>
      <w:pPr>
        <w:spacing w:line="360" w:lineRule="auto"/>
        <w:ind w:firstLine="560"/>
        <w:rPr>
          <w:rFonts w:ascii="仿宋_GB2312"/>
          <w:color w:val="000000"/>
          <w:szCs w:val="28"/>
          <w:highlight w:val="none"/>
        </w:rPr>
      </w:pPr>
      <w:r>
        <w:rPr>
          <w:rFonts w:ascii="仿宋_GB2312"/>
          <w:color w:val="000000"/>
          <w:szCs w:val="28"/>
          <w:highlight w:val="none"/>
        </w:rPr>
        <w:t>4.</w:t>
      </w:r>
      <w:r>
        <w:rPr>
          <w:rFonts w:hint="eastAsia" w:ascii="仿宋_GB2312"/>
          <w:color w:val="000000"/>
          <w:szCs w:val="28"/>
          <w:highlight w:val="none"/>
        </w:rPr>
        <w:t>未发现虚假行为和骗取财政资金的问题。</w:t>
      </w:r>
    </w:p>
    <w:p>
      <w:pPr>
        <w:spacing w:line="360" w:lineRule="auto"/>
        <w:ind w:firstLine="560"/>
        <w:rPr>
          <w:rFonts w:ascii="仿宋_GB2312"/>
          <w:color w:val="000000"/>
          <w:szCs w:val="28"/>
          <w:highlight w:val="none"/>
        </w:rPr>
      </w:pPr>
    </w:p>
    <w:bookmarkEnd w:id="63"/>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720" w:num="1"/>
      <w:docGrid w:type="lines"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A00002BF" w:usb1="38CF7CFA" w:usb2="00000016" w:usb3="00000000" w:csb0="0004000F" w:csb1="00000000"/>
  </w:font>
  <w:font w:name="等线">
    <w:altName w:val="宋体"/>
    <w:panose1 w:val="02010600030101010101"/>
    <w:charset w:val="86"/>
    <w:family w:val="auto"/>
    <w:pitch w:val="default"/>
    <w:sig w:usb0="A00002BF" w:usb1="38CF7CFA" w:usb2="00000016" w:usb3="00000000" w:csb0="0004000F" w:csb1="00000000"/>
  </w:font>
  <w:font w:name="Gungsuh">
    <w:panose1 w:val="02030600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12</w:t>
    </w:r>
    <w:r>
      <w:rPr>
        <w:rFonts w:hint="eastAsia" w:ascii="仿宋_GB2312" w:eastAsia="仿宋_GB2312"/>
        <w:sz w:val="21"/>
        <w:szCs w:val="21"/>
      </w:rPr>
      <w:fldChar w:fldCharType="end"/>
    </w:r>
  </w:p>
  <w:p>
    <w:pPr>
      <w:pStyle w:val="10"/>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25</w:t>
    </w:r>
    <w:r>
      <w:rPr>
        <w:rFonts w:hint="eastAsia" w:ascii="仿宋_GB2312" w:eastAsia="仿宋_GB2312"/>
        <w:sz w:val="21"/>
        <w:szCs w:val="21"/>
      </w:rPr>
      <w:fldChar w:fldCharType="end"/>
    </w:r>
  </w:p>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footnote w:id="0">
    <w:p>
      <w:pPr>
        <w:pStyle w:val="13"/>
        <w:ind w:firstLine="0" w:firstLineChars="0"/>
        <w:jc w:val="both"/>
        <w:rPr>
          <w:rFonts w:ascii="仿宋_GB2312"/>
        </w:rPr>
      </w:pPr>
      <w:r>
        <w:rPr>
          <w:rStyle w:val="18"/>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3"/>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144281025">
    <w:nsid w:val="7FCF21C1"/>
    <w:multiLevelType w:val="singleLevel"/>
    <w:tmpl w:val="7FCF21C1"/>
    <w:lvl w:ilvl="0" w:tentative="1">
      <w:start w:val="2"/>
      <w:numFmt w:val="chineseCounting"/>
      <w:suff w:val="nothing"/>
      <w:lvlText w:val="（%1）"/>
      <w:lvlJc w:val="left"/>
      <w:rPr>
        <w:rFonts w:hint="eastAsia"/>
      </w:rPr>
    </w:lvl>
  </w:abstractNum>
  <w:abstractNum w:abstractNumId="429127198">
    <w:nsid w:val="1993F61E"/>
    <w:multiLevelType w:val="singleLevel"/>
    <w:tmpl w:val="1993F61E"/>
    <w:lvl w:ilvl="0" w:tentative="1">
      <w:start w:val="6"/>
      <w:numFmt w:val="chineseCounting"/>
      <w:suff w:val="nothing"/>
      <w:lvlText w:val="%1、"/>
      <w:lvlJc w:val="left"/>
      <w:rPr>
        <w:rFonts w:hint="eastAsia"/>
      </w:rPr>
    </w:lvl>
  </w:abstractNum>
  <w:abstractNum w:abstractNumId="1195523648">
    <w:nsid w:val="47423E40"/>
    <w:multiLevelType w:val="singleLevel"/>
    <w:tmpl w:val="47423E40"/>
    <w:lvl w:ilvl="0" w:tentative="1">
      <w:start w:val="1"/>
      <w:numFmt w:val="decimal"/>
      <w:lvlText w:val="%1."/>
      <w:lvlJc w:val="left"/>
      <w:pPr>
        <w:tabs>
          <w:tab w:val="left" w:pos="312"/>
        </w:tabs>
      </w:pPr>
    </w:lvl>
  </w:abstractNum>
  <w:num w:numId="1">
    <w:abstractNumId w:val="2144281025"/>
  </w:num>
  <w:num w:numId="2">
    <w:abstractNumId w:val="429127198"/>
  </w:num>
  <w:num w:numId="3">
    <w:abstractNumId w:val="11955236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iPriority="99"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annotation subject"/>
    <w:lsdException w:qFormat="1" w:uiPriority="99" w:name="Balloon Text"/>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等线 Light" w:hAnsi="等线 Light" w:eastAsia="等线 Light" w:cs="黑体"/>
      <w:b/>
      <w:bCs/>
      <w:sz w:val="32"/>
      <w:szCs w:val="32"/>
    </w:rPr>
  </w:style>
  <w:style w:type="paragraph" w:styleId="4">
    <w:name w:val="heading 3"/>
    <w:basedOn w:val="1"/>
    <w:next w:val="1"/>
    <w:link w:val="30"/>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paragraph" w:styleId="5">
    <w:name w:val="annotation subject"/>
    <w:basedOn w:val="6"/>
    <w:next w:val="6"/>
    <w:link w:val="28"/>
    <w:semiHidden/>
    <w:unhideWhenUsed/>
    <w:qFormat/>
    <w:uiPriority w:val="99"/>
    <w:rPr>
      <w:b/>
      <w:bCs/>
    </w:rPr>
  </w:style>
  <w:style w:type="paragraph" w:styleId="6">
    <w:name w:val="annotation text"/>
    <w:basedOn w:val="1"/>
    <w:link w:val="27"/>
    <w:unhideWhenUsed/>
    <w:qFormat/>
    <w:uiPriority w:val="99"/>
    <w:pPr>
      <w:jc w:val="left"/>
    </w:pPr>
  </w:style>
  <w:style w:type="paragraph" w:styleId="7">
    <w:name w:val="toc 3"/>
    <w:basedOn w:val="1"/>
    <w:next w:val="1"/>
    <w:unhideWhenUsed/>
    <w:qFormat/>
    <w:uiPriority w:val="39"/>
    <w:pPr>
      <w:ind w:left="840" w:leftChars="400"/>
    </w:pPr>
  </w:style>
  <w:style w:type="paragraph" w:styleId="8">
    <w:name w:val="Date"/>
    <w:basedOn w:val="1"/>
    <w:next w:val="1"/>
    <w:link w:val="23"/>
    <w:semiHidden/>
    <w:unhideWhenUsed/>
    <w:qFormat/>
    <w:uiPriority w:val="99"/>
    <w:pPr>
      <w:ind w:left="100" w:leftChars="2500"/>
    </w:pPr>
  </w:style>
  <w:style w:type="paragraph" w:styleId="9">
    <w:name w:val="Balloon Text"/>
    <w:basedOn w:val="1"/>
    <w:link w:val="29"/>
    <w:semiHidden/>
    <w:unhideWhenUsed/>
    <w:qFormat/>
    <w:uiPriority w:val="99"/>
    <w:rPr>
      <w:sz w:val="18"/>
      <w:szCs w:val="18"/>
    </w:rPr>
  </w:style>
  <w:style w:type="paragraph" w:styleId="10">
    <w:name w:val="footer"/>
    <w:basedOn w:val="1"/>
    <w:link w:val="22"/>
    <w:unhideWhenUsed/>
    <w:qFormat/>
    <w:uiPriority w:val="99"/>
    <w:pPr>
      <w:tabs>
        <w:tab w:val="center" w:pos="4153"/>
        <w:tab w:val="right" w:pos="8306"/>
      </w:tabs>
      <w:snapToGrid w:val="0"/>
      <w:ind w:firstLine="0" w:firstLineChars="0"/>
      <w:jc w:val="left"/>
    </w:pPr>
    <w:rPr>
      <w:rFonts w:ascii="等线" w:hAnsi="等线" w:eastAsia="等线" w:cs="黑体"/>
      <w:sz w:val="18"/>
      <w:szCs w:val="18"/>
    </w:rPr>
  </w:style>
  <w:style w:type="paragraph" w:styleId="11">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等线" w:hAnsi="等线" w:eastAsia="等线" w:cs="黑体"/>
      <w:sz w:val="18"/>
      <w:szCs w:val="18"/>
    </w:rPr>
  </w:style>
  <w:style w:type="paragraph" w:styleId="12">
    <w:name w:val="toc 1"/>
    <w:basedOn w:val="1"/>
    <w:next w:val="1"/>
    <w:unhideWhenUsed/>
    <w:qFormat/>
    <w:uiPriority w:val="39"/>
  </w:style>
  <w:style w:type="paragraph" w:styleId="13">
    <w:name w:val="footnote text"/>
    <w:basedOn w:val="1"/>
    <w:link w:val="25"/>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character" w:styleId="16">
    <w:name w:val="Hyperlink"/>
    <w:basedOn w:val="15"/>
    <w:unhideWhenUsed/>
    <w:qFormat/>
    <w:uiPriority w:val="99"/>
    <w:rPr>
      <w:color w:val="0563C1"/>
      <w:u w:val="single"/>
    </w:rPr>
  </w:style>
  <w:style w:type="character" w:styleId="17">
    <w:name w:val="annotation reference"/>
    <w:basedOn w:val="15"/>
    <w:semiHidden/>
    <w:unhideWhenUsed/>
    <w:qFormat/>
    <w:uiPriority w:val="99"/>
    <w:rPr>
      <w:sz w:val="21"/>
      <w:szCs w:val="21"/>
    </w:rPr>
  </w:style>
  <w:style w:type="character" w:styleId="18">
    <w:name w:val="footnote reference"/>
    <w:basedOn w:val="15"/>
    <w:semiHidden/>
    <w:unhideWhenUsed/>
    <w:qFormat/>
    <w:uiPriority w:val="99"/>
    <w:rPr>
      <w:vertAlign w:val="superscript"/>
    </w:rPr>
  </w:style>
  <w:style w:type="paragraph" w:customStyle="1" w:styleId="19">
    <w:name w:val="List Paragraph"/>
    <w:basedOn w:val="1"/>
    <w:qFormat/>
    <w:uiPriority w:val="34"/>
    <w:pPr>
      <w:ind w:firstLine="420"/>
    </w:pPr>
  </w:style>
  <w:style w:type="paragraph" w:customStyle="1" w:styleId="20">
    <w:name w:val="TOC 标题1"/>
    <w:basedOn w:val="2"/>
    <w:next w:val="1"/>
    <w:unhideWhenUsed/>
    <w:qFormat/>
    <w:uiPriority w:val="39"/>
    <w:pPr>
      <w:widowControl/>
      <w:spacing w:before="240" w:after="0" w:line="259" w:lineRule="auto"/>
      <w:ind w:firstLine="0" w:firstLineChars="0"/>
      <w:jc w:val="left"/>
      <w:outlineLvl w:val="9"/>
    </w:pPr>
    <w:rPr>
      <w:rFonts w:ascii="等线 Light" w:hAnsi="等线 Light" w:eastAsia="等线 Light" w:cs="黑体"/>
      <w:b w:val="0"/>
      <w:bCs w:val="0"/>
      <w:color w:val="2E5394"/>
      <w:kern w:val="0"/>
      <w:sz w:val="32"/>
      <w:szCs w:val="32"/>
    </w:rPr>
  </w:style>
  <w:style w:type="character" w:customStyle="1" w:styleId="21">
    <w:name w:val="页眉 Char Char"/>
    <w:basedOn w:val="15"/>
    <w:link w:val="11"/>
    <w:uiPriority w:val="99"/>
    <w:rPr>
      <w:sz w:val="18"/>
      <w:szCs w:val="18"/>
    </w:rPr>
  </w:style>
  <w:style w:type="character" w:customStyle="1" w:styleId="22">
    <w:name w:val="页脚 Char Char"/>
    <w:basedOn w:val="15"/>
    <w:link w:val="10"/>
    <w:uiPriority w:val="99"/>
    <w:rPr>
      <w:sz w:val="18"/>
      <w:szCs w:val="18"/>
    </w:rPr>
  </w:style>
  <w:style w:type="character" w:customStyle="1" w:styleId="23">
    <w:name w:val="日期 Char Char"/>
    <w:basedOn w:val="15"/>
    <w:link w:val="8"/>
    <w:uiPriority w:val="99"/>
    <w:rPr>
      <w:rFonts w:ascii="Calibri" w:hAnsi="Calibri" w:eastAsia="仿宋_GB2312" w:cs="黑体"/>
      <w:sz w:val="28"/>
    </w:rPr>
  </w:style>
  <w:style w:type="character" w:customStyle="1" w:styleId="24">
    <w:name w:val="标题 2 Char Char"/>
    <w:basedOn w:val="15"/>
    <w:link w:val="3"/>
    <w:uiPriority w:val="9"/>
    <w:rPr>
      <w:rFonts w:ascii="等线 Light" w:hAnsi="等线 Light" w:eastAsia="等线 Light" w:cs="黑体"/>
      <w:b/>
      <w:bCs/>
      <w:sz w:val="32"/>
      <w:szCs w:val="32"/>
    </w:rPr>
  </w:style>
  <w:style w:type="character" w:customStyle="1" w:styleId="25">
    <w:name w:val="脚注文本 Char Char"/>
    <w:basedOn w:val="15"/>
    <w:link w:val="13"/>
    <w:uiPriority w:val="99"/>
    <w:rPr>
      <w:rFonts w:ascii="Calibri" w:hAnsi="Calibri" w:eastAsia="仿宋_GB2312" w:cs="黑体"/>
      <w:sz w:val="18"/>
      <w:szCs w:val="18"/>
    </w:rPr>
  </w:style>
  <w:style w:type="character" w:customStyle="1" w:styleId="26">
    <w:name w:val="标题 1 Char Char"/>
    <w:basedOn w:val="15"/>
    <w:link w:val="2"/>
    <w:uiPriority w:val="9"/>
    <w:rPr>
      <w:rFonts w:ascii="Calibri" w:hAnsi="Calibri" w:eastAsia="仿宋_GB2312" w:cs="黑体"/>
      <w:b/>
      <w:bCs/>
      <w:kern w:val="44"/>
      <w:sz w:val="44"/>
      <w:szCs w:val="44"/>
    </w:rPr>
  </w:style>
  <w:style w:type="character" w:customStyle="1" w:styleId="27">
    <w:name w:val="批注文字 Char Char"/>
    <w:basedOn w:val="15"/>
    <w:link w:val="6"/>
    <w:uiPriority w:val="99"/>
    <w:rPr>
      <w:rFonts w:ascii="Calibri" w:hAnsi="Calibri" w:eastAsia="仿宋_GB2312" w:cs="黑体"/>
      <w:sz w:val="28"/>
    </w:rPr>
  </w:style>
  <w:style w:type="character" w:customStyle="1" w:styleId="28">
    <w:name w:val="批注主题 Char Char"/>
    <w:basedOn w:val="27"/>
    <w:link w:val="5"/>
    <w:uiPriority w:val="99"/>
    <w:rPr>
      <w:rFonts w:ascii="Calibri" w:hAnsi="Calibri" w:eastAsia="仿宋_GB2312" w:cs="黑体"/>
      <w:b/>
      <w:bCs/>
      <w:sz w:val="28"/>
    </w:rPr>
  </w:style>
  <w:style w:type="character" w:customStyle="1" w:styleId="29">
    <w:name w:val="批注框文本 Char Char"/>
    <w:basedOn w:val="15"/>
    <w:link w:val="9"/>
    <w:uiPriority w:val="99"/>
    <w:rPr>
      <w:rFonts w:ascii="Calibri" w:hAnsi="Calibri" w:eastAsia="仿宋_GB2312" w:cs="黑体"/>
      <w:sz w:val="18"/>
      <w:szCs w:val="18"/>
    </w:rPr>
  </w:style>
  <w:style w:type="character" w:customStyle="1" w:styleId="30">
    <w:name w:val="标题 3 Char Char"/>
    <w:basedOn w:val="15"/>
    <w:link w:val="4"/>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footer" Target="footer4.xml"/><Relationship Id="rId13" Type="http://schemas.openxmlformats.org/officeDocument/2006/relationships/header" Target="header5.xml"/><Relationship Id="rId14" Type="http://schemas.openxmlformats.org/officeDocument/2006/relationships/footer" Target="footer5.xml"/><Relationship Id="rId15" Type="http://schemas.openxmlformats.org/officeDocument/2006/relationships/theme" Target="theme/theme1.xml"/><Relationship Id="rId16" Type="http://schemas.openxmlformats.org/officeDocument/2006/relationships/customXml" Target="../customXml/item1.xml"/><Relationship Id="rId17"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11217</Words>
  <Characters>11761</Characters>
  <Lines>113</Lines>
  <Paragraphs>31</Paragraphs>
  <ScaleCrop>false</ScaleCrop>
  <LinksUpToDate>false</LinksUpToDate>
  <CharactersWithSpaces>0</CharactersWithSpaces>
  <Application>WPS Office 个人版_9.1.0.4369_{F1E327BC-269C-435d-A152-05C5408002CA}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2025-05-16T08:03:00Z</dcterms:created>
  <dc:creator>张 宇</dc:creator>
  <cp:lastModifiedBy>Administrator</cp:lastModifiedBy>
  <cp:lastPrinted>2023-04-11T10:57:00Z</cp:lastPrinted>
  <dcterms:modified xsi:type="dcterms:W3CDTF">2025-09-18T09:36:11Z</dcterms:modified>
  <dc:title>财政项目支出绩效评价报告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2052-9.1.0.4369</vt:lpwstr>
  </property>
  <property fmtid="{D5CDD505-2E9C-101B-9397-08002B2CF9AE}" pid="3" name="ICV">
    <vt:lpwstr>054F74850B6946BF9CCB44A14E2C88FD_13</vt:lpwstr>
  </property>
  <property fmtid="{D5CDD505-2E9C-101B-9397-08002B2CF9AE}" pid="4" name="KSOTemplateDocerSaveRecord">
    <vt:lpwstr>eyJoZGlkIjoiNWEwODQxNDA0MTcwYWY4NTljNDA0MDliYTkyZTlkYTIiLCJ1c2VySWQiOiI1MjM4MTA2NjIifQ==</vt:lpwstr>
  </property>
</Properties>
</file>