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80" w:lineRule="auto"/>
        <w:ind w:firstLine="0" w:firstLineChars="0"/>
        <w:rPr>
          <w:rFonts w:ascii="Times New Roman" w:hAnsi="Times New Roman" w:eastAsia="黑体" w:cs="Times New Roman"/>
          <w:b/>
          <w:color w:val="000000"/>
          <w:kern w:val="0"/>
          <w:sz w:val="50"/>
          <w:szCs w:val="50"/>
          <w:highlight w:val="none"/>
          <w:lang w:bidi="en-US"/>
        </w:rPr>
      </w:pPr>
      <w:bookmarkStart w:id="66" w:name="_GoBack"/>
    </w:p>
    <w:p>
      <w:pPr>
        <w:spacing w:line="480" w:lineRule="auto"/>
        <w:ind w:firstLine="0" w:firstLineChars="0"/>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before="120" w:after="120" w:line="480" w:lineRule="auto"/>
        <w:ind w:firstLine="0" w:firstLineChars="0"/>
        <w:jc w:val="center"/>
        <w:rPr>
          <w:rFonts w:ascii="仿宋_GB2312" w:hAnsi="Arial"/>
          <w:b/>
          <w:color w:val="000000"/>
          <w:sz w:val="44"/>
          <w:szCs w:val="44"/>
          <w:highlight w:val="none"/>
        </w:rPr>
      </w:pPr>
      <w:r>
        <w:rPr>
          <w:rFonts w:hint="eastAsia" w:ascii="仿宋_GB2312" w:hAnsi="Arial"/>
          <w:b/>
          <w:color w:val="000000"/>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000000"/>
          <w:kern w:val="0"/>
          <w:sz w:val="50"/>
          <w:szCs w:val="50"/>
          <w:highlight w:val="none"/>
          <w:lang w:bidi="en-US"/>
        </w:rPr>
      </w:pPr>
    </w:p>
    <w:p>
      <w:pPr>
        <w:spacing w:line="480" w:lineRule="auto"/>
        <w:ind w:firstLine="0" w:firstLineChars="0"/>
        <w:jc w:val="center"/>
        <w:rPr>
          <w:rFonts w:ascii="仿宋_GB2312" w:hAnsi="Times New Roman" w:cs="Times New Roman"/>
          <w:color w:val="000000"/>
          <w:kern w:val="0"/>
          <w:sz w:val="30"/>
          <w:szCs w:val="30"/>
          <w:highlight w:val="none"/>
          <w:lang w:bidi="en-US"/>
        </w:rPr>
      </w:pPr>
    </w:p>
    <w:p>
      <w:pPr>
        <w:spacing w:line="480" w:lineRule="auto"/>
        <w:ind w:firstLine="1411" w:firstLineChars="4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项目名称：新疆人才发展基金2024年度第一轮支持资金</w:t>
      </w:r>
    </w:p>
    <w:p>
      <w:pPr>
        <w:spacing w:line="480" w:lineRule="auto"/>
        <w:ind w:left="280" w:leftChars="100" w:firstLine="1091" w:firstLineChars="3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 xml:space="preserve">项目单位：乌鲁木齐市中医医院 </w:t>
      </w:r>
      <w:r>
        <w:rPr>
          <w:rFonts w:ascii="仿宋_GB2312" w:hAnsi="Times New Roman" w:cs="Times New Roman"/>
          <w:color w:val="000000"/>
          <w:kern w:val="0"/>
          <w:sz w:val="32"/>
          <w:szCs w:val="32"/>
          <w:highlight w:val="none"/>
          <w:lang w:bidi="en-US"/>
        </w:rPr>
        <w:t xml:space="preserve"> </w:t>
      </w:r>
    </w:p>
    <w:p>
      <w:pPr>
        <w:spacing w:line="480" w:lineRule="auto"/>
        <w:ind w:left="280" w:leftChars="100" w:firstLine="1091" w:firstLineChars="341"/>
        <w:jc w:val="left"/>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bidi="en-US"/>
        </w:rPr>
        <w:t>主管部门：乌鲁木齐市卫生健康委员会</w:t>
      </w:r>
    </w:p>
    <w:p>
      <w:pPr>
        <w:spacing w:line="480" w:lineRule="auto"/>
        <w:ind w:firstLine="1411" w:firstLineChars="441"/>
        <w:jc w:val="left"/>
        <w:rPr>
          <w:rFonts w:ascii="仿宋_GB2312" w:hAnsi="Times New Roman" w:cs="Times New Roman"/>
          <w:color w:val="000000"/>
          <w:kern w:val="0"/>
          <w:sz w:val="32"/>
          <w:szCs w:val="32"/>
          <w:highlight w:val="none"/>
          <w:lang w:bidi="en-US"/>
        </w:rPr>
      </w:pPr>
    </w:p>
    <w:p>
      <w:pPr>
        <w:spacing w:line="480" w:lineRule="auto"/>
        <w:ind w:firstLine="0" w:firstLineChars="0"/>
        <w:rPr>
          <w:rFonts w:ascii="黑体" w:hAnsi="Times New Roman" w:eastAsia="黑体" w:cs="Times New Roman"/>
          <w:b/>
          <w:color w:val="000000"/>
          <w:kern w:val="0"/>
          <w:sz w:val="32"/>
          <w:szCs w:val="32"/>
          <w:highlight w:val="none"/>
          <w:lang w:bidi="en-US"/>
        </w:rPr>
      </w:pPr>
    </w:p>
    <w:p>
      <w:pPr>
        <w:spacing w:line="480" w:lineRule="auto"/>
        <w:ind w:firstLine="0" w:firstLineChars="0"/>
        <w:rPr>
          <w:rFonts w:ascii="黑体" w:hAnsi="Times New Roman" w:eastAsia="黑体" w:cs="Times New Roman"/>
          <w:b/>
          <w:color w:val="000000"/>
          <w:kern w:val="0"/>
          <w:sz w:val="32"/>
          <w:szCs w:val="32"/>
          <w:highlight w:val="none"/>
          <w:lang w:bidi="en-US"/>
        </w:rPr>
      </w:pPr>
    </w:p>
    <w:p>
      <w:pPr>
        <w:spacing w:line="480" w:lineRule="auto"/>
        <w:ind w:firstLine="0" w:firstLineChars="0"/>
        <w:jc w:val="center"/>
        <w:rPr>
          <w:rFonts w:ascii="仿宋_GB2312" w:hAnsi="Times New Roman" w:cs="Times New Roman"/>
          <w:color w:val="000000"/>
          <w:kern w:val="0"/>
          <w:sz w:val="32"/>
          <w:szCs w:val="32"/>
          <w:highlight w:val="none"/>
          <w:lang w:bidi="en-US"/>
        </w:rPr>
      </w:pPr>
      <w:r>
        <w:rPr>
          <w:rFonts w:hint="eastAsia" w:ascii="仿宋_GB2312" w:hAnsi="Times New Roman" w:cs="Times New Roman"/>
          <w:color w:val="000000"/>
          <w:kern w:val="0"/>
          <w:sz w:val="32"/>
          <w:szCs w:val="32"/>
          <w:highlight w:val="none"/>
          <w:lang w:eastAsia="zh-CN" w:bidi="en-US"/>
        </w:rPr>
        <w:t>2025年5月</w:t>
      </w:r>
    </w:p>
    <w:p>
      <w:pPr>
        <w:spacing w:line="480" w:lineRule="auto"/>
        <w:ind w:firstLine="0" w:firstLineChars="0"/>
        <w:jc w:val="center"/>
        <w:rPr>
          <w:rFonts w:ascii="仿宋_GB2312" w:hAnsi="Times New Roman" w:cs="Times New Roman"/>
          <w:color w:val="000000"/>
          <w:kern w:val="0"/>
          <w:sz w:val="32"/>
          <w:szCs w:val="32"/>
          <w:highlight w:val="none"/>
          <w:lang w:bidi="en-US"/>
        </w:rPr>
      </w:pPr>
    </w:p>
    <w:p>
      <w:pPr>
        <w:tabs>
          <w:tab w:val="left" w:pos="3324"/>
        </w:tabs>
        <w:spacing w:line="480" w:lineRule="auto"/>
        <w:ind w:firstLine="0" w:firstLineChars="0"/>
        <w:rPr>
          <w:rFonts w:ascii="仿宋_GB2312" w:hAnsi="Times New Roman" w:cs="Times New Roman"/>
          <w:color w:val="000000"/>
          <w:kern w:val="0"/>
          <w:sz w:val="32"/>
          <w:szCs w:val="32"/>
          <w:highlight w:val="none"/>
          <w:lang w:bidi="en-US"/>
        </w:rPr>
      </w:pPr>
      <w:r>
        <w:rPr>
          <w:rFonts w:ascii="仿宋_GB2312" w:hAnsi="Times New Roman" w:cs="Times New Roman"/>
          <w:color w:val="000000"/>
          <w:kern w:val="0"/>
          <w:sz w:val="32"/>
          <w:szCs w:val="32"/>
          <w:highlight w:val="none"/>
          <w:lang w:bidi="en-US"/>
        </w:rPr>
        <w:tab/>
      </w:r>
    </w:p>
    <w:p>
      <w:pPr>
        <w:ind w:firstLine="640"/>
        <w:rPr>
          <w:rFonts w:ascii="仿宋_GB2312" w:hAnsi="Times New Roman" w:cs="Times New Roman"/>
          <w:color w:val="000000"/>
          <w:kern w:val="0"/>
          <w:sz w:val="32"/>
          <w:szCs w:val="32"/>
          <w:highlight w:val="none"/>
          <w:lang w:bidi="en-US"/>
        </w:rPr>
      </w:pPr>
    </w:p>
    <w:p>
      <w:pPr>
        <w:pStyle w:val="20"/>
        <w:ind w:firstLine="560"/>
        <w:jc w:val="center"/>
        <w:rPr>
          <w:color w:val="000000"/>
          <w:highlight w:val="none"/>
        </w:rPr>
      </w:pPr>
      <w:r>
        <w:rPr>
          <w:color w:val="000000"/>
          <w:highlight w:val="none"/>
          <w:lang w:val="zh-CN"/>
        </w:rPr>
        <w:t>目录</w:t>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TOC \o "1-3" \h \z \u </w:instrText>
      </w:r>
      <w:r>
        <w:rPr>
          <w:color w:val="000000"/>
          <w:highlight w:val="none"/>
        </w:rPr>
        <w:fldChar w:fldCharType="separate"/>
      </w:r>
      <w:r>
        <w:rPr>
          <w:color w:val="000000"/>
          <w:highlight w:val="none"/>
        </w:rPr>
        <w:fldChar w:fldCharType="begin"/>
      </w:r>
      <w:r>
        <w:rPr>
          <w:color w:val="000000"/>
          <w:highlight w:val="none"/>
        </w:rPr>
        <w:instrText xml:space="preserve"> HYPERLINK \l "_Toc165277220" </w:instrText>
      </w:r>
      <w:r>
        <w:rPr>
          <w:color w:val="000000"/>
          <w:highlight w:val="none"/>
        </w:rPr>
        <w:fldChar w:fldCharType="separate"/>
      </w:r>
      <w:r>
        <w:rPr>
          <w:rStyle w:val="16"/>
          <w:rFonts w:hint="eastAsia" w:ascii="仿宋" w:hAnsi="仿宋" w:eastAsia="仿宋"/>
          <w:color w:val="000000"/>
          <w:highlight w:val="none"/>
          <w:lang w:bidi="en-US"/>
        </w:rPr>
        <w:t>一、基本情况</w:t>
      </w:r>
      <w:r>
        <w:rPr>
          <w:color w:val="000000"/>
          <w:highlight w:val="none"/>
        </w:rPr>
        <w:tab/>
      </w:r>
      <w:r>
        <w:rPr>
          <w:color w:val="000000"/>
          <w:highlight w:val="none"/>
        </w:rPr>
        <w:fldChar w:fldCharType="begin"/>
      </w:r>
      <w:r>
        <w:rPr>
          <w:color w:val="000000"/>
          <w:highlight w:val="none"/>
        </w:rPr>
        <w:instrText xml:space="preserve"> PAGEREF _Toc165277220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"_Toc165277221" </w:instrText>
      </w:r>
      <w:r>
        <w:rPr>
          <w:color w:val="000000"/>
          <w:highlight w:val="none"/>
        </w:rPr>
        <w:fldChar w:fldCharType="separate"/>
      </w:r>
      <w:r>
        <w:rPr>
          <w:rStyle w:val="16"/>
          <w:rFonts w:hint="eastAsia" w:ascii="仿宋" w:hAnsi="仿宋" w:eastAsia="仿宋"/>
          <w:color w:val="000000"/>
          <w:highlight w:val="none"/>
          <w:lang w:bidi="en-US"/>
        </w:rPr>
        <w:t>（一）项目概况：</w:t>
      </w:r>
      <w:r>
        <w:rPr>
          <w:color w:val="000000"/>
          <w:highlight w:val="none"/>
        </w:rPr>
        <w:tab/>
      </w:r>
      <w:r>
        <w:rPr>
          <w:color w:val="000000"/>
          <w:highlight w:val="none"/>
        </w:rPr>
        <w:fldChar w:fldCharType="begin"/>
      </w:r>
      <w:r>
        <w:rPr>
          <w:color w:val="000000"/>
          <w:highlight w:val="none"/>
        </w:rPr>
        <w:instrText xml:space="preserve"> PAGEREF _Toc165277221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"_Toc165277222" </w:instrText>
      </w:r>
      <w:r>
        <w:rPr>
          <w:color w:val="000000"/>
          <w:highlight w:val="none"/>
        </w:rPr>
        <w:fldChar w:fldCharType="separate"/>
      </w:r>
      <w:r>
        <w:rPr>
          <w:rStyle w:val="16"/>
          <w:color w:val="000000"/>
          <w:highlight w:val="none"/>
        </w:rPr>
        <w:t>1</w:t>
      </w:r>
      <w:r>
        <w:rPr>
          <w:rStyle w:val="16"/>
          <w:rFonts w:hint="eastAsia"/>
          <w:color w:val="000000"/>
          <w:highlight w:val="none"/>
        </w:rPr>
        <w:t>．项目背景、主要内容及实施情况</w:t>
      </w:r>
      <w:r>
        <w:rPr>
          <w:color w:val="000000"/>
          <w:highlight w:val="none"/>
        </w:rPr>
        <w:tab/>
      </w:r>
      <w:r>
        <w:rPr>
          <w:color w:val="000000"/>
          <w:highlight w:val="none"/>
        </w:rPr>
        <w:fldChar w:fldCharType="begin"/>
      </w:r>
      <w:r>
        <w:rPr>
          <w:color w:val="000000"/>
          <w:highlight w:val="none"/>
        </w:rPr>
        <w:instrText xml:space="preserve"> PAGEREF _Toc165277222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"_Toc165277223" </w:instrText>
      </w:r>
      <w:r>
        <w:rPr>
          <w:color w:val="000000"/>
          <w:highlight w:val="none"/>
        </w:rPr>
        <w:fldChar w:fldCharType="separate"/>
      </w:r>
      <w:r>
        <w:rPr>
          <w:rStyle w:val="16"/>
          <w:color w:val="000000"/>
          <w:highlight w:val="none"/>
        </w:rPr>
        <w:t>2.</w:t>
      </w:r>
      <w:r>
        <w:rPr>
          <w:rStyle w:val="16"/>
          <w:rFonts w:hint="eastAsia"/>
          <w:color w:val="000000"/>
          <w:highlight w:val="none"/>
        </w:rPr>
        <w:t>资金投入和使用情况</w:t>
      </w:r>
      <w:r>
        <w:rPr>
          <w:color w:val="000000"/>
          <w:highlight w:val="none"/>
        </w:rPr>
        <w:tab/>
      </w:r>
      <w:r>
        <w:rPr>
          <w:color w:val="000000"/>
          <w:highlight w:val="none"/>
        </w:rPr>
        <w:fldChar w:fldCharType="begin"/>
      </w:r>
      <w:r>
        <w:rPr>
          <w:color w:val="000000"/>
          <w:highlight w:val="none"/>
        </w:rPr>
        <w:instrText xml:space="preserve"> PAGEREF _Toc165277223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"_Toc165277224" </w:instrText>
      </w:r>
      <w:r>
        <w:rPr>
          <w:color w:val="000000"/>
          <w:highlight w:val="none"/>
        </w:rPr>
        <w:fldChar w:fldCharType="separate"/>
      </w:r>
      <w:r>
        <w:rPr>
          <w:rStyle w:val="16"/>
          <w:rFonts w:hint="eastAsia" w:ascii="仿宋" w:hAnsi="仿宋" w:eastAsia="仿宋"/>
          <w:color w:val="000000"/>
          <w:highlight w:val="none"/>
          <w:lang w:bidi="en-US"/>
        </w:rPr>
        <w:t>（二）项目绩效目标：</w:t>
      </w:r>
      <w:r>
        <w:rPr>
          <w:color w:val="000000"/>
          <w:highlight w:val="none"/>
        </w:rPr>
        <w:tab/>
      </w:r>
      <w:r>
        <w:rPr>
          <w:color w:val="000000"/>
          <w:highlight w:val="none"/>
        </w:rPr>
        <w:fldChar w:fldCharType="begin"/>
      </w:r>
      <w:r>
        <w:rPr>
          <w:color w:val="000000"/>
          <w:highlight w:val="none"/>
        </w:rPr>
        <w:instrText xml:space="preserve"> PAGEREF _Toc165277224 \h </w:instrText>
      </w:r>
      <w:r>
        <w:rPr>
          <w:color w:val="000000"/>
          <w:highlight w:val="none"/>
        </w:rPr>
        <w:fldChar w:fldCharType="separate"/>
      </w:r>
      <w:r>
        <w:rPr>
          <w:color w:val="000000"/>
          <w:highlight w:val="none"/>
        </w:rPr>
        <w:t>1</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"_Toc165277225" </w:instrText>
      </w:r>
      <w:r>
        <w:rPr>
          <w:color w:val="000000"/>
          <w:highlight w:val="none"/>
        </w:rPr>
        <w:fldChar w:fldCharType="separate"/>
      </w:r>
      <w:r>
        <w:rPr>
          <w:rStyle w:val="16"/>
          <w:rFonts w:hint="eastAsia" w:ascii="仿宋" w:hAnsi="仿宋" w:eastAsia="仿宋"/>
          <w:color w:val="000000"/>
          <w:highlight w:val="none"/>
          <w:lang w:bidi="en-US"/>
        </w:rPr>
        <w:t>二、绩效评价工作开展情况</w:t>
      </w:r>
      <w:r>
        <w:rPr>
          <w:color w:val="000000"/>
          <w:highlight w:val="none"/>
        </w:rPr>
        <w:tab/>
      </w:r>
      <w:r>
        <w:rPr>
          <w:color w:val="000000"/>
          <w:highlight w:val="none"/>
        </w:rPr>
        <w:fldChar w:fldCharType="begin"/>
      </w:r>
      <w:r>
        <w:rPr>
          <w:color w:val="000000"/>
          <w:highlight w:val="none"/>
        </w:rPr>
        <w:instrText xml:space="preserve"> PAGEREF _Toc165277225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"_Toc165277226" </w:instrText>
      </w:r>
      <w:r>
        <w:rPr>
          <w:color w:val="000000"/>
          <w:highlight w:val="none"/>
        </w:rPr>
        <w:fldChar w:fldCharType="separate"/>
      </w:r>
      <w:r>
        <w:rPr>
          <w:rStyle w:val="16"/>
          <w:rFonts w:hint="eastAsia" w:ascii="仿宋" w:hAnsi="仿宋" w:eastAsia="仿宋"/>
          <w:color w:val="000000"/>
          <w:highlight w:val="none"/>
          <w:lang w:bidi="en-US"/>
        </w:rPr>
        <w:t>（一）绩效评价目的、对象和范围</w:t>
      </w:r>
      <w:r>
        <w:rPr>
          <w:color w:val="000000"/>
          <w:highlight w:val="none"/>
        </w:rPr>
        <w:tab/>
      </w:r>
      <w:r>
        <w:rPr>
          <w:color w:val="000000"/>
          <w:highlight w:val="none"/>
        </w:rPr>
        <w:fldChar w:fldCharType="begin"/>
      </w:r>
      <w:r>
        <w:rPr>
          <w:color w:val="000000"/>
          <w:highlight w:val="none"/>
        </w:rPr>
        <w:instrText xml:space="preserve"> PAGEREF _Toc165277226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"_Toc165277227" </w:instrText>
      </w:r>
      <w:r>
        <w:rPr>
          <w:color w:val="000000"/>
          <w:highlight w:val="none"/>
        </w:rPr>
        <w:fldChar w:fldCharType="separate"/>
      </w:r>
      <w:r>
        <w:rPr>
          <w:rStyle w:val="16"/>
          <w:color w:val="000000"/>
          <w:highlight w:val="none"/>
        </w:rPr>
        <w:t>1.</w:t>
      </w:r>
      <w:r>
        <w:rPr>
          <w:rStyle w:val="16"/>
          <w:rFonts w:hint="eastAsia"/>
          <w:color w:val="000000"/>
          <w:highlight w:val="none"/>
        </w:rPr>
        <w:t>绩效评价完整性</w:t>
      </w:r>
      <w:r>
        <w:rPr>
          <w:color w:val="000000"/>
          <w:highlight w:val="none"/>
        </w:rPr>
        <w:tab/>
      </w:r>
      <w:r>
        <w:rPr>
          <w:color w:val="000000"/>
          <w:highlight w:val="none"/>
        </w:rPr>
        <w:fldChar w:fldCharType="begin"/>
      </w:r>
      <w:r>
        <w:rPr>
          <w:color w:val="000000"/>
          <w:highlight w:val="none"/>
        </w:rPr>
        <w:instrText xml:space="preserve"> PAGEREF _Toc165277227 \h </w:instrText>
      </w:r>
      <w:r>
        <w:rPr>
          <w:color w:val="000000"/>
          <w:highlight w:val="none"/>
        </w:rPr>
        <w:fldChar w:fldCharType="separate"/>
      </w:r>
      <w:r>
        <w:rPr>
          <w:color w:val="000000"/>
          <w:highlight w:val="none"/>
        </w:rPr>
        <w:t>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"_Toc165277228" </w:instrText>
      </w:r>
      <w:r>
        <w:rPr>
          <w:color w:val="000000"/>
          <w:highlight w:val="none"/>
        </w:rPr>
        <w:fldChar w:fldCharType="separate"/>
      </w:r>
      <w:r>
        <w:rPr>
          <w:rStyle w:val="16"/>
          <w:color w:val="000000"/>
          <w:highlight w:val="none"/>
        </w:rPr>
        <w:t>2.</w:t>
      </w:r>
      <w:r>
        <w:rPr>
          <w:rStyle w:val="16"/>
          <w:rFonts w:hint="eastAsia"/>
          <w:color w:val="000000"/>
          <w:highlight w:val="none"/>
        </w:rPr>
        <w:t>评价目的</w:t>
      </w:r>
      <w:r>
        <w:rPr>
          <w:color w:val="000000"/>
          <w:highlight w:val="none"/>
        </w:rPr>
        <w:tab/>
      </w:r>
      <w:r>
        <w:rPr>
          <w:color w:val="000000"/>
          <w:highlight w:val="none"/>
        </w:rPr>
        <w:fldChar w:fldCharType="begin"/>
      </w:r>
      <w:r>
        <w:rPr>
          <w:color w:val="000000"/>
          <w:highlight w:val="none"/>
        </w:rPr>
        <w:instrText xml:space="preserve"> PAGEREF _Toc165277228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"_Toc165277229" </w:instrText>
      </w:r>
      <w:r>
        <w:rPr>
          <w:color w:val="000000"/>
          <w:highlight w:val="none"/>
        </w:rPr>
        <w:fldChar w:fldCharType="separate"/>
      </w:r>
      <w:r>
        <w:rPr>
          <w:rStyle w:val="16"/>
          <w:color w:val="000000"/>
          <w:highlight w:val="none"/>
        </w:rPr>
        <w:t>3.</w:t>
      </w:r>
      <w:r>
        <w:rPr>
          <w:rStyle w:val="16"/>
          <w:rFonts w:hint="eastAsia"/>
          <w:color w:val="000000"/>
          <w:highlight w:val="none"/>
        </w:rPr>
        <w:t>评价对象</w:t>
      </w:r>
      <w:r>
        <w:rPr>
          <w:color w:val="000000"/>
          <w:highlight w:val="none"/>
        </w:rPr>
        <w:tab/>
      </w:r>
      <w:r>
        <w:rPr>
          <w:color w:val="000000"/>
          <w:highlight w:val="none"/>
        </w:rPr>
        <w:fldChar w:fldCharType="begin"/>
      </w:r>
      <w:r>
        <w:rPr>
          <w:color w:val="000000"/>
          <w:highlight w:val="none"/>
        </w:rPr>
        <w:instrText xml:space="preserve"> PAGEREF _Toc165277229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"_Toc165277230" </w:instrText>
      </w:r>
      <w:r>
        <w:rPr>
          <w:color w:val="000000"/>
          <w:highlight w:val="none"/>
        </w:rPr>
        <w:fldChar w:fldCharType="separate"/>
      </w:r>
      <w:r>
        <w:rPr>
          <w:rStyle w:val="16"/>
          <w:color w:val="000000"/>
          <w:highlight w:val="none"/>
        </w:rPr>
        <w:t>4.</w:t>
      </w:r>
      <w:r>
        <w:rPr>
          <w:rStyle w:val="16"/>
          <w:rFonts w:hint="eastAsia"/>
          <w:color w:val="000000"/>
          <w:highlight w:val="none"/>
        </w:rPr>
        <w:t>绩效评价范围</w:t>
      </w:r>
      <w:r>
        <w:rPr>
          <w:color w:val="000000"/>
          <w:highlight w:val="none"/>
        </w:rPr>
        <w:tab/>
      </w:r>
      <w:r>
        <w:rPr>
          <w:color w:val="000000"/>
          <w:highlight w:val="none"/>
        </w:rPr>
        <w:fldChar w:fldCharType="begin"/>
      </w:r>
      <w:r>
        <w:rPr>
          <w:color w:val="000000"/>
          <w:highlight w:val="none"/>
        </w:rPr>
        <w:instrText xml:space="preserve"> PAGEREF _Toc165277230 \h </w:instrText>
      </w:r>
      <w:r>
        <w:rPr>
          <w:color w:val="000000"/>
          <w:highlight w:val="none"/>
        </w:rPr>
        <w:fldChar w:fldCharType="separate"/>
      </w:r>
      <w:r>
        <w:rPr>
          <w:color w:val="000000"/>
          <w:highlight w:val="none"/>
        </w:rPr>
        <w:t>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"_Toc165277231" </w:instrText>
      </w:r>
      <w:r>
        <w:rPr>
          <w:color w:val="000000"/>
          <w:highlight w:val="none"/>
        </w:rPr>
        <w:fldChar w:fldCharType="separate"/>
      </w:r>
      <w:r>
        <w:rPr>
          <w:rStyle w:val="16"/>
          <w:rFonts w:hint="eastAsia" w:ascii="仿宋" w:hAnsi="仿宋" w:eastAsia="仿宋"/>
          <w:color w:val="000000"/>
          <w:highlight w:val="none"/>
          <w:lang w:bidi="en-US"/>
        </w:rPr>
        <w:t>（二）绩效评价原则、指标体系、方法及标准</w:t>
      </w:r>
      <w:r>
        <w:rPr>
          <w:color w:val="000000"/>
          <w:highlight w:val="none"/>
        </w:rPr>
        <w:tab/>
      </w:r>
      <w:r>
        <w:rPr>
          <w:color w:val="000000"/>
          <w:highlight w:val="none"/>
        </w:rPr>
        <w:fldChar w:fldCharType="begin"/>
      </w:r>
      <w:r>
        <w:rPr>
          <w:color w:val="000000"/>
          <w:highlight w:val="none"/>
        </w:rPr>
        <w:instrText xml:space="preserve"> PAGEREF _Toc165277231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"_Toc165277232" </w:instrText>
      </w:r>
      <w:r>
        <w:rPr>
          <w:color w:val="000000"/>
          <w:highlight w:val="none"/>
        </w:rPr>
        <w:fldChar w:fldCharType="separate"/>
      </w:r>
      <w:r>
        <w:rPr>
          <w:rStyle w:val="16"/>
          <w:color w:val="000000"/>
          <w:highlight w:val="none"/>
        </w:rPr>
        <w:t>1.</w:t>
      </w:r>
      <w:r>
        <w:rPr>
          <w:rStyle w:val="16"/>
          <w:rFonts w:hint="eastAsia"/>
          <w:color w:val="000000"/>
          <w:highlight w:val="none"/>
        </w:rPr>
        <w:t>评价原则</w:t>
      </w:r>
      <w:r>
        <w:rPr>
          <w:color w:val="000000"/>
          <w:highlight w:val="none"/>
        </w:rPr>
        <w:tab/>
      </w:r>
      <w:r>
        <w:rPr>
          <w:color w:val="000000"/>
          <w:highlight w:val="none"/>
        </w:rPr>
        <w:fldChar w:fldCharType="begin"/>
      </w:r>
      <w:r>
        <w:rPr>
          <w:color w:val="000000"/>
          <w:highlight w:val="none"/>
        </w:rPr>
        <w:instrText xml:space="preserve"> PAGEREF _Toc165277232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"_Toc165277233" </w:instrText>
      </w:r>
      <w:r>
        <w:rPr>
          <w:color w:val="000000"/>
          <w:highlight w:val="none"/>
        </w:rPr>
        <w:fldChar w:fldCharType="separate"/>
      </w:r>
      <w:r>
        <w:rPr>
          <w:rStyle w:val="16"/>
          <w:color w:val="000000"/>
          <w:highlight w:val="none"/>
        </w:rPr>
        <w:t>2.</w:t>
      </w:r>
      <w:r>
        <w:rPr>
          <w:rStyle w:val="16"/>
          <w:rFonts w:hint="eastAsia"/>
          <w:color w:val="000000"/>
          <w:highlight w:val="none"/>
        </w:rPr>
        <w:t>评价指标体系</w:t>
      </w:r>
      <w:r>
        <w:rPr>
          <w:color w:val="000000"/>
          <w:highlight w:val="none"/>
        </w:rPr>
        <w:tab/>
      </w:r>
      <w:r>
        <w:rPr>
          <w:color w:val="000000"/>
          <w:highlight w:val="none"/>
        </w:rPr>
        <w:fldChar w:fldCharType="begin"/>
      </w:r>
      <w:r>
        <w:rPr>
          <w:color w:val="000000"/>
          <w:highlight w:val="none"/>
        </w:rPr>
        <w:instrText xml:space="preserve"> PAGEREF _Toc165277233 \h </w:instrText>
      </w:r>
      <w:r>
        <w:rPr>
          <w:color w:val="000000"/>
          <w:highlight w:val="none"/>
        </w:rPr>
        <w:fldChar w:fldCharType="separate"/>
      </w:r>
      <w:r>
        <w:rPr>
          <w:color w:val="000000"/>
          <w:highlight w:val="none"/>
        </w:rPr>
        <w:t>4</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"_Toc165277234" </w:instrText>
      </w:r>
      <w:r>
        <w:rPr>
          <w:color w:val="000000"/>
          <w:highlight w:val="none"/>
        </w:rPr>
        <w:fldChar w:fldCharType="separate"/>
      </w:r>
      <w:r>
        <w:rPr>
          <w:rStyle w:val="16"/>
          <w:color w:val="000000"/>
          <w:highlight w:val="none"/>
        </w:rPr>
        <w:t>3.</w:t>
      </w:r>
      <w:r>
        <w:rPr>
          <w:rStyle w:val="16"/>
          <w:rFonts w:hint="eastAsia"/>
          <w:color w:val="000000"/>
          <w:highlight w:val="none"/>
        </w:rPr>
        <w:t>评价方法</w:t>
      </w:r>
      <w:r>
        <w:rPr>
          <w:color w:val="000000"/>
          <w:highlight w:val="none"/>
        </w:rPr>
        <w:tab/>
      </w:r>
      <w:r>
        <w:rPr>
          <w:color w:val="000000"/>
          <w:highlight w:val="none"/>
        </w:rPr>
        <w:fldChar w:fldCharType="begin"/>
      </w:r>
      <w:r>
        <w:rPr>
          <w:color w:val="000000"/>
          <w:highlight w:val="none"/>
        </w:rPr>
        <w:instrText xml:space="preserve"> PAGEREF _Toc165277234 \h </w:instrText>
      </w:r>
      <w:r>
        <w:rPr>
          <w:color w:val="000000"/>
          <w:highlight w:val="none"/>
        </w:rPr>
        <w:fldChar w:fldCharType="separate"/>
      </w:r>
      <w:r>
        <w:rPr>
          <w:color w:val="000000"/>
          <w:highlight w:val="none"/>
        </w:rPr>
        <w:t>12</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"_Toc165277235" </w:instrText>
      </w:r>
      <w:r>
        <w:rPr>
          <w:color w:val="000000"/>
          <w:highlight w:val="none"/>
        </w:rPr>
        <w:fldChar w:fldCharType="separate"/>
      </w:r>
      <w:r>
        <w:rPr>
          <w:rStyle w:val="16"/>
          <w:color w:val="000000"/>
          <w:highlight w:val="none"/>
        </w:rPr>
        <w:t>4.</w:t>
      </w:r>
      <w:r>
        <w:rPr>
          <w:rStyle w:val="16"/>
          <w:rFonts w:hint="eastAsia"/>
          <w:color w:val="000000"/>
          <w:highlight w:val="none"/>
        </w:rPr>
        <w:t>评价标准</w:t>
      </w:r>
      <w:r>
        <w:rPr>
          <w:color w:val="000000"/>
          <w:highlight w:val="none"/>
        </w:rPr>
        <w:tab/>
      </w:r>
      <w:r>
        <w:rPr>
          <w:color w:val="000000"/>
          <w:highlight w:val="none"/>
        </w:rPr>
        <w:fldChar w:fldCharType="begin"/>
      </w:r>
      <w:r>
        <w:rPr>
          <w:color w:val="000000"/>
          <w:highlight w:val="none"/>
        </w:rPr>
        <w:instrText xml:space="preserve"> PAGEREF _Toc165277235 \h </w:instrText>
      </w:r>
      <w:r>
        <w:rPr>
          <w:color w:val="000000"/>
          <w:highlight w:val="none"/>
        </w:rPr>
        <w:fldChar w:fldCharType="separate"/>
      </w:r>
      <w:r>
        <w:rPr>
          <w:color w:val="000000"/>
          <w:highlight w:val="none"/>
        </w:rPr>
        <w:t>13</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"_Toc165277236" </w:instrText>
      </w:r>
      <w:r>
        <w:rPr>
          <w:color w:val="000000"/>
          <w:highlight w:val="none"/>
        </w:rPr>
        <w:fldChar w:fldCharType="separate"/>
      </w:r>
      <w:r>
        <w:rPr>
          <w:rStyle w:val="16"/>
          <w:rFonts w:hint="eastAsia" w:ascii="仿宋" w:hAnsi="仿宋" w:eastAsia="仿宋"/>
          <w:color w:val="000000"/>
          <w:highlight w:val="none"/>
          <w:lang w:bidi="en-US"/>
        </w:rPr>
        <w:t>（三）绩效评价工作过程</w:t>
      </w:r>
      <w:r>
        <w:rPr>
          <w:color w:val="000000"/>
          <w:highlight w:val="none"/>
        </w:rPr>
        <w:tab/>
      </w:r>
      <w:r>
        <w:rPr>
          <w:color w:val="000000"/>
          <w:highlight w:val="none"/>
        </w:rPr>
        <w:fldChar w:fldCharType="begin"/>
      </w:r>
      <w:r>
        <w:rPr>
          <w:color w:val="000000"/>
          <w:highlight w:val="none"/>
        </w:rPr>
        <w:instrText xml:space="preserve"> PAGEREF _Toc165277236 \h </w:instrText>
      </w:r>
      <w:r>
        <w:rPr>
          <w:color w:val="000000"/>
          <w:highlight w:val="none"/>
        </w:rPr>
        <w:fldChar w:fldCharType="separate"/>
      </w:r>
      <w:r>
        <w:rPr>
          <w:color w:val="000000"/>
          <w:highlight w:val="none"/>
        </w:rPr>
        <w:t>13</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"_Toc165277237" </w:instrText>
      </w:r>
      <w:r>
        <w:rPr>
          <w:color w:val="000000"/>
          <w:highlight w:val="none"/>
        </w:rPr>
        <w:fldChar w:fldCharType="separate"/>
      </w:r>
      <w:r>
        <w:rPr>
          <w:rStyle w:val="16"/>
          <w:rFonts w:hint="eastAsia" w:ascii="仿宋" w:hAnsi="仿宋" w:eastAsia="仿宋"/>
          <w:color w:val="000000"/>
          <w:highlight w:val="none"/>
          <w:lang w:bidi="en-US"/>
        </w:rPr>
        <w:t>三、综合评价情况及评价结论</w:t>
      </w:r>
      <w:r>
        <w:rPr>
          <w:color w:val="000000"/>
          <w:highlight w:val="none"/>
        </w:rPr>
        <w:tab/>
      </w:r>
      <w:r>
        <w:rPr>
          <w:color w:val="000000"/>
          <w:highlight w:val="none"/>
        </w:rPr>
        <w:fldChar w:fldCharType="begin"/>
      </w:r>
      <w:r>
        <w:rPr>
          <w:color w:val="000000"/>
          <w:highlight w:val="none"/>
        </w:rPr>
        <w:instrText xml:space="preserve"> PAGEREF _Toc165277237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"_Toc165277238" </w:instrText>
      </w:r>
      <w:r>
        <w:rPr>
          <w:color w:val="000000"/>
          <w:highlight w:val="none"/>
        </w:rPr>
        <w:fldChar w:fldCharType="separate"/>
      </w:r>
      <w:r>
        <w:rPr>
          <w:rStyle w:val="16"/>
          <w:rFonts w:hint="eastAsia" w:ascii="仿宋" w:hAnsi="仿宋" w:eastAsia="仿宋"/>
          <w:color w:val="000000"/>
          <w:highlight w:val="none"/>
          <w:lang w:bidi="en-US"/>
        </w:rPr>
        <w:t>（一）评价结论</w:t>
      </w:r>
      <w:r>
        <w:rPr>
          <w:color w:val="000000"/>
          <w:highlight w:val="none"/>
        </w:rPr>
        <w:tab/>
      </w:r>
      <w:r>
        <w:rPr>
          <w:color w:val="000000"/>
          <w:highlight w:val="none"/>
        </w:rPr>
        <w:fldChar w:fldCharType="begin"/>
      </w:r>
      <w:r>
        <w:rPr>
          <w:color w:val="000000"/>
          <w:highlight w:val="none"/>
        </w:rPr>
        <w:instrText xml:space="preserve"> PAGEREF _Toc165277238 \h </w:instrText>
      </w:r>
      <w:r>
        <w:rPr>
          <w:color w:val="000000"/>
          <w:highlight w:val="none"/>
        </w:rPr>
        <w:fldChar w:fldCharType="separate"/>
      </w:r>
      <w:r>
        <w:rPr>
          <w:color w:val="000000"/>
          <w:highlight w:val="none"/>
        </w:rPr>
        <w:t>14</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"_Toc165277239" </w:instrText>
      </w:r>
      <w:r>
        <w:rPr>
          <w:color w:val="000000"/>
          <w:highlight w:val="none"/>
        </w:rPr>
        <w:fldChar w:fldCharType="separate"/>
      </w:r>
      <w:r>
        <w:rPr>
          <w:rStyle w:val="16"/>
          <w:rFonts w:hint="eastAsia" w:ascii="仿宋" w:hAnsi="仿宋" w:eastAsia="仿宋"/>
          <w:color w:val="000000"/>
          <w:highlight w:val="none"/>
          <w:lang w:bidi="en-US"/>
        </w:rPr>
        <w:t>（二）主要绩效</w:t>
      </w:r>
      <w:r>
        <w:rPr>
          <w:color w:val="000000"/>
          <w:highlight w:val="none"/>
        </w:rPr>
        <w:tab/>
      </w:r>
      <w:r>
        <w:rPr>
          <w:color w:val="000000"/>
          <w:highlight w:val="none"/>
        </w:rPr>
        <w:fldChar w:fldCharType="begin"/>
      </w:r>
      <w:r>
        <w:rPr>
          <w:color w:val="000000"/>
          <w:highlight w:val="none"/>
        </w:rPr>
        <w:instrText xml:space="preserve"> PAGEREF _Toc165277239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"_Toc165277240" </w:instrText>
      </w:r>
      <w:r>
        <w:rPr>
          <w:color w:val="000000"/>
          <w:highlight w:val="none"/>
        </w:rPr>
        <w:fldChar w:fldCharType="separate"/>
      </w:r>
      <w:r>
        <w:rPr>
          <w:rStyle w:val="16"/>
          <w:rFonts w:hint="eastAsia" w:ascii="仿宋" w:hAnsi="仿宋" w:eastAsia="仿宋"/>
          <w:color w:val="000000"/>
          <w:highlight w:val="none"/>
          <w:lang w:bidi="en-US"/>
        </w:rPr>
        <w:t>四、绩效评价指标分析</w:t>
      </w:r>
      <w:r>
        <w:rPr>
          <w:color w:val="000000"/>
          <w:highlight w:val="none"/>
        </w:rPr>
        <w:tab/>
      </w:r>
      <w:r>
        <w:rPr>
          <w:color w:val="000000"/>
          <w:highlight w:val="none"/>
        </w:rPr>
        <w:fldChar w:fldCharType="begin"/>
      </w:r>
      <w:r>
        <w:rPr>
          <w:color w:val="000000"/>
          <w:highlight w:val="none"/>
        </w:rPr>
        <w:instrText xml:space="preserve"> PAGEREF _Toc165277240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"_Toc165277241" </w:instrText>
      </w:r>
      <w:r>
        <w:rPr>
          <w:color w:val="000000"/>
          <w:highlight w:val="none"/>
        </w:rPr>
        <w:fldChar w:fldCharType="separate"/>
      </w:r>
      <w:r>
        <w:rPr>
          <w:rStyle w:val="16"/>
          <w:rFonts w:hint="eastAsia" w:ascii="仿宋" w:hAnsi="仿宋" w:eastAsia="仿宋"/>
          <w:color w:val="000000"/>
          <w:highlight w:val="none"/>
          <w:lang w:bidi="en-US"/>
        </w:rPr>
        <w:t>（一）项目决策情况</w:t>
      </w:r>
      <w:r>
        <w:rPr>
          <w:color w:val="000000"/>
          <w:highlight w:val="none"/>
        </w:rPr>
        <w:tab/>
      </w:r>
      <w:r>
        <w:rPr>
          <w:color w:val="000000"/>
          <w:highlight w:val="none"/>
        </w:rPr>
        <w:fldChar w:fldCharType="begin"/>
      </w:r>
      <w:r>
        <w:rPr>
          <w:color w:val="000000"/>
          <w:highlight w:val="none"/>
        </w:rPr>
        <w:instrText xml:space="preserve"> PAGEREF _Toc165277241 \h </w:instrText>
      </w:r>
      <w:r>
        <w:rPr>
          <w:color w:val="000000"/>
          <w:highlight w:val="none"/>
        </w:rPr>
        <w:fldChar w:fldCharType="separate"/>
      </w:r>
      <w:r>
        <w:rPr>
          <w:color w:val="000000"/>
          <w:highlight w:val="none"/>
        </w:rPr>
        <w:t>15</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"_Toc165277242" </w:instrText>
      </w:r>
      <w:r>
        <w:rPr>
          <w:color w:val="000000"/>
          <w:highlight w:val="none"/>
        </w:rPr>
        <w:fldChar w:fldCharType="separate"/>
      </w:r>
      <w:r>
        <w:rPr>
          <w:rStyle w:val="16"/>
          <w:color w:val="000000"/>
          <w:highlight w:val="none"/>
        </w:rPr>
        <w:t>1.</w:t>
      </w:r>
      <w:r>
        <w:rPr>
          <w:rStyle w:val="16"/>
          <w:rFonts w:hint="eastAsia"/>
          <w:color w:val="000000"/>
          <w:highlight w:val="none"/>
        </w:rPr>
        <w:t>项目立项</w:t>
      </w:r>
      <w:r>
        <w:rPr>
          <w:color w:val="000000"/>
          <w:highlight w:val="none"/>
        </w:rPr>
        <w:tab/>
      </w:r>
      <w:r>
        <w:rPr>
          <w:color w:val="000000"/>
          <w:highlight w:val="none"/>
        </w:rPr>
        <w:fldChar w:fldCharType="begin"/>
      </w:r>
      <w:r>
        <w:rPr>
          <w:color w:val="000000"/>
          <w:highlight w:val="none"/>
        </w:rPr>
        <w:instrText xml:space="preserve"> PAGEREF _Toc165277242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"_Toc165277243" </w:instrText>
      </w:r>
      <w:r>
        <w:rPr>
          <w:color w:val="000000"/>
          <w:highlight w:val="none"/>
        </w:rPr>
        <w:fldChar w:fldCharType="separate"/>
      </w:r>
      <w:r>
        <w:rPr>
          <w:rStyle w:val="16"/>
          <w:color w:val="000000"/>
          <w:highlight w:val="none"/>
        </w:rPr>
        <w:t>2.</w:t>
      </w:r>
      <w:r>
        <w:rPr>
          <w:rStyle w:val="16"/>
          <w:rFonts w:hint="eastAsia"/>
          <w:color w:val="000000"/>
          <w:highlight w:val="none"/>
        </w:rPr>
        <w:t>绩效目标</w:t>
      </w:r>
      <w:r>
        <w:rPr>
          <w:color w:val="000000"/>
          <w:highlight w:val="none"/>
        </w:rPr>
        <w:tab/>
      </w:r>
      <w:r>
        <w:rPr>
          <w:color w:val="000000"/>
          <w:highlight w:val="none"/>
        </w:rPr>
        <w:fldChar w:fldCharType="begin"/>
      </w:r>
      <w:r>
        <w:rPr>
          <w:color w:val="000000"/>
          <w:highlight w:val="none"/>
        </w:rPr>
        <w:instrText xml:space="preserve"> PAGEREF _Toc165277243 \h </w:instrText>
      </w:r>
      <w:r>
        <w:rPr>
          <w:color w:val="000000"/>
          <w:highlight w:val="none"/>
        </w:rPr>
        <w:fldChar w:fldCharType="separate"/>
      </w:r>
      <w:r>
        <w:rPr>
          <w:color w:val="000000"/>
          <w:highlight w:val="none"/>
        </w:rPr>
        <w:t>16</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"_Toc165277244" </w:instrText>
      </w:r>
      <w:r>
        <w:rPr>
          <w:color w:val="000000"/>
          <w:highlight w:val="none"/>
        </w:rPr>
        <w:fldChar w:fldCharType="separate"/>
      </w:r>
      <w:r>
        <w:rPr>
          <w:rStyle w:val="16"/>
          <w:color w:val="000000"/>
          <w:highlight w:val="none"/>
        </w:rPr>
        <w:t>3.</w:t>
      </w:r>
      <w:r>
        <w:rPr>
          <w:rStyle w:val="16"/>
          <w:rFonts w:hint="eastAsia"/>
          <w:color w:val="000000"/>
          <w:highlight w:val="none"/>
        </w:rPr>
        <w:t>资金投入</w:t>
      </w:r>
      <w:r>
        <w:rPr>
          <w:color w:val="000000"/>
          <w:highlight w:val="none"/>
        </w:rPr>
        <w:tab/>
      </w:r>
      <w:r>
        <w:rPr>
          <w:color w:val="000000"/>
          <w:highlight w:val="none"/>
        </w:rPr>
        <w:fldChar w:fldCharType="begin"/>
      </w:r>
      <w:r>
        <w:rPr>
          <w:color w:val="000000"/>
          <w:highlight w:val="none"/>
        </w:rPr>
        <w:instrText xml:space="preserve"> PAGEREF _Toc165277244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"_Toc165277245" </w:instrText>
      </w:r>
      <w:r>
        <w:rPr>
          <w:color w:val="000000"/>
          <w:highlight w:val="none"/>
        </w:rPr>
        <w:fldChar w:fldCharType="separate"/>
      </w:r>
      <w:r>
        <w:rPr>
          <w:rStyle w:val="16"/>
          <w:rFonts w:hint="eastAsia" w:ascii="仿宋" w:hAnsi="仿宋" w:eastAsia="仿宋"/>
          <w:color w:val="000000"/>
          <w:highlight w:val="none"/>
          <w:lang w:bidi="en-US"/>
        </w:rPr>
        <w:t>（二）项目过程情况</w:t>
      </w:r>
      <w:r>
        <w:rPr>
          <w:color w:val="000000"/>
          <w:highlight w:val="none"/>
        </w:rPr>
        <w:tab/>
      </w:r>
      <w:r>
        <w:rPr>
          <w:color w:val="000000"/>
          <w:highlight w:val="none"/>
        </w:rPr>
        <w:fldChar w:fldCharType="begin"/>
      </w:r>
      <w:r>
        <w:rPr>
          <w:color w:val="000000"/>
          <w:highlight w:val="none"/>
        </w:rPr>
        <w:instrText xml:space="preserve"> PAGEREF _Toc165277245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"_Toc165277246" </w:instrText>
      </w:r>
      <w:r>
        <w:rPr>
          <w:color w:val="000000"/>
          <w:highlight w:val="none"/>
        </w:rPr>
        <w:fldChar w:fldCharType="separate"/>
      </w:r>
      <w:r>
        <w:rPr>
          <w:rStyle w:val="16"/>
          <w:color w:val="000000"/>
          <w:highlight w:val="none"/>
        </w:rPr>
        <w:t>1.</w:t>
      </w:r>
      <w:r>
        <w:rPr>
          <w:rStyle w:val="16"/>
          <w:rFonts w:hint="eastAsia"/>
          <w:color w:val="000000"/>
          <w:highlight w:val="none"/>
        </w:rPr>
        <w:t>资金管理</w:t>
      </w:r>
      <w:r>
        <w:rPr>
          <w:color w:val="000000"/>
          <w:highlight w:val="none"/>
        </w:rPr>
        <w:tab/>
      </w:r>
      <w:r>
        <w:rPr>
          <w:color w:val="000000"/>
          <w:highlight w:val="none"/>
        </w:rPr>
        <w:fldChar w:fldCharType="begin"/>
      </w:r>
      <w:r>
        <w:rPr>
          <w:color w:val="000000"/>
          <w:highlight w:val="none"/>
        </w:rPr>
        <w:instrText xml:space="preserve"> PAGEREF _Toc165277246 \h </w:instrText>
      </w:r>
      <w:r>
        <w:rPr>
          <w:color w:val="000000"/>
          <w:highlight w:val="none"/>
        </w:rPr>
        <w:fldChar w:fldCharType="separate"/>
      </w:r>
      <w:r>
        <w:rPr>
          <w:color w:val="000000"/>
          <w:highlight w:val="none"/>
        </w:rPr>
        <w:t>17</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"_Toc165277247" </w:instrText>
      </w:r>
      <w:r>
        <w:rPr>
          <w:color w:val="000000"/>
          <w:highlight w:val="none"/>
        </w:rPr>
        <w:fldChar w:fldCharType="separate"/>
      </w:r>
      <w:r>
        <w:rPr>
          <w:rStyle w:val="16"/>
          <w:color w:val="000000"/>
          <w:highlight w:val="none"/>
        </w:rPr>
        <w:t>2.</w:t>
      </w:r>
      <w:r>
        <w:rPr>
          <w:rStyle w:val="16"/>
          <w:rFonts w:hint="eastAsia"/>
          <w:color w:val="000000"/>
          <w:highlight w:val="none"/>
        </w:rPr>
        <w:t>组织实施</w:t>
      </w:r>
      <w:r>
        <w:rPr>
          <w:color w:val="000000"/>
          <w:highlight w:val="none"/>
        </w:rPr>
        <w:tab/>
      </w:r>
      <w:r>
        <w:rPr>
          <w:color w:val="000000"/>
          <w:highlight w:val="none"/>
        </w:rPr>
        <w:fldChar w:fldCharType="begin"/>
      </w:r>
      <w:r>
        <w:rPr>
          <w:color w:val="000000"/>
          <w:highlight w:val="none"/>
        </w:rPr>
        <w:instrText xml:space="preserve"> PAGEREF _Toc165277247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"_Toc165277248" </w:instrText>
      </w:r>
      <w:r>
        <w:rPr>
          <w:color w:val="000000"/>
          <w:highlight w:val="none"/>
        </w:rPr>
        <w:fldChar w:fldCharType="separate"/>
      </w:r>
      <w:r>
        <w:rPr>
          <w:rStyle w:val="16"/>
          <w:rFonts w:hint="eastAsia" w:ascii="仿宋" w:hAnsi="仿宋" w:eastAsia="仿宋"/>
          <w:color w:val="000000"/>
          <w:highlight w:val="none"/>
          <w:lang w:bidi="en-US"/>
        </w:rPr>
        <w:t>（三）项目产出情况</w:t>
      </w:r>
      <w:r>
        <w:rPr>
          <w:color w:val="000000"/>
          <w:highlight w:val="none"/>
        </w:rPr>
        <w:tab/>
      </w:r>
      <w:r>
        <w:rPr>
          <w:color w:val="000000"/>
          <w:highlight w:val="none"/>
        </w:rPr>
        <w:fldChar w:fldCharType="begin"/>
      </w:r>
      <w:r>
        <w:rPr>
          <w:color w:val="000000"/>
          <w:highlight w:val="none"/>
        </w:rPr>
        <w:instrText xml:space="preserve"> PAGEREF _Toc165277248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"_Toc165277249" </w:instrText>
      </w:r>
      <w:r>
        <w:rPr>
          <w:color w:val="000000"/>
          <w:highlight w:val="none"/>
        </w:rPr>
        <w:fldChar w:fldCharType="separate"/>
      </w:r>
      <w:r>
        <w:rPr>
          <w:rStyle w:val="16"/>
          <w:color w:val="000000"/>
          <w:highlight w:val="none"/>
        </w:rPr>
        <w:t>1.</w:t>
      </w:r>
      <w:r>
        <w:rPr>
          <w:rStyle w:val="16"/>
          <w:rFonts w:hint="eastAsia"/>
          <w:color w:val="000000"/>
          <w:highlight w:val="none"/>
        </w:rPr>
        <w:t>产出数量</w:t>
      </w:r>
      <w:r>
        <w:rPr>
          <w:color w:val="000000"/>
          <w:highlight w:val="none"/>
        </w:rPr>
        <w:tab/>
      </w:r>
      <w:r>
        <w:rPr>
          <w:color w:val="000000"/>
          <w:highlight w:val="none"/>
        </w:rPr>
        <w:fldChar w:fldCharType="begin"/>
      </w:r>
      <w:r>
        <w:rPr>
          <w:color w:val="000000"/>
          <w:highlight w:val="none"/>
        </w:rPr>
        <w:instrText xml:space="preserve"> PAGEREF _Toc165277249 \h </w:instrText>
      </w:r>
      <w:r>
        <w:rPr>
          <w:color w:val="000000"/>
          <w:highlight w:val="none"/>
        </w:rPr>
        <w:fldChar w:fldCharType="separate"/>
      </w:r>
      <w:r>
        <w:rPr>
          <w:color w:val="000000"/>
          <w:highlight w:val="none"/>
        </w:rPr>
        <w:t>18</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"_Toc165277250" </w:instrText>
      </w:r>
      <w:r>
        <w:rPr>
          <w:color w:val="000000"/>
          <w:highlight w:val="none"/>
        </w:rPr>
        <w:fldChar w:fldCharType="separate"/>
      </w:r>
      <w:r>
        <w:rPr>
          <w:rStyle w:val="16"/>
          <w:color w:val="000000"/>
          <w:highlight w:val="none"/>
        </w:rPr>
        <w:t>2.</w:t>
      </w:r>
      <w:r>
        <w:rPr>
          <w:rStyle w:val="16"/>
          <w:rFonts w:hint="eastAsia"/>
          <w:color w:val="000000"/>
          <w:highlight w:val="none"/>
        </w:rPr>
        <w:t>产出质量</w:t>
      </w:r>
      <w:r>
        <w:rPr>
          <w:color w:val="000000"/>
          <w:highlight w:val="none"/>
        </w:rPr>
        <w:tab/>
      </w:r>
      <w:r>
        <w:rPr>
          <w:color w:val="000000"/>
          <w:highlight w:val="none"/>
        </w:rPr>
        <w:fldChar w:fldCharType="begin"/>
      </w:r>
      <w:r>
        <w:rPr>
          <w:color w:val="000000"/>
          <w:highlight w:val="none"/>
        </w:rPr>
        <w:instrText xml:space="preserve"> PAGEREF _Toc165277250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"_Toc165277251" </w:instrText>
      </w:r>
      <w:r>
        <w:rPr>
          <w:color w:val="000000"/>
          <w:highlight w:val="none"/>
        </w:rPr>
        <w:fldChar w:fldCharType="separate"/>
      </w:r>
      <w:r>
        <w:rPr>
          <w:rStyle w:val="16"/>
          <w:color w:val="000000"/>
          <w:highlight w:val="none"/>
        </w:rPr>
        <w:t>3.</w:t>
      </w:r>
      <w:r>
        <w:rPr>
          <w:rStyle w:val="16"/>
          <w:rFonts w:hint="eastAsia"/>
          <w:color w:val="000000"/>
          <w:highlight w:val="none"/>
        </w:rPr>
        <w:t>产出时效</w:t>
      </w:r>
      <w:r>
        <w:rPr>
          <w:color w:val="000000"/>
          <w:highlight w:val="none"/>
        </w:rPr>
        <w:tab/>
      </w:r>
      <w:r>
        <w:rPr>
          <w:color w:val="000000"/>
          <w:highlight w:val="none"/>
        </w:rPr>
        <w:fldChar w:fldCharType="begin"/>
      </w:r>
      <w:r>
        <w:rPr>
          <w:color w:val="000000"/>
          <w:highlight w:val="none"/>
        </w:rPr>
        <w:instrText xml:space="preserve"> PAGEREF _Toc165277251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"_Toc165277252" </w:instrText>
      </w:r>
      <w:r>
        <w:rPr>
          <w:color w:val="000000"/>
          <w:highlight w:val="none"/>
        </w:rPr>
        <w:fldChar w:fldCharType="separate"/>
      </w:r>
      <w:r>
        <w:rPr>
          <w:rStyle w:val="16"/>
          <w:color w:val="000000"/>
          <w:highlight w:val="none"/>
        </w:rPr>
        <w:t>4.</w:t>
      </w:r>
      <w:r>
        <w:rPr>
          <w:rStyle w:val="16"/>
          <w:rFonts w:hint="eastAsia"/>
          <w:color w:val="000000"/>
          <w:highlight w:val="none"/>
        </w:rPr>
        <w:t>产出成本</w:t>
      </w:r>
      <w:r>
        <w:rPr>
          <w:color w:val="000000"/>
          <w:highlight w:val="none"/>
        </w:rPr>
        <w:tab/>
      </w:r>
      <w:r>
        <w:rPr>
          <w:color w:val="000000"/>
          <w:highlight w:val="none"/>
        </w:rPr>
        <w:fldChar w:fldCharType="begin"/>
      </w:r>
      <w:r>
        <w:rPr>
          <w:color w:val="000000"/>
          <w:highlight w:val="none"/>
        </w:rPr>
        <w:instrText xml:space="preserve"> PAGEREF _Toc165277252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"_Toc165277253" </w:instrText>
      </w:r>
      <w:r>
        <w:rPr>
          <w:color w:val="000000"/>
          <w:highlight w:val="none"/>
        </w:rPr>
        <w:fldChar w:fldCharType="separate"/>
      </w:r>
      <w:r>
        <w:rPr>
          <w:rStyle w:val="16"/>
          <w:rFonts w:hint="eastAsia" w:ascii="仿宋" w:hAnsi="仿宋" w:eastAsia="仿宋"/>
          <w:color w:val="000000"/>
          <w:highlight w:val="none"/>
          <w:lang w:bidi="en-US"/>
        </w:rPr>
        <w:t>（四）项目效益情况</w:t>
      </w:r>
      <w:r>
        <w:rPr>
          <w:color w:val="000000"/>
          <w:highlight w:val="none"/>
        </w:rPr>
        <w:tab/>
      </w:r>
      <w:r>
        <w:rPr>
          <w:color w:val="000000"/>
          <w:highlight w:val="none"/>
        </w:rPr>
        <w:fldChar w:fldCharType="begin"/>
      </w:r>
      <w:r>
        <w:rPr>
          <w:color w:val="000000"/>
          <w:highlight w:val="none"/>
        </w:rPr>
        <w:instrText xml:space="preserve"> PAGEREF _Toc165277253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"_Toc165277254" </w:instrText>
      </w:r>
      <w:r>
        <w:rPr>
          <w:color w:val="000000"/>
          <w:highlight w:val="none"/>
        </w:rPr>
        <w:fldChar w:fldCharType="separate"/>
      </w:r>
      <w:r>
        <w:rPr>
          <w:rStyle w:val="16"/>
          <w:color w:val="000000"/>
          <w:highlight w:val="none"/>
        </w:rPr>
        <w:t>1.</w:t>
      </w:r>
      <w:r>
        <w:rPr>
          <w:rStyle w:val="16"/>
          <w:rFonts w:hint="eastAsia"/>
          <w:color w:val="000000"/>
          <w:highlight w:val="none"/>
        </w:rPr>
        <w:t>项目效益</w:t>
      </w:r>
      <w:r>
        <w:rPr>
          <w:color w:val="000000"/>
          <w:highlight w:val="none"/>
        </w:rPr>
        <w:tab/>
      </w:r>
      <w:r>
        <w:rPr>
          <w:color w:val="000000"/>
          <w:highlight w:val="none"/>
        </w:rPr>
        <w:fldChar w:fldCharType="begin"/>
      </w:r>
      <w:r>
        <w:rPr>
          <w:color w:val="000000"/>
          <w:highlight w:val="none"/>
        </w:rPr>
        <w:instrText xml:space="preserve"> PAGEREF _Toc165277254 \h </w:instrText>
      </w:r>
      <w:r>
        <w:rPr>
          <w:color w:val="000000"/>
          <w:highlight w:val="none"/>
        </w:rPr>
        <w:fldChar w:fldCharType="separate"/>
      </w:r>
      <w:r>
        <w:rPr>
          <w:color w:val="000000"/>
          <w:highlight w:val="none"/>
        </w:rPr>
        <w:t>19</w:t>
      </w:r>
      <w:r>
        <w:rPr>
          <w:color w:val="000000"/>
          <w:highlight w:val="none"/>
        </w:rPr>
        <w:fldChar w:fldCharType="end"/>
      </w:r>
      <w:r>
        <w:rPr>
          <w:color w:val="000000"/>
          <w:highlight w:val="none"/>
        </w:rPr>
        <w:fldChar w:fldCharType="end"/>
      </w:r>
    </w:p>
    <w:p>
      <w:pPr>
        <w:pStyle w:val="7"/>
        <w:tabs>
          <w:tab w:val="right" w:leader="dot" w:pos="8296"/>
        </w:tabs>
        <w:ind w:left="112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"_Toc165277255" </w:instrText>
      </w:r>
      <w:r>
        <w:rPr>
          <w:color w:val="000000"/>
          <w:highlight w:val="none"/>
        </w:rPr>
        <w:fldChar w:fldCharType="separate"/>
      </w:r>
      <w:r>
        <w:rPr>
          <w:rStyle w:val="16"/>
          <w:color w:val="000000"/>
          <w:highlight w:val="none"/>
        </w:rPr>
        <w:t xml:space="preserve">2. </w:t>
      </w:r>
      <w:r>
        <w:rPr>
          <w:rStyle w:val="16"/>
          <w:rFonts w:hint="eastAsia"/>
          <w:color w:val="000000"/>
          <w:highlight w:val="none"/>
        </w:rPr>
        <w:t>满意度指标完成情况分析</w:t>
      </w:r>
      <w:r>
        <w:rPr>
          <w:color w:val="000000"/>
          <w:highlight w:val="none"/>
        </w:rPr>
        <w:tab/>
      </w:r>
      <w:r>
        <w:rPr>
          <w:color w:val="000000"/>
          <w:highlight w:val="none"/>
        </w:rPr>
        <w:fldChar w:fldCharType="begin"/>
      </w:r>
      <w:r>
        <w:rPr>
          <w:color w:val="000000"/>
          <w:highlight w:val="none"/>
        </w:rPr>
        <w:instrText xml:space="preserve"> PAGEREF _Toc165277255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"_Toc165277256" </w:instrText>
      </w:r>
      <w:r>
        <w:rPr>
          <w:color w:val="000000"/>
          <w:highlight w:val="none"/>
        </w:rPr>
        <w:fldChar w:fldCharType="separate"/>
      </w:r>
      <w:r>
        <w:rPr>
          <w:rStyle w:val="16"/>
          <w:rFonts w:hint="eastAsia" w:ascii="仿宋" w:hAnsi="仿宋" w:eastAsia="仿宋"/>
          <w:color w:val="000000"/>
          <w:highlight w:val="none"/>
          <w:lang w:bidi="en-US"/>
        </w:rPr>
        <w:t>五、主要经验及做法、存在的问题及原因分析</w:t>
      </w:r>
      <w:r>
        <w:rPr>
          <w:color w:val="000000"/>
          <w:highlight w:val="none"/>
        </w:rPr>
        <w:tab/>
      </w:r>
      <w:r>
        <w:rPr>
          <w:color w:val="000000"/>
          <w:highlight w:val="none"/>
        </w:rPr>
        <w:fldChar w:fldCharType="begin"/>
      </w:r>
      <w:r>
        <w:rPr>
          <w:color w:val="000000"/>
          <w:highlight w:val="none"/>
        </w:rPr>
        <w:instrText xml:space="preserve"> PAGEREF _Toc165277256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"_Toc165277257" </w:instrText>
      </w:r>
      <w:r>
        <w:rPr>
          <w:color w:val="000000"/>
          <w:highlight w:val="none"/>
        </w:rPr>
        <w:fldChar w:fldCharType="separate"/>
      </w:r>
      <w:r>
        <w:rPr>
          <w:rStyle w:val="16"/>
          <w:rFonts w:hint="eastAsia" w:ascii="仿宋" w:hAnsi="仿宋" w:eastAsia="仿宋"/>
          <w:color w:val="000000"/>
          <w:highlight w:val="none"/>
          <w:lang w:bidi="en-US"/>
        </w:rPr>
        <w:t>（一）主要经验及做法</w:t>
      </w:r>
      <w:r>
        <w:rPr>
          <w:color w:val="000000"/>
          <w:highlight w:val="none"/>
        </w:rPr>
        <w:tab/>
      </w:r>
      <w:r>
        <w:rPr>
          <w:color w:val="000000"/>
          <w:highlight w:val="none"/>
        </w:rPr>
        <w:fldChar w:fldCharType="begin"/>
      </w:r>
      <w:r>
        <w:rPr>
          <w:color w:val="000000"/>
          <w:highlight w:val="none"/>
        </w:rPr>
        <w:instrText xml:space="preserve"> PAGEREF _Toc165277257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4"/>
        <w:tabs>
          <w:tab w:val="right" w:leader="dot" w:pos="8296"/>
        </w:tabs>
        <w:ind w:left="560"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"_Toc165277258" </w:instrText>
      </w:r>
      <w:r>
        <w:rPr>
          <w:color w:val="000000"/>
          <w:highlight w:val="none"/>
        </w:rPr>
        <w:fldChar w:fldCharType="separate"/>
      </w:r>
      <w:r>
        <w:rPr>
          <w:rStyle w:val="16"/>
          <w:rFonts w:hint="eastAsia" w:ascii="仿宋" w:hAnsi="仿宋" w:eastAsia="仿宋"/>
          <w:color w:val="000000"/>
          <w:highlight w:val="none"/>
          <w:lang w:bidi="en-US"/>
        </w:rPr>
        <w:t>（二）存在的问题及原因分析</w:t>
      </w:r>
      <w:r>
        <w:rPr>
          <w:color w:val="000000"/>
          <w:highlight w:val="none"/>
        </w:rPr>
        <w:tab/>
      </w:r>
      <w:r>
        <w:rPr>
          <w:color w:val="000000"/>
          <w:highlight w:val="none"/>
        </w:rPr>
        <w:fldChar w:fldCharType="begin"/>
      </w:r>
      <w:r>
        <w:rPr>
          <w:color w:val="000000"/>
          <w:highlight w:val="none"/>
        </w:rPr>
        <w:instrText xml:space="preserve"> PAGEREF _Toc165277258 \h </w:instrText>
      </w:r>
      <w:r>
        <w:rPr>
          <w:color w:val="000000"/>
          <w:highlight w:val="none"/>
        </w:rPr>
        <w:fldChar w:fldCharType="separate"/>
      </w:r>
      <w:r>
        <w:rPr>
          <w:color w:val="000000"/>
          <w:highlight w:val="none"/>
        </w:rPr>
        <w:t>20</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"_Toc165277259" </w:instrText>
      </w:r>
      <w:r>
        <w:rPr>
          <w:color w:val="000000"/>
          <w:highlight w:val="none"/>
        </w:rPr>
        <w:fldChar w:fldCharType="separate"/>
      </w:r>
      <w:r>
        <w:rPr>
          <w:rStyle w:val="16"/>
          <w:rFonts w:hint="eastAsia" w:ascii="仿宋" w:hAnsi="仿宋" w:eastAsia="仿宋"/>
          <w:color w:val="000000"/>
          <w:highlight w:val="none"/>
          <w:lang w:bidi="en-US"/>
        </w:rPr>
        <w:t>六、有关建议</w:t>
      </w:r>
      <w:r>
        <w:rPr>
          <w:color w:val="000000"/>
          <w:highlight w:val="none"/>
        </w:rPr>
        <w:tab/>
      </w:r>
      <w:r>
        <w:rPr>
          <w:color w:val="000000"/>
          <w:highlight w:val="none"/>
        </w:rPr>
        <w:fldChar w:fldCharType="begin"/>
      </w:r>
      <w:r>
        <w:rPr>
          <w:color w:val="000000"/>
          <w:highlight w:val="none"/>
        </w:rPr>
        <w:instrText xml:space="preserve"> PAGEREF _Toc165277259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pStyle w:val="12"/>
        <w:tabs>
          <w:tab w:val="right" w:leader="dot" w:pos="8296"/>
        </w:tabs>
        <w:ind w:firstLine="560"/>
        <w:rPr>
          <w:rFonts w:ascii="等线" w:hAnsi="等线" w:eastAsia="等线" w:cs="黑体"/>
          <w:color w:val="000000"/>
          <w:sz w:val="21"/>
          <w:highlight w:val="none"/>
        </w:rPr>
      </w:pPr>
      <w:r>
        <w:rPr>
          <w:color w:val="000000"/>
          <w:highlight w:val="none"/>
        </w:rPr>
        <w:fldChar w:fldCharType="begin"/>
      </w:r>
      <w:r>
        <w:rPr>
          <w:color w:val="000000"/>
          <w:highlight w:val="none"/>
        </w:rPr>
        <w:instrText xml:space="preserve"> HYPERLINK \l "_Toc165277260" </w:instrText>
      </w:r>
      <w:r>
        <w:rPr>
          <w:color w:val="000000"/>
          <w:highlight w:val="none"/>
        </w:rPr>
        <w:fldChar w:fldCharType="separate"/>
      </w:r>
      <w:r>
        <w:rPr>
          <w:rStyle w:val="16"/>
          <w:rFonts w:hint="eastAsia" w:ascii="仿宋" w:hAnsi="仿宋" w:eastAsia="仿宋"/>
          <w:color w:val="000000"/>
          <w:highlight w:val="none"/>
          <w:lang w:bidi="en-US"/>
        </w:rPr>
        <w:t>七、其他需要说明的问题</w:t>
      </w:r>
      <w:r>
        <w:rPr>
          <w:color w:val="000000"/>
          <w:highlight w:val="none"/>
        </w:rPr>
        <w:tab/>
      </w:r>
      <w:r>
        <w:rPr>
          <w:color w:val="000000"/>
          <w:highlight w:val="none"/>
        </w:rPr>
        <w:fldChar w:fldCharType="begin"/>
      </w:r>
      <w:r>
        <w:rPr>
          <w:color w:val="000000"/>
          <w:highlight w:val="none"/>
        </w:rPr>
        <w:instrText xml:space="preserve"> PAGEREF _Toc165277260 \h </w:instrText>
      </w:r>
      <w:r>
        <w:rPr>
          <w:color w:val="000000"/>
          <w:highlight w:val="none"/>
        </w:rPr>
        <w:fldChar w:fldCharType="separate"/>
      </w:r>
      <w:r>
        <w:rPr>
          <w:color w:val="000000"/>
          <w:highlight w:val="none"/>
        </w:rPr>
        <w:t>21</w:t>
      </w:r>
      <w:r>
        <w:rPr>
          <w:color w:val="000000"/>
          <w:highlight w:val="none"/>
        </w:rPr>
        <w:fldChar w:fldCharType="end"/>
      </w:r>
      <w:r>
        <w:rPr>
          <w:color w:val="000000"/>
          <w:highlight w:val="none"/>
        </w:rPr>
        <w:fldChar w:fldCharType="end"/>
      </w:r>
    </w:p>
    <w:p>
      <w:pPr>
        <w:ind w:firstLine="562"/>
        <w:rPr>
          <w:color w:val="000000"/>
          <w:highlight w:val="none"/>
        </w:rPr>
      </w:pPr>
      <w:r>
        <w:rPr>
          <w:b/>
          <w:bCs/>
          <w:color w:val="000000"/>
          <w:highlight w:val="none"/>
          <w:lang w:val="zh-CN"/>
        </w:rPr>
        <w:fldChar w:fldCharType="end"/>
      </w:r>
    </w:p>
    <w:p>
      <w:pPr>
        <w:ind w:firstLine="598" w:firstLineChars="187"/>
        <w:rPr>
          <w:rFonts w:ascii="仿宋_GB2312" w:hAnsi="Times New Roman" w:cs="Times New Roman"/>
          <w:color w:val="000000"/>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sectPr>
      </w:pPr>
    </w:p>
    <w:p>
      <w:pPr>
        <w:pStyle w:val="2"/>
        <w:ind w:firstLine="0" w:firstLineChars="0"/>
        <w:jc w:val="left"/>
        <w:rPr>
          <w:rFonts w:ascii="仿宋" w:hAnsi="仿宋" w:eastAsia="仿宋"/>
          <w:color w:val="000000"/>
          <w:sz w:val="36"/>
          <w:szCs w:val="36"/>
          <w:highlight w:val="none"/>
          <w:lang w:bidi="en-US"/>
        </w:rPr>
      </w:pPr>
      <w:bookmarkStart w:id="0" w:name="_Toc67911601"/>
      <w:bookmarkStart w:id="1" w:name="_Toc165277220"/>
      <w:r>
        <w:rPr>
          <w:rFonts w:hint="eastAsia" w:ascii="仿宋" w:hAnsi="仿宋" w:eastAsia="仿宋"/>
          <w:color w:val="000000"/>
          <w:sz w:val="36"/>
          <w:szCs w:val="36"/>
          <w:highlight w:val="none"/>
          <w:lang w:bidi="en-US"/>
        </w:rPr>
        <w:t>一、基本情况</w:t>
      </w:r>
      <w:bookmarkEnd w:id="0"/>
      <w:bookmarkEnd w:id="1"/>
    </w:p>
    <w:p>
      <w:pPr>
        <w:pStyle w:val="3"/>
        <w:ind w:firstLine="643"/>
        <w:rPr>
          <w:rFonts w:ascii="仿宋" w:hAnsi="仿宋" w:eastAsia="仿宋"/>
          <w:color w:val="000000"/>
          <w:highlight w:val="none"/>
          <w:lang w:bidi="en-US"/>
        </w:rPr>
      </w:pPr>
      <w:bookmarkStart w:id="2" w:name="_Toc165277221"/>
      <w:bookmarkStart w:id="3" w:name="_Toc67911602"/>
      <w:r>
        <w:rPr>
          <w:rFonts w:hint="eastAsia" w:ascii="仿宋" w:hAnsi="仿宋" w:eastAsia="仿宋"/>
          <w:color w:val="000000"/>
          <w:highlight w:val="none"/>
          <w:lang w:bidi="en-US"/>
        </w:rPr>
        <w:t>（一）项目概况：</w:t>
      </w:r>
      <w:bookmarkEnd w:id="2"/>
      <w:bookmarkEnd w:id="3"/>
    </w:p>
    <w:p>
      <w:pPr>
        <w:pStyle w:val="4"/>
        <w:ind w:firstLine="643"/>
        <w:rPr>
          <w:color w:val="000000"/>
          <w:highlight w:val="none"/>
        </w:rPr>
      </w:pPr>
      <w:bookmarkStart w:id="4" w:name="_Toc165277222"/>
      <w:r>
        <w:rPr>
          <w:rFonts w:hint="eastAsia"/>
          <w:color w:val="000000"/>
          <w:highlight w:val="none"/>
          <w:lang w:eastAsia="zh-CN"/>
        </w:rPr>
        <w:t>1.</w:t>
      </w:r>
      <w:r>
        <w:rPr>
          <w:rFonts w:hint="eastAsia"/>
          <w:color w:val="000000"/>
          <w:highlight w:val="none"/>
        </w:rPr>
        <w:t>项目背景、主要内容及实施情况</w:t>
      </w:r>
      <w:bookmarkEnd w:id="4"/>
    </w:p>
    <w:p>
      <w:pPr>
        <w:spacing w:line="360" w:lineRule="auto"/>
        <w:ind w:firstLine="560"/>
        <w:rPr>
          <w:rFonts w:ascii="仿宋_GB2312"/>
          <w:color w:val="000000"/>
          <w:highlight w:val="none"/>
        </w:rPr>
      </w:pPr>
      <w:r>
        <w:rPr>
          <w:rFonts w:hint="eastAsia" w:ascii="仿宋_GB2312"/>
          <w:color w:val="000000"/>
          <w:highlight w:val="none"/>
        </w:rPr>
        <w:t>该项目实施背景：根据</w:t>
      </w:r>
      <w:bookmarkStart w:id="5" w:name="_Hlk198296689"/>
      <w:r>
        <w:rPr>
          <w:rFonts w:hint="eastAsia" w:ascii="仿宋_GB2312"/>
          <w:color w:val="000000"/>
          <w:highlight w:val="none"/>
        </w:rPr>
        <w:t>《关于公布第一批自治区天山英才医药卫生高层次人才培养计划入选结果的通知</w:t>
      </w:r>
      <w:r>
        <w:rPr>
          <w:rFonts w:hint="eastAsia" w:ascii="仿宋_GB2312"/>
          <w:color w:val="000000"/>
          <w:highlight w:val="none"/>
          <w:lang w:eastAsia="zh-CN"/>
        </w:rPr>
        <w:t>》《</w:t>
      </w:r>
      <w:r>
        <w:rPr>
          <w:rFonts w:hint="eastAsia" w:ascii="仿宋_GB2312"/>
          <w:color w:val="000000"/>
          <w:highlight w:val="none"/>
        </w:rPr>
        <w:t>关于公布第二批自治区卫生健康系统智力援疆创新拓展人才计划项目入选结果的通知》（新卫人函〔2024〕23号）、《乌鲁木齐市中医医院财政专项资金管理制度》</w:t>
      </w:r>
      <w:bookmarkEnd w:id="5"/>
      <w:r>
        <w:rPr>
          <w:rFonts w:hint="eastAsia" w:ascii="仿宋_GB2312"/>
          <w:color w:val="000000"/>
          <w:highlight w:val="none"/>
        </w:rPr>
        <w:t>，深入贯彻落实习近平总书记关于新时代人才工作的新理念新战略新举措，根据自治区人民政府新闻办公室召开的“新疆推进高质量发展”系列主题发布会上，发布并解读新疆深入实施人才强区战略采取的一系列创新举措，推动形成全方位培养、引进、用好、留住人才的新态势，自治区和兵团本级财政共同筹集资金设立新疆人才发展基金，旨在构建全方位、多层次、宽领域的人才培养体系，推动丝绸之路经济带核心区人才高地建设，聚焦“人才强区”战略，重点支持高层次人才引进、紧缺技能人才培养、创新创业平台建设等领域。</w:t>
      </w:r>
    </w:p>
    <w:p>
      <w:pPr>
        <w:spacing w:line="360" w:lineRule="auto"/>
        <w:ind w:firstLine="560"/>
        <w:rPr>
          <w:rFonts w:ascii="仿宋_GB2312"/>
          <w:color w:val="000000"/>
          <w:highlight w:val="none"/>
        </w:rPr>
      </w:pPr>
      <w:r>
        <w:rPr>
          <w:rFonts w:ascii="仿宋_GB2312"/>
          <w:color w:val="000000"/>
          <w:highlight w:val="none"/>
        </w:rPr>
        <w:t>项目</w:t>
      </w:r>
      <w:r>
        <w:rPr>
          <w:rFonts w:hint="eastAsia" w:ascii="仿宋_GB2312"/>
          <w:color w:val="000000"/>
          <w:highlight w:val="none"/>
        </w:rPr>
        <w:t>2024</w:t>
      </w:r>
      <w:r>
        <w:rPr>
          <w:rFonts w:ascii="仿宋_GB2312"/>
          <w:color w:val="000000"/>
          <w:highlight w:val="none"/>
        </w:rPr>
        <w:t>年的主要实施内容：①</w:t>
      </w:r>
      <w:r>
        <w:rPr>
          <w:rFonts w:hint="eastAsia" w:ascii="仿宋_GB2312"/>
          <w:color w:val="000000"/>
          <w:highlight w:val="none"/>
        </w:rPr>
        <w:t>实施天山英才培养计划5人，经费70万元（用于科研实验、劳务及个人补助）；②实施智力援疆创新拓展人才计划4人和两个团队，经费58万元（用于科研实验、劳务、培训及个人补助）。培养引进战略科学家、科技领军人才和创新团队，打造</w:t>
      </w:r>
      <w:r>
        <w:rPr>
          <w:rFonts w:hint="eastAsia" w:ascii="仿宋_GB2312"/>
          <w:color w:val="000000"/>
          <w:highlight w:val="none"/>
          <w:lang w:eastAsia="zh-CN"/>
        </w:rPr>
        <w:t>重大科技创新平台</w:t>
      </w:r>
      <w:r>
        <w:rPr>
          <w:rFonts w:hint="eastAsia" w:ascii="仿宋_GB2312"/>
          <w:color w:val="000000"/>
          <w:highlight w:val="none"/>
        </w:rPr>
        <w:t>以及建设区域人才高地，为加快推进中国式现代化的新疆实践积蓄新动能新优势，以更大力度服务于人才强国战略大局。</w:t>
      </w:r>
    </w:p>
    <w:p>
      <w:pPr>
        <w:spacing w:line="360" w:lineRule="auto"/>
        <w:ind w:firstLine="560"/>
        <w:rPr>
          <w:rFonts w:ascii="仿宋_GB2312"/>
          <w:color w:val="000000"/>
          <w:highlight w:val="none"/>
        </w:rPr>
      </w:pPr>
      <w:r>
        <w:rPr>
          <w:rFonts w:ascii="仿宋_GB2312"/>
          <w:color w:val="000000"/>
          <w:highlight w:val="none"/>
        </w:rPr>
        <w:t>实际完成情况为：</w:t>
      </w:r>
      <w:r>
        <w:rPr>
          <w:rFonts w:hint="eastAsia" w:ascii="仿宋_GB2312"/>
          <w:color w:val="000000"/>
          <w:highlight w:val="none"/>
        </w:rPr>
        <w:t>项目拨付资金共128万元，用于实施科研项目、聘请研究生、完成人才培养、发表论文及发放个人补助。具体实现如下成果：①实施科研项目、发表省级以上论文5篇、聘请研究生5人，支出实验材料及论文费用48.8万元，劳务费7.66万元。</w:t>
      </w:r>
      <w:r>
        <w:rPr>
          <w:rFonts w:cs="Calibri"/>
          <w:color w:val="000000"/>
          <w:highlight w:val="none"/>
        </w:rPr>
        <w:t>②</w:t>
      </w:r>
      <w:r>
        <w:rPr>
          <w:rFonts w:hint="eastAsia" w:ascii="仿宋_GB2312"/>
          <w:color w:val="000000"/>
          <w:highlight w:val="none"/>
        </w:rPr>
        <w:t>完成人才培养4人，分别为景芸、杨静、王晶、朱丽丽；支出培训费及差旅费37.95万元，个人补助发放共计7人，分别为帕力旦·吾布尔、邓德强、李婷、贺红梅、李敏、张春霞、朱雅。支出个人补助费用29万元。有效提高了我院</w:t>
      </w:r>
      <w:bookmarkStart w:id="6" w:name="_Hlk198294015"/>
      <w:r>
        <w:rPr>
          <w:rFonts w:hint="eastAsia" w:ascii="仿宋_GB2312"/>
          <w:color w:val="000000"/>
          <w:highlight w:val="none"/>
        </w:rPr>
        <w:t>中医药服务能力</w:t>
      </w:r>
      <w:bookmarkEnd w:id="6"/>
      <w:r>
        <w:rPr>
          <w:rFonts w:hint="eastAsia" w:ascii="仿宋_GB2312"/>
          <w:color w:val="000000"/>
          <w:highlight w:val="none"/>
        </w:rPr>
        <w:t>。</w:t>
      </w:r>
    </w:p>
    <w:p>
      <w:pPr>
        <w:pStyle w:val="4"/>
        <w:ind w:firstLine="643"/>
        <w:rPr>
          <w:color w:val="000000"/>
          <w:highlight w:val="none"/>
        </w:rPr>
      </w:pPr>
      <w:bookmarkStart w:id="7" w:name="_Toc165277223"/>
      <w:r>
        <w:rPr>
          <w:rFonts w:hint="eastAsia"/>
          <w:color w:val="000000"/>
          <w:highlight w:val="none"/>
        </w:rPr>
        <w:t>2</w:t>
      </w:r>
      <w:r>
        <w:rPr>
          <w:color w:val="000000"/>
          <w:highlight w:val="none"/>
        </w:rPr>
        <w:t>.资金投入和使用情况</w:t>
      </w:r>
      <w:bookmarkEnd w:id="7"/>
    </w:p>
    <w:p>
      <w:pPr>
        <w:spacing w:line="360" w:lineRule="auto"/>
        <w:ind w:firstLine="560"/>
        <w:rPr>
          <w:rFonts w:hint="default" w:ascii="仿宋_GB2312" w:eastAsia="仿宋_GB2312"/>
          <w:color w:val="000000"/>
          <w:szCs w:val="28"/>
          <w:highlight w:val="none"/>
          <w:lang w:val="en-US" w:eastAsia="zh-CN"/>
        </w:rPr>
      </w:pPr>
      <w:r>
        <w:rPr>
          <w:rFonts w:hint="eastAsia" w:ascii="仿宋_GB2312"/>
          <w:color w:val="000000"/>
          <w:highlight w:val="none"/>
        </w:rPr>
        <w:t>该项目资金投入情况：</w:t>
      </w:r>
      <w:r>
        <w:rPr>
          <w:rFonts w:hint="eastAsia" w:ascii="仿宋_GB2312"/>
          <w:color w:val="000000"/>
          <w:szCs w:val="28"/>
          <w:highlight w:val="none"/>
        </w:rPr>
        <w:t>经《</w:t>
      </w:r>
      <w:r>
        <w:rPr>
          <w:rFonts w:hint="eastAsia" w:ascii="仿宋_GB2312" w:hAnsi="Times New Roman" w:cs="Times New Roman"/>
          <w:color w:val="000000"/>
          <w:kern w:val="0"/>
          <w:szCs w:val="28"/>
          <w:highlight w:val="none"/>
          <w:lang w:bidi="en-US"/>
        </w:rPr>
        <w:t>关于拨付新疆人才发展基金2024年度第一轮支持资金的通知</w:t>
      </w:r>
      <w:r>
        <w:rPr>
          <w:rFonts w:hint="eastAsia" w:ascii="仿宋_GB2312"/>
          <w:color w:val="000000"/>
          <w:szCs w:val="28"/>
          <w:highlight w:val="none"/>
        </w:rPr>
        <w:t>》乌财行</w:t>
      </w:r>
      <w:r>
        <w:rPr>
          <w:rFonts w:hint="eastAsia" w:ascii="仿宋_GB2312"/>
          <w:color w:val="000000"/>
          <w:szCs w:val="28"/>
          <w:highlight w:val="none"/>
          <w:lang w:eastAsia="zh-CN"/>
        </w:rPr>
        <w:t>〔2024〕29号</w:t>
      </w:r>
      <w:r>
        <w:rPr>
          <w:rFonts w:hint="eastAsia" w:ascii="仿宋_GB2312"/>
          <w:color w:val="000000"/>
          <w:szCs w:val="28"/>
          <w:highlight w:val="none"/>
        </w:rPr>
        <w:t>文件批准，项目系</w:t>
      </w:r>
      <w:r>
        <w:rPr>
          <w:rFonts w:ascii="仿宋_GB2312"/>
          <w:color w:val="000000"/>
          <w:szCs w:val="28"/>
          <w:highlight w:val="none"/>
        </w:rPr>
        <w:t>2024</w:t>
      </w:r>
      <w:r>
        <w:rPr>
          <w:rFonts w:hint="eastAsia" w:ascii="仿宋_GB2312"/>
          <w:color w:val="000000"/>
          <w:szCs w:val="28"/>
          <w:highlight w:val="none"/>
        </w:rPr>
        <w:t>年自治区资金，共安排预算128万元，于2024年年中追加部分预算批复项目，年中资金</w:t>
      </w:r>
      <w:r>
        <w:rPr>
          <w:rFonts w:hint="eastAsia" w:ascii="仿宋_GB2312"/>
          <w:color w:val="000000"/>
          <w:szCs w:val="28"/>
          <w:highlight w:val="none"/>
          <w:lang w:eastAsia="zh-CN"/>
        </w:rPr>
        <w:t>未</w:t>
      </w:r>
      <w:r>
        <w:rPr>
          <w:rFonts w:hint="eastAsia" w:ascii="仿宋_GB2312"/>
          <w:color w:val="000000"/>
          <w:szCs w:val="28"/>
          <w:highlight w:val="none"/>
        </w:rPr>
        <w:t>调整</w:t>
      </w:r>
      <w:r>
        <w:rPr>
          <w:rFonts w:hint="eastAsia" w:ascii="仿宋_GB2312"/>
          <w:color w:val="000000"/>
          <w:szCs w:val="28"/>
          <w:highlight w:val="none"/>
          <w:lang w:eastAsia="zh-CN"/>
        </w:rPr>
        <w:t>，剩余</w:t>
      </w:r>
      <w:r>
        <w:rPr>
          <w:rFonts w:hint="eastAsia" w:ascii="仿宋_GB2312"/>
          <w:color w:val="000000"/>
          <w:szCs w:val="28"/>
          <w:highlight w:val="none"/>
          <w:lang w:val="en-US" w:eastAsia="zh-CN"/>
        </w:rPr>
        <w:t>4.59万元结转至2025年继续使用。</w:t>
      </w:r>
    </w:p>
    <w:p>
      <w:pPr>
        <w:spacing w:line="360" w:lineRule="auto"/>
        <w:ind w:firstLine="560"/>
        <w:rPr>
          <w:rFonts w:ascii="仿宋_GB2312"/>
          <w:color w:val="000000"/>
          <w:highlight w:val="none"/>
        </w:rPr>
      </w:pPr>
      <w:r>
        <w:rPr>
          <w:rFonts w:hint="eastAsia" w:ascii="仿宋_GB2312"/>
          <w:color w:val="000000"/>
          <w:szCs w:val="28"/>
          <w:highlight w:val="none"/>
        </w:rPr>
        <w:t>该项目资金使用情况：项目总预算128万</w:t>
      </w:r>
      <w:r>
        <w:rPr>
          <w:rFonts w:hint="eastAsia" w:ascii="仿宋_GB2312"/>
          <w:color w:val="000000"/>
          <w:highlight w:val="none"/>
        </w:rPr>
        <w:t>元，年中资金调整预算为123.41万元，实际执行资金123.41</w:t>
      </w:r>
      <w:r>
        <w:rPr>
          <w:rFonts w:ascii="仿宋_GB2312"/>
          <w:color w:val="000000"/>
          <w:highlight w:val="none"/>
        </w:rPr>
        <w:t>万元，</w:t>
      </w:r>
      <w:r>
        <w:rPr>
          <w:rFonts w:hint="eastAsia" w:ascii="仿宋_GB2312"/>
          <w:color w:val="000000"/>
          <w:highlight w:val="none"/>
        </w:rPr>
        <w:t>预算执行率为100%。</w:t>
      </w:r>
    </w:p>
    <w:p>
      <w:pPr>
        <w:spacing w:line="360" w:lineRule="auto"/>
        <w:ind w:firstLine="560"/>
        <w:rPr>
          <w:rFonts w:ascii="仿宋_GB2312"/>
          <w:color w:val="000000"/>
          <w:highlight w:val="none"/>
        </w:rPr>
      </w:pPr>
      <w:r>
        <w:rPr>
          <w:rFonts w:hint="eastAsia" w:ascii="仿宋_GB2312"/>
          <w:color w:val="000000"/>
          <w:highlight w:val="none"/>
        </w:rPr>
        <w:t>资金主要用于实施科研项目、发表论文5篇，支付实验材料及论文费48.8万元；聘请研究生5人，支付劳务费7.66万元；完成人才培养4人，分别为景芸、杨静、王晶、朱丽丽；个人补助发放共计7人，分别为帕力旦·吾布尔、邓德强、李婷、贺红梅、李敏、张春霞、朱雅，金额29万元；支付培训及差旅费37.95万元。</w:t>
      </w:r>
    </w:p>
    <w:p>
      <w:pPr>
        <w:pStyle w:val="3"/>
        <w:ind w:firstLine="643"/>
        <w:rPr>
          <w:rFonts w:ascii="仿宋" w:hAnsi="仿宋" w:eastAsia="仿宋"/>
          <w:color w:val="000000"/>
          <w:highlight w:val="none"/>
          <w:lang w:bidi="en-US"/>
        </w:rPr>
      </w:pPr>
      <w:bookmarkStart w:id="8" w:name="_Toc165277224"/>
      <w:bookmarkStart w:id="9" w:name="_Toc67911603"/>
      <w:r>
        <w:rPr>
          <w:rFonts w:hint="eastAsia" w:ascii="仿宋" w:hAnsi="仿宋" w:eastAsia="仿宋"/>
          <w:color w:val="000000"/>
          <w:highlight w:val="none"/>
          <w:lang w:bidi="en-US"/>
        </w:rPr>
        <w:t>（二）项目绩效目标：</w:t>
      </w:r>
      <w:bookmarkEnd w:id="8"/>
      <w:bookmarkEnd w:id="9"/>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本项目依据《中共中央 国务院关于全面实施预算绩效管理的意见》（中发〔2018〕</w:t>
      </w:r>
      <w:r>
        <w:rPr>
          <w:rFonts w:ascii="仿宋_GB2312" w:hAnsi="仿宋"/>
          <w:color w:val="000000"/>
          <w:szCs w:val="28"/>
          <w:highlight w:val="none"/>
        </w:rPr>
        <w:t>34</w:t>
      </w:r>
      <w:r>
        <w:rPr>
          <w:rFonts w:hint="eastAsia" w:ascii="仿宋_GB2312" w:hAnsi="仿宋"/>
          <w:color w:val="000000"/>
          <w:szCs w:val="28"/>
          <w:highlight w:val="none"/>
        </w:rPr>
        <w:t>号）、《关于印发</w:t>
      </w:r>
      <w:r>
        <w:rPr>
          <w:rFonts w:hint="eastAsia" w:ascii="仿宋_GB2312" w:hAnsi="仿宋"/>
          <w:color w:val="000000"/>
          <w:szCs w:val="28"/>
          <w:highlight w:val="none"/>
          <w:lang w:eastAsia="zh-CN"/>
        </w:rPr>
        <w:t>〈</w:t>
      </w:r>
      <w:r>
        <w:rPr>
          <w:rFonts w:hint="eastAsia" w:ascii="仿宋_GB2312" w:hAnsi="仿宋"/>
          <w:color w:val="000000"/>
          <w:szCs w:val="28"/>
          <w:highlight w:val="none"/>
        </w:rPr>
        <w:t>乌鲁木齐市本级部门预算绩效目标管理暂行办法</w:t>
      </w:r>
      <w:r>
        <w:rPr>
          <w:rFonts w:hint="eastAsia" w:ascii="仿宋_GB2312" w:hAnsi="仿宋"/>
          <w:color w:val="000000"/>
          <w:szCs w:val="28"/>
          <w:highlight w:val="none"/>
          <w:lang w:eastAsia="zh-CN"/>
        </w:rPr>
        <w:t>〉的通知》</w:t>
      </w:r>
      <w:r>
        <w:rPr>
          <w:rFonts w:hint="eastAsia" w:ascii="仿宋_GB2312" w:hAnsi="仿宋"/>
          <w:color w:val="000000"/>
          <w:szCs w:val="28"/>
          <w:highlight w:val="none"/>
        </w:rPr>
        <w:t>（乌财预</w:t>
      </w:r>
      <w:bookmarkStart w:id="10" w:name="_Hlk67566397"/>
      <w:r>
        <w:rPr>
          <w:rFonts w:hint="eastAsia" w:ascii="仿宋_GB2312" w:hAnsi="仿宋"/>
          <w:color w:val="000000"/>
          <w:szCs w:val="28"/>
          <w:highlight w:val="none"/>
        </w:rPr>
        <w:t>〔2018〕</w:t>
      </w:r>
      <w:r>
        <w:rPr>
          <w:rFonts w:ascii="仿宋_GB2312" w:hAnsi="仿宋"/>
          <w:color w:val="000000"/>
          <w:szCs w:val="28"/>
          <w:highlight w:val="none"/>
        </w:rPr>
        <w:t>5</w:t>
      </w:r>
      <w:r>
        <w:rPr>
          <w:rFonts w:hint="eastAsia" w:ascii="仿宋_GB2312" w:hAnsi="仿宋"/>
          <w:color w:val="000000"/>
          <w:szCs w:val="28"/>
          <w:highlight w:val="none"/>
        </w:rPr>
        <w:t>6号</w:t>
      </w:r>
      <w:bookmarkEnd w:id="10"/>
      <w:r>
        <w:rPr>
          <w:rFonts w:hint="eastAsia" w:ascii="仿宋_GB2312" w:hAnsi="仿宋"/>
          <w:color w:val="000000"/>
          <w:szCs w:val="28"/>
          <w:highlight w:val="none"/>
        </w:rPr>
        <w:t>）、《关于做好2</w:t>
      </w:r>
      <w:r>
        <w:rPr>
          <w:rFonts w:ascii="仿宋_GB2312" w:hAnsi="仿宋"/>
          <w:color w:val="000000"/>
          <w:szCs w:val="28"/>
          <w:highlight w:val="none"/>
        </w:rPr>
        <w:t>019</w:t>
      </w:r>
      <w:r>
        <w:rPr>
          <w:rFonts w:hint="eastAsia" w:ascii="仿宋_GB2312" w:hAnsi="仿宋"/>
          <w:color w:val="000000"/>
          <w:szCs w:val="28"/>
          <w:highlight w:val="none"/>
        </w:rPr>
        <w:t>年部门预算项目支出绩效目标管理有关事宜的通知》（乌财预〔20</w:t>
      </w:r>
      <w:r>
        <w:rPr>
          <w:rFonts w:ascii="仿宋_GB2312" w:hAnsi="仿宋"/>
          <w:color w:val="000000"/>
          <w:szCs w:val="28"/>
          <w:highlight w:val="none"/>
        </w:rPr>
        <w:t>18</w:t>
      </w:r>
      <w:r>
        <w:rPr>
          <w:rFonts w:hint="eastAsia" w:ascii="仿宋_GB2312" w:hAnsi="仿宋"/>
          <w:color w:val="000000"/>
          <w:szCs w:val="28"/>
          <w:highlight w:val="none"/>
        </w:rPr>
        <w:t>〕</w:t>
      </w:r>
      <w:r>
        <w:rPr>
          <w:rFonts w:ascii="仿宋_GB2312" w:hAnsi="仿宋"/>
          <w:color w:val="000000"/>
          <w:szCs w:val="28"/>
          <w:highlight w:val="none"/>
        </w:rPr>
        <w:t>76</w:t>
      </w:r>
      <w:r>
        <w:rPr>
          <w:rFonts w:hint="eastAsia" w:ascii="仿宋_GB2312" w:hAnsi="仿宋"/>
          <w:color w:val="000000"/>
          <w:szCs w:val="28"/>
          <w:highlight w:val="none"/>
        </w:rPr>
        <w:t>号）和《项目支出绩效评价管理办法》（财预〔20</w:t>
      </w:r>
      <w:r>
        <w:rPr>
          <w:rFonts w:ascii="仿宋_GB2312" w:hAnsi="仿宋"/>
          <w:color w:val="000000"/>
          <w:szCs w:val="28"/>
          <w:highlight w:val="none"/>
        </w:rPr>
        <w:t>20</w:t>
      </w:r>
      <w:r>
        <w:rPr>
          <w:rFonts w:hint="eastAsia" w:ascii="仿宋_GB2312" w:hAnsi="仿宋"/>
          <w:color w:val="000000"/>
          <w:szCs w:val="28"/>
          <w:highlight w:val="none"/>
        </w:rPr>
        <w:t>〕</w:t>
      </w:r>
      <w:r>
        <w:rPr>
          <w:rFonts w:ascii="仿宋_GB2312" w:hAnsi="仿宋"/>
          <w:color w:val="000000"/>
          <w:szCs w:val="28"/>
          <w:highlight w:val="none"/>
        </w:rPr>
        <w:t>10</w:t>
      </w:r>
      <w:r>
        <w:rPr>
          <w:rFonts w:hint="eastAsia" w:ascii="仿宋_GB2312" w:hAnsi="仿宋"/>
          <w:color w:val="000000"/>
          <w:szCs w:val="28"/>
          <w:highlight w:val="none"/>
        </w:rPr>
        <w:t>号）等文件要求，结合项目开展情况，按照“谁申请资金，谁编制目标”的原则和规定的方法、程序，科学合理编制。绩效目标作为对预期指标的细化和量化描述，主要包括产出指标、效益指标和成本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color w:val="000000"/>
          <w:szCs w:val="28"/>
          <w:highlight w:val="none"/>
        </w:rPr>
      </w:pPr>
      <w:r>
        <w:rPr>
          <w:rFonts w:hint="eastAsia" w:ascii="仿宋_GB2312" w:hAnsi="仿宋"/>
          <w:color w:val="000000"/>
          <w:szCs w:val="28"/>
          <w:highlight w:val="none"/>
        </w:rPr>
        <w:t>该项目为</w:t>
      </w:r>
      <w:r>
        <w:rPr>
          <w:rFonts w:ascii="仿宋_GB2312" w:hAnsi="仿宋"/>
          <w:color w:val="000000"/>
          <w:szCs w:val="28"/>
          <w:highlight w:val="none"/>
        </w:rPr>
        <w:t>当年一次性项目。</w:t>
      </w:r>
    </w:p>
    <w:p>
      <w:pPr>
        <w:spacing w:line="360" w:lineRule="auto"/>
        <w:ind w:firstLine="560"/>
        <w:rPr>
          <w:rFonts w:ascii="仿宋_GB2312"/>
          <w:color w:val="000000"/>
          <w:highlight w:val="none"/>
        </w:rPr>
      </w:pPr>
      <w:r>
        <w:rPr>
          <w:rFonts w:hint="eastAsia" w:ascii="仿宋_GB2312" w:hAnsi="仿宋"/>
          <w:color w:val="000000"/>
          <w:szCs w:val="28"/>
          <w:highlight w:val="none"/>
        </w:rPr>
        <w:t>该项目总目标：</w:t>
      </w:r>
      <w:r>
        <w:rPr>
          <w:rFonts w:hint="eastAsia" w:ascii="仿宋_GB2312"/>
          <w:color w:val="000000"/>
          <w:highlight w:val="none"/>
        </w:rPr>
        <w:t>项目拨付资金共128万元，用于实施科研项目、聘请研究生、完成人才培养、发表论文及发放个人补助，培养引进战略科学家、科技领军人才和创新团队，打造</w:t>
      </w:r>
      <w:r>
        <w:rPr>
          <w:rFonts w:hint="eastAsia" w:ascii="仿宋_GB2312"/>
          <w:color w:val="000000"/>
          <w:highlight w:val="none"/>
          <w:lang w:eastAsia="zh-CN"/>
        </w:rPr>
        <w:t>重大科技创新平台</w:t>
      </w:r>
      <w:r>
        <w:rPr>
          <w:rFonts w:hint="eastAsia" w:ascii="仿宋_GB2312"/>
          <w:color w:val="000000"/>
          <w:highlight w:val="none"/>
        </w:rPr>
        <w:t>以及建设区域人才高地，为加快推进中国式现代化的新疆实践积蓄新动能新优势，以更大力度服务于人才强国战略大局。2024年完成实施科研项目、发表论文5篇、聘请研究生5人；完成人才培养4人，分别为景芸、杨静、王晶、朱丽丽；发放个人补助共计7人，分别为帕力旦·吾布尔、邓德强、李婷、贺红梅、李敏、张春霞、朱雅。</w:t>
      </w:r>
    </w:p>
    <w:p>
      <w:pPr>
        <w:spacing w:line="360" w:lineRule="auto"/>
        <w:ind w:firstLine="560"/>
        <w:rPr>
          <w:rFonts w:ascii="仿宋_GB2312"/>
          <w:color w:val="000000"/>
          <w:highlight w:val="none"/>
        </w:rPr>
      </w:pPr>
      <w:r>
        <w:rPr>
          <w:rFonts w:hint="eastAsia" w:ascii="仿宋_GB2312" w:hAnsi="仿宋"/>
          <w:color w:val="000000"/>
          <w:szCs w:val="28"/>
          <w:highlight w:val="none"/>
        </w:rPr>
        <w:t>该项目年度绩效目标：</w:t>
      </w:r>
      <w:r>
        <w:rPr>
          <w:rFonts w:hint="eastAsia" w:ascii="仿宋_GB2312"/>
          <w:color w:val="000000"/>
          <w:highlight w:val="none"/>
        </w:rPr>
        <w:t>项目拨付资金共128万元，用于实施科研项目、聘请研究生、完成人才培养、发表论文及发放个人补助，培养引进战略科学家、科技领军人才和创新团队，打造</w:t>
      </w:r>
      <w:r>
        <w:rPr>
          <w:rFonts w:hint="eastAsia" w:ascii="仿宋_GB2312"/>
          <w:color w:val="000000"/>
          <w:highlight w:val="none"/>
          <w:lang w:eastAsia="zh-CN"/>
        </w:rPr>
        <w:t>重大科技创新平台</w:t>
      </w:r>
      <w:r>
        <w:rPr>
          <w:rFonts w:hint="eastAsia" w:ascii="仿宋_GB2312"/>
          <w:color w:val="000000"/>
          <w:highlight w:val="none"/>
        </w:rPr>
        <w:t>以及建设区域人才高地，为加快推进中国式现代化的新疆实践积蓄新动能新优势，以更大力度服务于人才强国战略大局。2024年完成实施科研项目、发表论文5篇、聘请研究生5人；完成人才培养4人，分别为景芸、杨静、王晶、朱丽丽；发放个人补助共计7人，分别为帕力旦·吾布尔、邓德强、李婷、贺红梅、李敏、张春霞、朱雅。</w:t>
      </w:r>
    </w:p>
    <w:p>
      <w:pPr>
        <w:spacing w:line="360" w:lineRule="auto"/>
        <w:ind w:firstLine="560"/>
        <w:rPr>
          <w:rFonts w:ascii="仿宋_GB2312"/>
          <w:color w:val="000000"/>
          <w:highlight w:val="none"/>
        </w:rPr>
      </w:pPr>
    </w:p>
    <w:p>
      <w:pPr>
        <w:spacing w:line="360" w:lineRule="auto"/>
        <w:ind w:firstLine="560"/>
        <w:rPr>
          <w:rFonts w:ascii="仿宋_GB2312" w:hAnsi="仿宋"/>
          <w:color w:val="000000"/>
          <w:szCs w:val="28"/>
          <w:highlight w:val="none"/>
        </w:rPr>
      </w:pPr>
    </w:p>
    <w:p>
      <w:pPr>
        <w:pStyle w:val="2"/>
        <w:ind w:firstLine="0" w:firstLineChars="0"/>
        <w:jc w:val="left"/>
        <w:rPr>
          <w:rFonts w:ascii="仿宋" w:hAnsi="仿宋" w:eastAsia="仿宋"/>
          <w:color w:val="000000"/>
          <w:sz w:val="36"/>
          <w:szCs w:val="36"/>
          <w:highlight w:val="none"/>
          <w:lang w:bidi="en-US"/>
        </w:rPr>
      </w:pPr>
      <w:bookmarkStart w:id="11" w:name="_Toc165277225"/>
      <w:bookmarkStart w:id="12" w:name="_Toc67911604"/>
      <w:r>
        <w:rPr>
          <w:rFonts w:hint="eastAsia" w:ascii="仿宋" w:hAnsi="仿宋" w:eastAsia="仿宋"/>
          <w:color w:val="000000"/>
          <w:sz w:val="36"/>
          <w:szCs w:val="36"/>
          <w:highlight w:val="none"/>
          <w:lang w:bidi="en-US"/>
        </w:rPr>
        <w:t>二、绩效评价工作开展情况</w:t>
      </w:r>
      <w:bookmarkEnd w:id="11"/>
      <w:bookmarkEnd w:id="12"/>
    </w:p>
    <w:p>
      <w:pPr>
        <w:pStyle w:val="3"/>
        <w:ind w:firstLine="643"/>
        <w:rPr>
          <w:rFonts w:ascii="仿宋" w:hAnsi="仿宋" w:eastAsia="仿宋"/>
          <w:color w:val="000000"/>
          <w:highlight w:val="none"/>
          <w:lang w:bidi="en-US"/>
        </w:rPr>
      </w:pPr>
      <w:bookmarkStart w:id="13" w:name="_Toc165277226"/>
      <w:bookmarkStart w:id="14" w:name="_Toc67911605"/>
      <w:r>
        <w:rPr>
          <w:rFonts w:hint="eastAsia" w:ascii="仿宋" w:hAnsi="仿宋" w:eastAsia="仿宋"/>
          <w:color w:val="000000"/>
          <w:highlight w:val="none"/>
          <w:lang w:bidi="en-US"/>
        </w:rPr>
        <w:t>（一）绩效评价目的、对象和范围</w:t>
      </w:r>
      <w:bookmarkEnd w:id="13"/>
      <w:bookmarkEnd w:id="14"/>
    </w:p>
    <w:p>
      <w:pPr>
        <w:pStyle w:val="4"/>
        <w:ind w:firstLine="643"/>
        <w:rPr>
          <w:color w:val="000000"/>
          <w:highlight w:val="none"/>
        </w:rPr>
      </w:pPr>
      <w:bookmarkStart w:id="15" w:name="_Toc165277227"/>
      <w:r>
        <w:rPr>
          <w:rFonts w:hint="eastAsia"/>
          <w:color w:val="000000"/>
          <w:highlight w:val="none"/>
        </w:rPr>
        <w:t>1</w:t>
      </w:r>
      <w:r>
        <w:rPr>
          <w:color w:val="000000"/>
          <w:highlight w:val="none"/>
        </w:rPr>
        <w:t>.绩效评价完整性</w:t>
      </w:r>
      <w:bookmarkEnd w:id="15"/>
    </w:p>
    <w:p>
      <w:pPr>
        <w:spacing w:line="360" w:lineRule="auto"/>
        <w:ind w:firstLine="840" w:firstLineChars="300"/>
        <w:rPr>
          <w:rFonts w:ascii="仿宋_GB2312" w:hAnsi="仿宋"/>
          <w:color w:val="000000"/>
          <w:szCs w:val="28"/>
          <w:highlight w:val="none"/>
        </w:rPr>
      </w:pPr>
      <w:r>
        <w:rPr>
          <w:rFonts w:ascii="仿宋_GB2312" w:hAnsi="仿宋"/>
          <w:color w:val="000000"/>
          <w:szCs w:val="28"/>
          <w:highlight w:val="none"/>
        </w:rPr>
        <w:t>项目</w:t>
      </w:r>
      <w:r>
        <w:rPr>
          <w:rFonts w:hint="eastAsia" w:ascii="仿宋_GB2312" w:hAnsi="仿宋"/>
          <w:color w:val="000000"/>
          <w:szCs w:val="28"/>
          <w:highlight w:val="none"/>
        </w:rPr>
        <w:t>的</w:t>
      </w:r>
      <w:r>
        <w:rPr>
          <w:rFonts w:ascii="仿宋_GB2312" w:hAnsi="仿宋"/>
          <w:color w:val="000000"/>
          <w:szCs w:val="28"/>
          <w:highlight w:val="none"/>
        </w:rPr>
        <w:t>目标</w:t>
      </w:r>
      <w:r>
        <w:rPr>
          <w:rFonts w:hint="eastAsia" w:ascii="仿宋_GB2312" w:hAnsi="仿宋"/>
          <w:color w:val="000000"/>
          <w:szCs w:val="28"/>
          <w:highlight w:val="none"/>
        </w:rPr>
        <w:t>是</w:t>
      </w:r>
      <w:r>
        <w:rPr>
          <w:rFonts w:ascii="仿宋_GB2312" w:hAnsi="仿宋"/>
          <w:color w:val="000000"/>
          <w:szCs w:val="28"/>
          <w:highlight w:val="none"/>
        </w:rPr>
        <w:t>由自治区和兵团本级财政共同筹集资金设立新疆人才发展基金，用于保障全区重点领域人才资源开发，实施重点人才计划</w:t>
      </w:r>
      <w:r>
        <w:rPr>
          <w:rFonts w:hint="eastAsia" w:ascii="仿宋_GB2312" w:hAnsi="仿宋"/>
          <w:color w:val="000000"/>
          <w:szCs w:val="28"/>
          <w:highlight w:val="none"/>
        </w:rPr>
        <w:t>，</w:t>
      </w:r>
      <w:r>
        <w:rPr>
          <w:rFonts w:ascii="仿宋_GB2312" w:hAnsi="仿宋"/>
          <w:color w:val="000000"/>
          <w:szCs w:val="28"/>
          <w:highlight w:val="none"/>
        </w:rPr>
        <w:t>用于天山英才培养计划5人，智力援疆创新拓展人才计划4人和两个团队，全方位培养引进用好留住人才，为自治区中医药事业的发展作出贡献聚焦人才发展，涵盖人才引进、培养、激励等核心环节</w:t>
      </w:r>
      <w:r>
        <w:rPr>
          <w:rFonts w:hint="eastAsia" w:ascii="仿宋_GB2312" w:hAnsi="仿宋"/>
          <w:color w:val="000000"/>
          <w:szCs w:val="28"/>
          <w:highlight w:val="none"/>
        </w:rPr>
        <w:t>。</w:t>
      </w:r>
    </w:p>
    <w:p>
      <w:pPr>
        <w:autoSpaceDE w:val="0"/>
        <w:spacing w:line="600" w:lineRule="exact"/>
        <w:ind w:firstLine="560"/>
        <w:rPr>
          <w:rFonts w:ascii="仿宋_GB2312" w:hAnsi="仿宋" w:cs="宋体"/>
          <w:color w:val="000000"/>
          <w:kern w:val="0"/>
          <w:szCs w:val="28"/>
          <w:highlight w:val="none"/>
        </w:rPr>
      </w:pPr>
      <w:r>
        <w:rPr>
          <w:rFonts w:ascii="仿宋_GB2312" w:hAnsi="仿宋"/>
          <w:color w:val="000000"/>
          <w:szCs w:val="28"/>
          <w:highlight w:val="none"/>
        </w:rPr>
        <w:t>评价指标体系围绕这些目标设置，能全面体现项目的目标、范围和要求。</w:t>
      </w:r>
      <w:r>
        <w:rPr>
          <w:rFonts w:hint="eastAsia" w:ascii="仿宋_GB2312" w:hAnsi="仿宋" w:cs="宋体"/>
          <w:color w:val="000000"/>
          <w:kern w:val="0"/>
          <w:szCs w:val="28"/>
          <w:highlight w:val="none"/>
        </w:rPr>
        <w:t>各项指标均能在现实条件下收集到相关数据进行佐证，科研论文发表数量通过提供实际发表的省级以上论文原稿作为佐证；聘请研究或专家人数通过实际签订聘请合同作为佐证材料；人才培养完成率提供情况人才培养名单和说明加以佐证；项目的投入标准提供财务明细账；中医药服务能力业务水平提供情况说明；并与当年项目年度计划相对应。评价数据来源于项目申报材料、财务账目、培训记录等，采集过程严格遵循相关规定，确保数据准确、完整并与当年项目年度计划相对应，项目</w:t>
      </w:r>
      <w:r>
        <w:rPr>
          <w:rFonts w:ascii="仿宋_GB2312" w:hAnsi="仿宋" w:cs="宋体"/>
          <w:color w:val="000000"/>
          <w:kern w:val="0"/>
          <w:szCs w:val="28"/>
          <w:highlight w:val="none"/>
        </w:rPr>
        <w:t>评价流程具有完整性</w:t>
      </w:r>
      <w:r>
        <w:rPr>
          <w:rFonts w:hint="eastAsia" w:ascii="仿宋_GB2312" w:hAnsi="仿宋" w:cs="宋体"/>
          <w:color w:val="000000"/>
          <w:kern w:val="0"/>
          <w:szCs w:val="28"/>
          <w:highlight w:val="none"/>
        </w:rPr>
        <w:t>。</w:t>
      </w:r>
    </w:p>
    <w:p>
      <w:pPr>
        <w:pStyle w:val="4"/>
        <w:ind w:firstLine="643"/>
        <w:rPr>
          <w:color w:val="000000"/>
          <w:highlight w:val="none"/>
        </w:rPr>
      </w:pPr>
      <w:bookmarkStart w:id="16" w:name="_Toc165277228"/>
      <w:r>
        <w:rPr>
          <w:color w:val="000000"/>
          <w:highlight w:val="none"/>
        </w:rPr>
        <w:t>2</w:t>
      </w:r>
      <w:r>
        <w:rPr>
          <w:rFonts w:hint="eastAsia"/>
          <w:color w:val="000000"/>
          <w:highlight w:val="none"/>
        </w:rPr>
        <w:t>.评价目的</w:t>
      </w:r>
      <w:bookmarkEnd w:id="16"/>
    </w:p>
    <w:p>
      <w:pPr>
        <w:spacing w:line="360" w:lineRule="auto"/>
        <w:ind w:firstLine="560"/>
        <w:rPr>
          <w:rFonts w:ascii="仿宋_GB2312"/>
          <w:color w:val="000000"/>
          <w:highlight w:val="none"/>
        </w:rPr>
      </w:pPr>
      <w:r>
        <w:rPr>
          <w:rFonts w:hint="eastAsia" w:ascii="仿宋_GB2312"/>
          <w:color w:val="000000"/>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关于拨付新疆人才发展基金2024年度第一轮支持资金的通知》</w:t>
      </w:r>
      <w:r>
        <w:rPr>
          <w:rFonts w:ascii="仿宋_GB2312"/>
          <w:color w:val="000000"/>
          <w:highlight w:val="none"/>
        </w:rPr>
        <w:t>项目的</w:t>
      </w:r>
      <w:r>
        <w:rPr>
          <w:rFonts w:hint="eastAsia" w:ascii="仿宋_GB2312"/>
          <w:color w:val="000000"/>
          <w:highlight w:val="none"/>
        </w:rPr>
        <w:t>实施情况，并考察项目实施过程和效果。</w:t>
      </w:r>
    </w:p>
    <w:p>
      <w:pPr>
        <w:spacing w:line="360" w:lineRule="auto"/>
        <w:ind w:firstLine="560"/>
        <w:rPr>
          <w:rFonts w:ascii="仿宋_GB2312"/>
          <w:b/>
          <w:bCs/>
          <w:color w:val="000000"/>
          <w:highlight w:val="none"/>
        </w:rPr>
      </w:pPr>
      <w:r>
        <w:rPr>
          <w:rFonts w:hint="eastAsia" w:ascii="仿宋_GB2312"/>
          <w:color w:val="000000"/>
          <w:highlight w:val="none"/>
        </w:rPr>
        <w:t>（2）通过评价，客观公正反映项目立项科学性、项目管理规范性、项目实施有效性和项目效果，总结项目实施的经验，发现项目实施过程中存在的问题，提高财政资金使用效益。</w:t>
      </w:r>
    </w:p>
    <w:p>
      <w:pPr>
        <w:pStyle w:val="4"/>
        <w:ind w:firstLine="643"/>
        <w:rPr>
          <w:color w:val="000000"/>
          <w:highlight w:val="none"/>
        </w:rPr>
      </w:pPr>
      <w:bookmarkStart w:id="17" w:name="_Toc165277229"/>
      <w:r>
        <w:rPr>
          <w:color w:val="000000"/>
          <w:highlight w:val="none"/>
        </w:rPr>
        <w:t>3</w:t>
      </w:r>
      <w:r>
        <w:rPr>
          <w:rFonts w:hint="eastAsia"/>
          <w:color w:val="000000"/>
          <w:highlight w:val="none"/>
        </w:rPr>
        <w:t>.评价对象</w:t>
      </w:r>
      <w:bookmarkEnd w:id="17"/>
    </w:p>
    <w:p>
      <w:pPr>
        <w:spacing w:line="360" w:lineRule="auto"/>
        <w:ind w:firstLine="560"/>
        <w:rPr>
          <w:rFonts w:ascii="仿宋_GB2312"/>
          <w:color w:val="000000"/>
          <w:highlight w:val="none"/>
        </w:rPr>
      </w:pPr>
      <w:r>
        <w:rPr>
          <w:rFonts w:hint="eastAsia" w:ascii="仿宋_GB2312"/>
          <w:color w:val="000000"/>
          <w:highlight w:val="none"/>
        </w:rPr>
        <w:t>（1）绩效评价的对象：《关于拨付新疆人才发展基金2024年度第一轮支持资金的通知》项目</w:t>
      </w:r>
      <w:r>
        <w:rPr>
          <w:rFonts w:ascii="仿宋_GB2312"/>
          <w:color w:val="000000"/>
          <w:highlight w:val="none"/>
        </w:rPr>
        <w:t xml:space="preserve"> </w:t>
      </w:r>
    </w:p>
    <w:p>
      <w:pPr>
        <w:pStyle w:val="4"/>
        <w:ind w:firstLine="643"/>
        <w:rPr>
          <w:color w:val="000000"/>
          <w:highlight w:val="none"/>
        </w:rPr>
      </w:pPr>
      <w:bookmarkStart w:id="18" w:name="_Toc165277230"/>
      <w:r>
        <w:rPr>
          <w:rFonts w:hint="eastAsia"/>
          <w:color w:val="000000"/>
          <w:highlight w:val="none"/>
        </w:rPr>
        <w:t>4</w:t>
      </w:r>
      <w:r>
        <w:rPr>
          <w:color w:val="000000"/>
          <w:highlight w:val="none"/>
        </w:rPr>
        <w:t>.</w:t>
      </w:r>
      <w:r>
        <w:rPr>
          <w:rFonts w:hint="eastAsia"/>
          <w:color w:val="000000"/>
          <w:highlight w:val="none"/>
        </w:rPr>
        <w:t>绩效评价范围</w:t>
      </w:r>
      <w:bookmarkEnd w:id="18"/>
    </w:p>
    <w:p>
      <w:pPr>
        <w:spacing w:line="360" w:lineRule="auto"/>
        <w:ind w:firstLine="560"/>
        <w:rPr>
          <w:rFonts w:ascii="仿宋_GB2312"/>
          <w:color w:val="000000"/>
          <w:highlight w:val="none"/>
        </w:rPr>
      </w:pPr>
      <w:r>
        <w:rPr>
          <w:rFonts w:ascii="仿宋_GB2312"/>
          <w:color w:val="000000"/>
          <w:highlight w:val="none"/>
        </w:rPr>
        <w:t>1.</w:t>
      </w:r>
      <w:r>
        <w:rPr>
          <w:rFonts w:hint="eastAsia" w:ascii="仿宋_GB2312"/>
          <w:color w:val="000000"/>
          <w:highlight w:val="none"/>
        </w:rPr>
        <w:t>时间范围：2024年1月1日至2024年1</w:t>
      </w:r>
      <w:r>
        <w:rPr>
          <w:rFonts w:ascii="仿宋_GB2312"/>
          <w:color w:val="000000"/>
          <w:highlight w:val="none"/>
        </w:rPr>
        <w:t>2</w:t>
      </w:r>
      <w:r>
        <w:rPr>
          <w:rFonts w:hint="eastAsia" w:ascii="仿宋_GB2312"/>
          <w:color w:val="000000"/>
          <w:highlight w:val="none"/>
        </w:rPr>
        <w:t>月3</w:t>
      </w:r>
      <w:r>
        <w:rPr>
          <w:rFonts w:ascii="仿宋_GB2312"/>
          <w:color w:val="000000"/>
          <w:highlight w:val="none"/>
        </w:rPr>
        <w:t>1</w:t>
      </w:r>
      <w:r>
        <w:rPr>
          <w:rFonts w:hint="eastAsia" w:ascii="仿宋_GB2312"/>
          <w:color w:val="000000"/>
          <w:highlight w:val="none"/>
        </w:rPr>
        <w:t>日。</w:t>
      </w:r>
    </w:p>
    <w:p>
      <w:pPr>
        <w:spacing w:line="360" w:lineRule="auto"/>
        <w:ind w:firstLine="560"/>
        <w:rPr>
          <w:rFonts w:ascii="仿宋_GB2312"/>
          <w:color w:val="000000"/>
          <w:highlight w:val="none"/>
        </w:rPr>
      </w:pPr>
      <w:r>
        <w:rPr>
          <w:rFonts w:ascii="仿宋_GB2312"/>
          <w:color w:val="000000"/>
          <w:highlight w:val="none"/>
        </w:rPr>
        <w:t>2.</w:t>
      </w:r>
      <w:r>
        <w:rPr>
          <w:rFonts w:hint="eastAsia" w:ascii="仿宋_GB2312"/>
          <w:color w:val="000000"/>
          <w:highlight w:val="none"/>
        </w:rPr>
        <w:t>项目范围：关于拨付新疆人才发展基金2024年度第一轮支持资金的通知项目拨付资金共128万元，用于实施科研项目、聘请研究生、完成人才培养、发表论文及发放个人补助。2024年完成实施科研项目、发表论文5篇、聘请研究生5人；完成人才培养4人，分别为景芸、杨静、王晶、朱丽丽；发放个人补助共计7人，分别为帕力旦·吾布尔、邓德强、李婷、贺红梅、李敏、张春霞、朱雅。项目在推动人才队伍建设、促进产业发展等方面取得了一定成效，初步构建了引才、育才、留才的政策与服务体系。然而项目实施过程中人才留存、资金管理、培养体系等方面暴露出短板，需在后续工作中针对薄弱环节精准实施，持续优化完善，以提升人才发展基金使用效益和人才工作质量。综上</w:t>
      </w:r>
      <w:r>
        <w:rPr>
          <w:rFonts w:ascii="仿宋_GB2312"/>
          <w:color w:val="000000"/>
          <w:highlight w:val="none"/>
        </w:rPr>
        <w:t>，</w:t>
      </w:r>
      <w:r>
        <w:rPr>
          <w:rFonts w:hint="eastAsia" w:ascii="仿宋_GB2312"/>
          <w:color w:val="000000"/>
          <w:highlight w:val="none"/>
        </w:rPr>
        <w:t>项目完成情况较好，最终得分99.21。</w:t>
      </w:r>
    </w:p>
    <w:p>
      <w:pPr>
        <w:spacing w:line="360" w:lineRule="auto"/>
        <w:ind w:firstLine="560"/>
        <w:rPr>
          <w:rFonts w:ascii="仿宋_GB2312"/>
          <w:color w:val="000000"/>
          <w:highlight w:val="none"/>
        </w:rPr>
      </w:pPr>
    </w:p>
    <w:p>
      <w:pPr>
        <w:pStyle w:val="3"/>
        <w:ind w:firstLine="643"/>
        <w:rPr>
          <w:rFonts w:ascii="仿宋" w:hAnsi="仿宋" w:eastAsia="仿宋"/>
          <w:color w:val="000000"/>
          <w:highlight w:val="none"/>
          <w:lang w:bidi="en-US"/>
        </w:rPr>
      </w:pPr>
      <w:bookmarkStart w:id="19" w:name="_Toc67911606"/>
      <w:bookmarkStart w:id="20" w:name="_Toc165277231"/>
      <w:bookmarkStart w:id="21" w:name="_Hlk67586765"/>
      <w:r>
        <w:rPr>
          <w:rFonts w:hint="eastAsia" w:ascii="仿宋" w:hAnsi="仿宋" w:eastAsia="仿宋"/>
          <w:color w:val="000000"/>
          <w:highlight w:val="none"/>
          <w:lang w:bidi="en-US"/>
        </w:rPr>
        <w:t>（二）绩效评价原则、指标体系、方法及标准</w:t>
      </w:r>
      <w:bookmarkEnd w:id="19"/>
      <w:bookmarkEnd w:id="20"/>
    </w:p>
    <w:bookmarkEnd w:id="21"/>
    <w:p>
      <w:pPr>
        <w:pStyle w:val="4"/>
        <w:ind w:firstLine="643"/>
        <w:rPr>
          <w:color w:val="000000"/>
          <w:highlight w:val="none"/>
        </w:rPr>
      </w:pPr>
      <w:bookmarkStart w:id="22" w:name="_Toc165277232"/>
      <w:r>
        <w:rPr>
          <w:rFonts w:hint="eastAsia"/>
          <w:color w:val="000000"/>
          <w:highlight w:val="none"/>
        </w:rPr>
        <w:t>1</w:t>
      </w:r>
      <w:r>
        <w:rPr>
          <w:color w:val="000000"/>
          <w:highlight w:val="none"/>
        </w:rPr>
        <w:t>.</w:t>
      </w:r>
      <w:r>
        <w:rPr>
          <w:rFonts w:hint="eastAsia"/>
          <w:color w:val="000000"/>
          <w:highlight w:val="none"/>
        </w:rPr>
        <w:t>评价原则</w:t>
      </w:r>
      <w:bookmarkEnd w:id="22"/>
    </w:p>
    <w:p>
      <w:pPr>
        <w:spacing w:line="600" w:lineRule="exact"/>
        <w:ind w:firstLine="560"/>
        <w:rPr>
          <w:rFonts w:ascii="仿宋_GB2312"/>
          <w:bCs/>
          <w:color w:val="000000"/>
          <w:szCs w:val="28"/>
          <w:highlight w:val="none"/>
        </w:rPr>
      </w:pPr>
      <w:r>
        <w:rPr>
          <w:rFonts w:hint="eastAsia" w:ascii="仿宋_GB2312"/>
          <w:bCs/>
          <w:color w:val="000000"/>
          <w:szCs w:val="28"/>
          <w:highlight w:val="none"/>
        </w:rPr>
        <w:t>（一）科学公正。绩效评价应当运用科学合理的方法，按照规范的程序，对项目绩效进行客观、公正</w:t>
      </w:r>
      <w:r>
        <w:rPr>
          <w:rFonts w:hint="eastAsia" w:ascii="仿宋_GB2312"/>
          <w:bCs/>
          <w:color w:val="000000"/>
          <w:szCs w:val="28"/>
          <w:highlight w:val="none"/>
          <w:lang w:eastAsia="zh-CN"/>
        </w:rPr>
        <w:t>地</w:t>
      </w:r>
      <w:r>
        <w:rPr>
          <w:rFonts w:hint="eastAsia" w:ascii="仿宋_GB2312"/>
          <w:bCs/>
          <w:color w:val="000000"/>
          <w:szCs w:val="28"/>
          <w:highlight w:val="none"/>
        </w:rPr>
        <w:t>反映。</w:t>
      </w:r>
    </w:p>
    <w:p>
      <w:pPr>
        <w:spacing w:line="600" w:lineRule="exact"/>
        <w:ind w:firstLine="560"/>
        <w:rPr>
          <w:rFonts w:ascii="仿宋_GB2312"/>
          <w:bCs/>
          <w:color w:val="000000"/>
          <w:szCs w:val="28"/>
          <w:highlight w:val="none"/>
        </w:rPr>
      </w:pPr>
      <w:r>
        <w:rPr>
          <w:rFonts w:hint="eastAsia" w:ascii="仿宋_GB2312"/>
          <w:bCs/>
          <w:color w:val="000000"/>
          <w:szCs w:val="28"/>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560"/>
        <w:rPr>
          <w:rFonts w:ascii="仿宋_GB2312"/>
          <w:bCs/>
          <w:color w:val="000000"/>
          <w:szCs w:val="28"/>
          <w:highlight w:val="none"/>
        </w:rPr>
      </w:pPr>
      <w:r>
        <w:rPr>
          <w:rFonts w:hint="eastAsia" w:ascii="仿宋_GB2312"/>
          <w:bCs/>
          <w:color w:val="000000"/>
          <w:szCs w:val="28"/>
          <w:highlight w:val="none"/>
        </w:rPr>
        <w:t>（三）激励约束。绩效评价结果应与预算安排、政策调整、改进管理实质性挂钩，体现奖优罚劣和激励相容导向，有效要安排、低效要压减、无效要问责。</w:t>
      </w:r>
    </w:p>
    <w:p>
      <w:pPr>
        <w:spacing w:line="600" w:lineRule="exact"/>
        <w:ind w:firstLine="560"/>
        <w:rPr>
          <w:rFonts w:ascii="仿宋_GB2312"/>
          <w:bCs/>
          <w:color w:val="000000"/>
          <w:szCs w:val="28"/>
          <w:highlight w:val="none"/>
        </w:rPr>
      </w:pPr>
      <w:r>
        <w:rPr>
          <w:rFonts w:hint="eastAsia" w:ascii="仿宋_GB2312"/>
          <w:bCs/>
          <w:color w:val="000000"/>
          <w:szCs w:val="28"/>
          <w:highlight w:val="none"/>
        </w:rPr>
        <w:t>（四）公开透明。绩效评价结果应依法依规公开，并自觉接受社会监督。</w:t>
      </w:r>
    </w:p>
    <w:p>
      <w:pPr>
        <w:pStyle w:val="4"/>
        <w:ind w:firstLine="643"/>
        <w:rPr>
          <w:color w:val="000000"/>
          <w:highlight w:val="none"/>
        </w:rPr>
      </w:pPr>
      <w:bookmarkStart w:id="23" w:name="_Toc165277233"/>
      <w:r>
        <w:rPr>
          <w:color w:val="000000"/>
          <w:highlight w:val="none"/>
        </w:rPr>
        <w:t>2.</w:t>
      </w:r>
      <w:r>
        <w:rPr>
          <w:rFonts w:hint="eastAsia"/>
          <w:color w:val="000000"/>
          <w:highlight w:val="none"/>
        </w:rPr>
        <w:t>评价指标体系</w:t>
      </w:r>
      <w:bookmarkEnd w:id="23"/>
    </w:p>
    <w:p>
      <w:pPr>
        <w:spacing w:line="360" w:lineRule="auto"/>
        <w:ind w:firstLine="560"/>
        <w:rPr>
          <w:rFonts w:ascii="仿宋_GB2312"/>
          <w:color w:val="000000"/>
          <w:highlight w:val="none"/>
        </w:rPr>
      </w:pPr>
      <w:r>
        <w:rPr>
          <w:rFonts w:hint="eastAsia" w:ascii="仿宋_GB2312"/>
          <w:color w:val="000000"/>
          <w:highlight w:val="none"/>
        </w:rPr>
        <w:t>绩效评价指标体系作为衡量绩效目标实现程度的考核工具，一般遵循以下原则：</w:t>
      </w:r>
    </w:p>
    <w:p>
      <w:pPr>
        <w:spacing w:line="360" w:lineRule="auto"/>
        <w:ind w:firstLine="560"/>
        <w:rPr>
          <w:rFonts w:ascii="仿宋_GB2312"/>
          <w:color w:val="000000"/>
          <w:highlight w:val="none"/>
        </w:rPr>
      </w:pPr>
      <w:r>
        <w:rPr>
          <w:rFonts w:hint="eastAsia" w:ascii="仿宋_GB2312"/>
          <w:color w:val="000000"/>
          <w:highlight w:val="none"/>
        </w:rPr>
        <w:t>（1）相关性原则：绩效评价指标应当与绩效目标有直接的联系，能够恰当反映目标的实现程度。</w:t>
      </w:r>
    </w:p>
    <w:p>
      <w:pPr>
        <w:spacing w:line="360" w:lineRule="auto"/>
        <w:ind w:firstLine="560"/>
        <w:rPr>
          <w:rFonts w:ascii="仿宋_GB2312"/>
          <w:color w:val="000000"/>
          <w:highlight w:val="none"/>
        </w:rPr>
      </w:pPr>
      <w:r>
        <w:rPr>
          <w:rFonts w:hint="eastAsia" w:ascii="仿宋_GB2312"/>
          <w:color w:val="000000"/>
          <w:highlight w:val="none"/>
        </w:rPr>
        <w:t>（2）重要性原则：应当优先使用最具评价对象代表性、最能反映评价要求的核心指标。</w:t>
      </w:r>
    </w:p>
    <w:p>
      <w:pPr>
        <w:spacing w:line="360" w:lineRule="auto"/>
        <w:ind w:firstLine="560"/>
        <w:rPr>
          <w:rFonts w:ascii="仿宋_GB2312"/>
          <w:color w:val="000000"/>
          <w:highlight w:val="none"/>
        </w:rPr>
      </w:pPr>
      <w:r>
        <w:rPr>
          <w:rFonts w:hint="eastAsia" w:ascii="仿宋_GB2312"/>
          <w:color w:val="000000"/>
          <w:highlight w:val="none"/>
        </w:rPr>
        <w:t>（3）可比性原则：对同类评价对象要设定共性的绩效评价指标，以便于评价结果可以相互比较。</w:t>
      </w:r>
    </w:p>
    <w:p>
      <w:pPr>
        <w:spacing w:line="360" w:lineRule="auto"/>
        <w:ind w:firstLine="560"/>
        <w:rPr>
          <w:rFonts w:ascii="仿宋_GB2312"/>
          <w:color w:val="000000"/>
          <w:highlight w:val="none"/>
        </w:rPr>
      </w:pPr>
      <w:r>
        <w:rPr>
          <w:rFonts w:hint="eastAsia" w:ascii="仿宋_GB2312"/>
          <w:color w:val="000000"/>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000000"/>
          <w:highlight w:val="none"/>
        </w:rPr>
      </w:pPr>
      <w:r>
        <w:rPr>
          <w:rFonts w:hint="eastAsia" w:ascii="仿宋_GB2312"/>
          <w:color w:val="000000"/>
          <w:highlight w:val="none"/>
        </w:rPr>
        <w:t>（5）经济性原则：绩效评价指标设计应当通俗易懂、简便易行，数据的获得应当考虑现实条件和可操作性，符合成本效益原则。</w:t>
      </w:r>
    </w:p>
    <w:p>
      <w:pPr>
        <w:spacing w:line="360" w:lineRule="auto"/>
        <w:ind w:firstLine="560"/>
        <w:rPr>
          <w:rFonts w:ascii="仿宋_GB2312"/>
          <w:color w:val="000000"/>
          <w:highlight w:val="none"/>
        </w:rPr>
      </w:pPr>
      <w:r>
        <w:rPr>
          <w:rFonts w:hint="eastAsia" w:ascii="仿宋_GB2312"/>
          <w:color w:val="000000"/>
          <w:highlight w:val="none"/>
        </w:rPr>
        <w:t>本项目的评价指标体系建立如下表所示。</w:t>
      </w: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pPr>
    </w:p>
    <w:p>
      <w:pPr>
        <w:spacing w:line="360" w:lineRule="auto"/>
        <w:ind w:firstLine="560"/>
        <w:rPr>
          <w:rFonts w:ascii="仿宋_GB2312"/>
          <w:color w:val="000000"/>
          <w:highlight w:val="none"/>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720" w:num="1"/>
          <w:docGrid w:type="lines" w:linePitch="381"/>
        </w:sectPr>
      </w:pPr>
    </w:p>
    <w:p>
      <w:pPr>
        <w:spacing w:line="360" w:lineRule="auto"/>
        <w:ind w:firstLine="0" w:firstLineChars="0"/>
        <w:jc w:val="center"/>
        <w:rPr>
          <w:rFonts w:ascii="仿宋_GB2312"/>
          <w:b/>
          <w:bCs/>
          <w:color w:val="000000"/>
          <w:highlight w:val="none"/>
        </w:rPr>
      </w:pPr>
      <w:r>
        <w:rPr>
          <w:rFonts w:ascii="仿宋_GB2312"/>
          <w:b/>
          <w:bCs/>
          <w:color w:val="000000"/>
          <w:highlight w:val="none"/>
        </w:rPr>
        <w:t xml:space="preserve">  </w:t>
      </w:r>
      <w:r>
        <w:rPr>
          <w:rFonts w:hint="eastAsia" w:ascii="仿宋_GB2312"/>
          <w:b/>
          <w:bCs/>
          <w:color w:val="000000"/>
          <w:highlight w:val="none"/>
        </w:rPr>
        <w:t>项目支出绩效评价指标体系</w:t>
      </w:r>
    </w:p>
    <w:tbl>
      <w:tblPr>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rPr>
          <w:trHeight w:val="692" w:hRule="atLeast"/>
          <w:tblHeader/>
          <w:jc w:val="center"/>
        </w:trPr>
        <w:tc>
          <w:tcPr>
            <w:tcW w:w="1155"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一级指标</w:t>
            </w:r>
          </w:p>
        </w:tc>
        <w:tc>
          <w:tcPr>
            <w:tcW w:w="119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二级指标</w:t>
            </w:r>
          </w:p>
        </w:tc>
        <w:tc>
          <w:tcPr>
            <w:tcW w:w="141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三级指标</w:t>
            </w:r>
          </w:p>
        </w:tc>
        <w:tc>
          <w:tcPr>
            <w:tcW w:w="2789"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指标解释</w:t>
            </w:r>
          </w:p>
        </w:tc>
        <w:tc>
          <w:tcPr>
            <w:tcW w:w="7341" w:type="dxa"/>
            <w:tcBorders>
              <w:tl2br w:val="nil"/>
              <w:tr2bl w:val="nil"/>
            </w:tcBorders>
            <w:shd w:val="clear" w:color="auto" w:fill="D0CECE"/>
            <w:vAlign w:val="center"/>
          </w:tcPr>
          <w:p>
            <w:pPr>
              <w:widowControl/>
              <w:ind w:firstLine="0" w:firstLineChars="0"/>
              <w:jc w:val="center"/>
              <w:rPr>
                <w:rFonts w:ascii="宋体" w:hAnsi="宋体" w:eastAsia="宋体" w:cs="宋体"/>
                <w:b/>
                <w:bCs/>
                <w:color w:val="000000"/>
                <w:kern w:val="0"/>
                <w:sz w:val="22"/>
                <w:highlight w:val="none"/>
              </w:rPr>
            </w:pPr>
            <w:r>
              <w:rPr>
                <w:rFonts w:hint="eastAsia" w:ascii="宋体" w:hAnsi="宋体" w:eastAsia="宋体" w:cs="宋体"/>
                <w:b/>
                <w:bCs/>
                <w:color w:val="000000"/>
                <w:kern w:val="0"/>
                <w:sz w:val="22"/>
                <w:highlight w:val="none"/>
              </w:rPr>
              <w:t>指标说明</w:t>
            </w:r>
          </w:p>
        </w:tc>
      </w:tr>
      <w:tr>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立项依据</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①项目立项是否符合国家法律法规、国民经济发展规划和相关政策；</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②项目立项是否符合行业发展规划和政策要求；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③项目立项是否与部门职责范围相符，属于部门履职所需；</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④项目是否属于公共财政支持范围，是否符合中央、地方事权支出责任划分原则；</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⑤项目是否与相关部门同类项目或部门内部相关项目重复。</w:t>
            </w:r>
          </w:p>
        </w:tc>
      </w:tr>
      <w:tr>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立项程序</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①项目是否按照规定的程序申请设立；</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②审批文件、材料是否符合相关要求；</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③事前是否已经过必要的可行性研究、专家论证、风险评估、绩效评估、集体决策。</w:t>
            </w:r>
          </w:p>
        </w:tc>
      </w:tr>
      <w:tr>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（如未设定预算绩效目标，也可考核其他工作任务目标）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①项目是否有绩效目标；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②项目绩效目标与实际工作内容是否具有相关性；</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③项目预期产出效益和效果是否符合正常的业绩水平；</w:t>
            </w:r>
          </w:p>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④是否与预算确定的项目投资额或资金量相匹配。</w:t>
            </w:r>
          </w:p>
        </w:tc>
      </w:tr>
      <w:tr>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绩效指标</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①是否将项目绩效目标细化分解为具体的绩效指标；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②是否通过清晰、可衡量的指标值予以体现；</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③是否与项目目标任务数或计划数相对应。</w:t>
            </w:r>
            <w:r>
              <w:rPr>
                <w:rFonts w:hint="eastAsia" w:ascii="宋体" w:hAnsi="宋体" w:eastAsia="宋体" w:cs="宋体"/>
                <w:color w:val="000000"/>
                <w:kern w:val="0"/>
                <w:sz w:val="22"/>
                <w:highlight w:val="none"/>
              </w:rPr>
              <w:br/>
            </w:r>
          </w:p>
        </w:tc>
      </w:tr>
      <w:tr>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预算编制</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①预算编制是否经过科学论证；</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②预算内容与项目内容是否匹配；</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③预算额度测算依据是否充分，是否按照标准编制；</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④预算确定的项目投资额或资金量是否与工作任务相匹配。</w:t>
            </w:r>
          </w:p>
        </w:tc>
      </w:tr>
      <w:tr>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资金分配</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①预算资金分配依据是否充分；</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②资金分配额度是否合理，与项目单位或地方实际是否相适应。</w:t>
            </w:r>
          </w:p>
        </w:tc>
      </w:tr>
      <w:tr>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资金到位率=（实际到位资金/预算资金）×100%。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实际到位资金：一定时期（本年度或项目期）内落实到具体项目的资金。</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预算资金：一定时期（本年度或项目期）内预算安排到具体项目的资金。</w:t>
            </w:r>
          </w:p>
        </w:tc>
      </w:tr>
      <w:tr>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预算执行率=（实际支出资金/实际到位资金）×100%。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实际支出资金：一定时期（本年度或项目期）内项目实际拨付的资金。</w:t>
            </w:r>
          </w:p>
        </w:tc>
      </w:tr>
      <w:tr>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资金使用</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①是否符合国家财经法规和财务管理制度以及有关专项资金管理办法的规定；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②资金的拨付是否有完整的审批程序和手续；</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③是否符合项目预算批复或合同规定的用途；</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④是否存在截留、挤占、挪用、虚列支出等情况。</w:t>
            </w:r>
          </w:p>
        </w:tc>
      </w:tr>
      <w:tr>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管理制度</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①是否已制定或具有相应的财务和业务管理制度；</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②财务和业务管理制度是否合法、合规、完整。</w:t>
            </w:r>
          </w:p>
        </w:tc>
      </w:tr>
      <w:tr>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制度执行</w:t>
            </w:r>
          </w:p>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评价要点：</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①是否遵守相关法律法规和相关管理规定；</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②项目调整及支出调整手续是否完备；</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③项目合同书、验收报告、技术鉴定等资料是否齐全并及时归档；</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④项目实施的人员条件、场地设备、信息支撑等是否落实到位。</w:t>
            </w:r>
          </w:p>
        </w:tc>
      </w:tr>
      <w:tr>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1"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科研项目论文</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实际完成率=（实际产出数/计划产出数）×100%。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实际产出数：一定时期（本年度或项目期）内项目实际产出的产品或提供的服务数量。</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计划产出数：项目绩效目标确定的在一定时期（本年度或项目期）内计划产出的产品或提供的服务数量。</w:t>
            </w:r>
          </w:p>
        </w:tc>
      </w:tr>
      <w:tr>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聘请研究生或专家完</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r>
      <w:tr>
        <w:trPr>
          <w:trHeight w:val="54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人才培养人数</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r>
      <w:tr>
        <w:trPr>
          <w:trHeight w:val="81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411" w:type="dxa"/>
            <w:tcBorders>
              <w:tl2br w:val="nil"/>
              <w:tr2bl w:val="nil"/>
            </w:tcBorders>
            <w:shd w:val="clear" w:color="auto" w:fill="FFFFFF"/>
            <w:vAlign w:val="top"/>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个人补助人数</w:t>
            </w:r>
          </w:p>
        </w:tc>
        <w:tc>
          <w:tcPr>
            <w:tcW w:w="2789"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r>
      <w:tr>
        <w:trPr>
          <w:trHeight w:val="1571"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人才培养完成率</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质量达标率=（质量达标产出数/实际产出数）×100%。</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rPr>
          <w:trHeight w:val="68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科研论文等级</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p>
        </w:tc>
      </w:tr>
      <w:tr>
        <w:trPr>
          <w:trHeight w:val="1571"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项目完成及时率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实际完成时间：项目实施单位完成该项目实际所耗用的时间。</w:t>
            </w:r>
          </w:p>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计划完成时间：按照项目实施计划或相关规定完成该项目所需的时间。</w:t>
            </w:r>
          </w:p>
        </w:tc>
      </w:tr>
      <w:tr>
        <w:trPr>
          <w:trHeight w:val="77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实验材料及论文费</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成本节约率=[（计划成本-实际成本）/计划成本]×100%。</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实际成本：项目实施单位如期、保质、保量完成既定工作目标实际所耗费的支出。</w:t>
            </w:r>
            <w:r>
              <w:rPr>
                <w:rFonts w:hint="eastAsia" w:ascii="宋体" w:hAnsi="宋体" w:eastAsia="宋体" w:cs="宋体"/>
                <w:color w:val="000000"/>
                <w:kern w:val="0"/>
                <w:sz w:val="22"/>
                <w:highlight w:val="none"/>
              </w:rPr>
              <w:br/>
            </w:r>
            <w:r>
              <w:rPr>
                <w:rFonts w:hint="eastAsia" w:ascii="宋体" w:hAnsi="宋体" w:eastAsia="宋体" w:cs="宋体"/>
                <w:color w:val="000000"/>
                <w:kern w:val="0"/>
                <w:sz w:val="22"/>
                <w:highlight w:val="none"/>
              </w:rPr>
              <w:t>计划成本：项目实施单位为完成工作目标计划安排的支出，一般以项目预算为参考。</w:t>
            </w:r>
          </w:p>
        </w:tc>
      </w:tr>
      <w:tr>
        <w:trPr>
          <w:trHeight w:val="77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411" w:type="dxa"/>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劳务费</w:t>
            </w:r>
          </w:p>
        </w:tc>
        <w:tc>
          <w:tcPr>
            <w:tcW w:w="2789"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highlight w:val="none"/>
              </w:rPr>
            </w:pPr>
          </w:p>
        </w:tc>
      </w:tr>
      <w:tr>
        <w:trPr>
          <w:trHeight w:val="77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培训及差旅费</w:t>
            </w:r>
          </w:p>
        </w:tc>
        <w:tc>
          <w:tcPr>
            <w:tcW w:w="2789"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highlight w:val="none"/>
              </w:rPr>
            </w:pPr>
          </w:p>
        </w:tc>
      </w:tr>
      <w:tr>
        <w:trPr>
          <w:trHeight w:val="778"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22"/>
                <w:highlight w:val="none"/>
                <w:lang w:val="en-US" w:eastAsia="zh-CN"/>
              </w:rPr>
              <w:t>个人补助</w:t>
            </w:r>
          </w:p>
        </w:tc>
        <w:tc>
          <w:tcPr>
            <w:tcW w:w="2789"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jc w:val="center"/>
              <w:rPr>
                <w:rFonts w:hint="eastAsia" w:ascii="宋体" w:hAnsi="宋体" w:eastAsia="宋体" w:cs="宋体"/>
                <w:color w:val="000000"/>
                <w:kern w:val="0"/>
                <w:sz w:val="22"/>
                <w:highlight w:val="none"/>
              </w:rPr>
            </w:pP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提高中医药服务能力</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项目实施所产生的效益。</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项目实施所产生的社会效益、经济效益、生态效益、可持续影响等。可根据项目实际情况有选择地设置和细化。</w:t>
            </w:r>
          </w:p>
        </w:tc>
      </w:tr>
      <w:tr>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培训对象满意度</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社会公众或服务对象对项目实施效果的满意程度。</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社会公众或服务对象是指因该项目实施而受到影响的部门（单位）、群体或个人。一般采取社会调查的方式。</w:t>
            </w:r>
          </w:p>
        </w:tc>
      </w:tr>
    </w:tbl>
    <w:p>
      <w:pPr>
        <w:ind w:firstLine="0" w:firstLineChars="0"/>
        <w:rPr>
          <w:rFonts w:ascii="仿宋_GB2312"/>
          <w:color w:val="000000"/>
          <w:highlight w:val="none"/>
        </w:rPr>
      </w:pPr>
    </w:p>
    <w:p>
      <w:pPr>
        <w:ind w:firstLine="0" w:firstLineChars="0"/>
        <w:jc w:val="center"/>
        <w:rPr>
          <w:rFonts w:ascii="仿宋_GB2312"/>
          <w:color w:val="000000"/>
          <w:highlight w:val="none"/>
        </w:rPr>
        <w:sectPr>
          <w:footnotePr>
            <w:numFmt w:val="decimalEnclosedCircleChinese"/>
          </w:footnotePr>
          <w:pgSz w:w="16838" w:h="11906" w:orient="landscape"/>
          <w:pgMar w:top="1800" w:right="1440" w:bottom="1800" w:left="1440" w:header="1276" w:footer="992" w:gutter="0"/>
          <w:cols w:space="720" w:num="1"/>
          <w:docGrid w:type="lines" w:linePitch="381"/>
        </w:sectPr>
      </w:pPr>
    </w:p>
    <w:p>
      <w:pPr>
        <w:pStyle w:val="4"/>
        <w:ind w:firstLine="643"/>
        <w:rPr>
          <w:color w:val="000000"/>
          <w:highlight w:val="none"/>
        </w:rPr>
      </w:pPr>
      <w:bookmarkStart w:id="24" w:name="_Toc165277234"/>
      <w:bookmarkStart w:id="25" w:name="_Hlk67586038"/>
      <w:r>
        <w:rPr>
          <w:color w:val="000000"/>
          <w:highlight w:val="none"/>
        </w:rPr>
        <w:t>3.</w:t>
      </w:r>
      <w:r>
        <w:rPr>
          <w:rFonts w:hint="eastAsia"/>
          <w:color w:val="000000"/>
          <w:highlight w:val="none"/>
        </w:rPr>
        <w:t>评价方法</w:t>
      </w:r>
      <w:bookmarkEnd w:id="24"/>
    </w:p>
    <w:bookmarkEnd w:id="25"/>
    <w:p>
      <w:pPr>
        <w:spacing w:line="360" w:lineRule="auto"/>
        <w:ind w:firstLine="560"/>
        <w:rPr>
          <w:rFonts w:ascii="仿宋_GB2312"/>
          <w:color w:val="000000"/>
          <w:highlight w:val="none"/>
        </w:rPr>
      </w:pP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项目支出绩效评价管理办法</w:t>
      </w:r>
      <w:r>
        <w:rPr>
          <w:rFonts w:hint="eastAsia" w:ascii="仿宋_GB2312"/>
          <w:color w:val="000000"/>
          <w:highlight w:val="none"/>
          <w:lang w:eastAsia="zh-CN"/>
        </w:rPr>
        <w:t>〉的通知》</w:t>
      </w:r>
      <w:r>
        <w:rPr>
          <w:rFonts w:hint="eastAsia" w:ascii="仿宋_GB2312"/>
          <w:color w:val="000000"/>
          <w:highlight w:val="none"/>
        </w:rPr>
        <w:t>（财预〔2020〕10号）文件指出部门评价的方法主要包括成本效益分析法、比较法、因素分析法、最低成本法、公众评判法、标杆管理法等。</w:t>
      </w:r>
    </w:p>
    <w:p>
      <w:pPr>
        <w:spacing w:line="360" w:lineRule="auto"/>
        <w:ind w:firstLine="560"/>
        <w:rPr>
          <w:rFonts w:ascii="仿宋_GB2312"/>
          <w:color w:val="000000"/>
          <w:highlight w:val="none"/>
        </w:rPr>
      </w:pPr>
      <w:r>
        <w:rPr>
          <w:rFonts w:hint="eastAsia" w:ascii="仿宋_GB2312"/>
          <w:color w:val="000000"/>
          <w:highlight w:val="none"/>
        </w:rPr>
        <w:t>（1）成本效益分析法。是指将投入与产出、效益进行关联性分析的方法。</w:t>
      </w:r>
    </w:p>
    <w:p>
      <w:pPr>
        <w:spacing w:line="360" w:lineRule="auto"/>
        <w:ind w:firstLine="560"/>
        <w:rPr>
          <w:rFonts w:ascii="仿宋_GB2312"/>
          <w:color w:val="000000"/>
          <w:highlight w:val="none"/>
        </w:rPr>
      </w:pPr>
      <w:r>
        <w:rPr>
          <w:rFonts w:hint="eastAsia" w:ascii="仿宋_GB2312"/>
          <w:color w:val="000000"/>
          <w:highlight w:val="none"/>
        </w:rPr>
        <w:t>（2）比较法。是指将实施情况与绩效目标、历史情况、不同部门和地区同类支出情况进行比较的方法。</w:t>
      </w:r>
    </w:p>
    <w:p>
      <w:pPr>
        <w:spacing w:line="360" w:lineRule="auto"/>
        <w:ind w:firstLine="560"/>
        <w:rPr>
          <w:rFonts w:ascii="仿宋_GB2312"/>
          <w:color w:val="000000"/>
          <w:highlight w:val="none"/>
        </w:rPr>
      </w:pPr>
      <w:r>
        <w:rPr>
          <w:rFonts w:hint="eastAsia" w:ascii="仿宋_GB2312"/>
          <w:color w:val="000000"/>
          <w:highlight w:val="none"/>
        </w:rPr>
        <w:t>（3）因素分析法。是指综合分析影响绩效目标实现、实施效果的内外部因素的方法。</w:t>
      </w:r>
    </w:p>
    <w:p>
      <w:pPr>
        <w:spacing w:line="360" w:lineRule="auto"/>
        <w:ind w:firstLine="560"/>
        <w:rPr>
          <w:rFonts w:ascii="仿宋_GB2312"/>
          <w:color w:val="000000"/>
          <w:highlight w:val="none"/>
        </w:rPr>
      </w:pPr>
      <w:r>
        <w:rPr>
          <w:rFonts w:hint="eastAsia" w:ascii="仿宋_GB2312"/>
          <w:color w:val="000000"/>
          <w:highlight w:val="none"/>
        </w:rPr>
        <w:t>（4）最低成本法。是指在绩效目标确定的前提下，成本最小者为优的方法。</w:t>
      </w:r>
    </w:p>
    <w:p>
      <w:pPr>
        <w:spacing w:line="360" w:lineRule="auto"/>
        <w:ind w:firstLine="560"/>
        <w:rPr>
          <w:rFonts w:ascii="仿宋_GB2312"/>
          <w:color w:val="000000"/>
          <w:highlight w:val="none"/>
        </w:rPr>
      </w:pPr>
      <w:r>
        <w:rPr>
          <w:rFonts w:hint="eastAsia" w:ascii="仿宋_GB2312"/>
          <w:color w:val="000000"/>
          <w:highlight w:val="none"/>
        </w:rPr>
        <w:t>（5）公众评判法。是指通过专家评估、公众问卷及抽样调查等方式进行评判的方法。</w:t>
      </w:r>
    </w:p>
    <w:p>
      <w:pPr>
        <w:spacing w:line="360" w:lineRule="auto"/>
        <w:ind w:firstLine="560"/>
        <w:rPr>
          <w:rFonts w:ascii="仿宋_GB2312"/>
          <w:color w:val="000000"/>
          <w:highlight w:val="none"/>
        </w:rPr>
      </w:pPr>
      <w:r>
        <w:rPr>
          <w:rFonts w:hint="eastAsia" w:ascii="仿宋_GB2312"/>
          <w:color w:val="000000"/>
          <w:highlight w:val="none"/>
        </w:rPr>
        <w:t>（6）标杆管理法。是指以国内外同行业中较高的绩效水平为标杆进行评判的方法。</w:t>
      </w:r>
    </w:p>
    <w:p>
      <w:pPr>
        <w:spacing w:line="360" w:lineRule="auto"/>
        <w:ind w:firstLine="560"/>
        <w:rPr>
          <w:rFonts w:ascii="仿宋_GB2312"/>
          <w:color w:val="000000"/>
          <w:highlight w:val="none"/>
        </w:rPr>
      </w:pPr>
      <w:r>
        <w:rPr>
          <w:rFonts w:hint="eastAsia" w:ascii="仿宋_GB2312"/>
          <w:color w:val="000000"/>
          <w:highlight w:val="none"/>
        </w:rPr>
        <w:t>（7）其他评价方法。</w:t>
      </w:r>
    </w:p>
    <w:p>
      <w:pPr>
        <w:spacing w:line="360" w:lineRule="auto"/>
        <w:ind w:firstLine="560"/>
        <w:rPr>
          <w:rFonts w:ascii="仿宋_GB2312"/>
          <w:color w:val="000000"/>
          <w:highlight w:val="none"/>
        </w:rPr>
      </w:pPr>
      <w:r>
        <w:rPr>
          <w:rFonts w:hint="eastAsia" w:ascii="仿宋_GB2312"/>
          <w:color w:val="000000"/>
          <w:highlight w:val="none"/>
        </w:rPr>
        <w:t>根据本项目（关于拨付新疆人才发展基金2024年度第一轮支持资金的通知）项目的特点，本次评价主要采用比较法</w:t>
      </w:r>
      <w:r>
        <w:rPr>
          <w:rFonts w:ascii="仿宋_GB2312"/>
          <w:color w:val="000000"/>
          <w:highlight w:val="none"/>
        </w:rPr>
        <w:t>和</w:t>
      </w:r>
      <w:r>
        <w:rPr>
          <w:rFonts w:hint="eastAsia" w:ascii="仿宋_GB2312"/>
          <w:color w:val="000000"/>
          <w:highlight w:val="none"/>
        </w:rPr>
        <w:t>公众评判法</w:t>
      </w:r>
      <w:r>
        <w:rPr>
          <w:rFonts w:hint="eastAsia" w:ascii="仿宋_GB2312"/>
          <w:color w:val="000000"/>
          <w:highlight w:val="none"/>
        </w:rPr>
        <w:t>，对项目总预算和明细预算的内容、标准、计划是否经济合理进行深入分析，以考察实际产出和效益是否达到预期。</w:t>
      </w:r>
    </w:p>
    <w:p>
      <w:pPr>
        <w:pStyle w:val="4"/>
        <w:ind w:firstLine="643"/>
        <w:rPr>
          <w:color w:val="000000"/>
          <w:highlight w:val="none"/>
        </w:rPr>
      </w:pPr>
      <w:bookmarkStart w:id="26" w:name="_Toc165277235"/>
      <w:r>
        <w:rPr>
          <w:color w:val="000000"/>
          <w:highlight w:val="none"/>
        </w:rPr>
        <w:t>4.</w:t>
      </w:r>
      <w:r>
        <w:rPr>
          <w:rFonts w:hint="eastAsia"/>
          <w:color w:val="000000"/>
          <w:highlight w:val="none"/>
        </w:rPr>
        <w:t>评价标准</w:t>
      </w:r>
      <w:bookmarkEnd w:id="26"/>
    </w:p>
    <w:p>
      <w:pPr>
        <w:spacing w:line="360" w:lineRule="auto"/>
        <w:ind w:firstLine="560"/>
        <w:rPr>
          <w:rFonts w:ascii="仿宋_GB2312"/>
          <w:color w:val="000000"/>
          <w:highlight w:val="none"/>
        </w:rPr>
      </w:pPr>
      <w:r>
        <w:rPr>
          <w:rFonts w:hint="eastAsia" w:ascii="仿宋_GB2312"/>
          <w:color w:val="000000"/>
          <w:highlight w:val="none"/>
        </w:rPr>
        <w:t>绩效评价标准主要包括计划标准、行业标准、历史标准等，用于对绩效指标完成情况进行比较。</w:t>
      </w:r>
    </w:p>
    <w:p>
      <w:pPr>
        <w:spacing w:line="360" w:lineRule="auto"/>
        <w:ind w:firstLine="560"/>
        <w:rPr>
          <w:rFonts w:ascii="仿宋_GB2312"/>
          <w:color w:val="000000"/>
          <w:highlight w:val="none"/>
        </w:rPr>
      </w:pPr>
      <w:r>
        <w:rPr>
          <w:rFonts w:hint="eastAsia" w:ascii="仿宋_GB2312"/>
          <w:color w:val="000000"/>
          <w:highlight w:val="none"/>
        </w:rPr>
        <w:t>（1）计划标准。指以预先制定的目标、计划、预算、定额等作为评价标准。</w:t>
      </w:r>
    </w:p>
    <w:p>
      <w:pPr>
        <w:spacing w:line="360" w:lineRule="auto"/>
        <w:ind w:firstLine="560"/>
        <w:rPr>
          <w:rFonts w:ascii="仿宋_GB2312"/>
          <w:color w:val="000000"/>
          <w:highlight w:val="none"/>
        </w:rPr>
      </w:pPr>
      <w:r>
        <w:rPr>
          <w:rFonts w:hint="eastAsia" w:ascii="仿宋_GB2312"/>
          <w:color w:val="000000"/>
          <w:highlight w:val="none"/>
        </w:rPr>
        <w:t>（2）行业标准。指参照国家公布的行业指标数据制定的评价标准。</w:t>
      </w:r>
    </w:p>
    <w:p>
      <w:pPr>
        <w:spacing w:line="360" w:lineRule="auto"/>
        <w:ind w:firstLine="560"/>
        <w:rPr>
          <w:rFonts w:ascii="仿宋_GB2312"/>
          <w:color w:val="000000"/>
          <w:highlight w:val="none"/>
        </w:rPr>
      </w:pPr>
      <w:r>
        <w:rPr>
          <w:rFonts w:hint="eastAsia" w:ascii="仿宋_GB2312"/>
          <w:color w:val="000000"/>
          <w:highlight w:val="none"/>
        </w:rPr>
        <w:t>（3）历史标准。指参照历史数据制定的评价标准，为体现绩效改进的原则，在可实现的条件下应当确定相对较高的评价标准。</w:t>
      </w:r>
    </w:p>
    <w:p>
      <w:pPr>
        <w:spacing w:line="360" w:lineRule="auto"/>
        <w:ind w:firstLine="560"/>
        <w:rPr>
          <w:rFonts w:ascii="仿宋_GB2312"/>
          <w:color w:val="000000"/>
          <w:highlight w:val="none"/>
        </w:rPr>
      </w:pPr>
      <w:r>
        <w:rPr>
          <w:rFonts w:hint="eastAsia" w:ascii="仿宋_GB2312"/>
          <w:color w:val="000000"/>
          <w:highlight w:val="none"/>
        </w:rPr>
        <w:t>在上述评价标准的基础上，本次评价依据以下文件为重要指导和准绳：</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《中共中央</w:t>
      </w:r>
      <w:r>
        <w:rPr>
          <w:rFonts w:hint="eastAsia" w:ascii="仿宋_GB2312"/>
          <w:color w:val="000000"/>
          <w:highlight w:val="none"/>
          <w:lang w:val="en-US" w:eastAsia="zh-CN"/>
        </w:rPr>
        <w:t xml:space="preserve"> </w:t>
      </w:r>
      <w:r>
        <w:rPr>
          <w:rFonts w:hint="eastAsia" w:ascii="仿宋_GB2312"/>
          <w:color w:val="000000"/>
          <w:highlight w:val="none"/>
        </w:rPr>
        <w:t>国务院关于全面实施预算绩效管理的意见》（中发〔2018〕34号）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《关于印发</w:t>
      </w:r>
      <w:r>
        <w:rPr>
          <w:rFonts w:hint="eastAsia" w:ascii="仿宋_GB2312"/>
          <w:color w:val="000000"/>
          <w:highlight w:val="none"/>
          <w:lang w:eastAsia="zh-CN"/>
        </w:rPr>
        <w:t>〈</w:t>
      </w:r>
      <w:r>
        <w:rPr>
          <w:rFonts w:hint="eastAsia" w:ascii="仿宋_GB2312"/>
          <w:color w:val="000000"/>
          <w:highlight w:val="none"/>
        </w:rPr>
        <w:t>乌鲁木齐市本级部门预算绩效目标管理暂行办法</w:t>
      </w:r>
      <w:r>
        <w:rPr>
          <w:rFonts w:hint="eastAsia" w:ascii="仿宋_GB2312"/>
          <w:color w:val="000000"/>
          <w:highlight w:val="none"/>
          <w:lang w:eastAsia="zh-CN"/>
        </w:rPr>
        <w:t>〉的通知》</w:t>
      </w:r>
      <w:r>
        <w:rPr>
          <w:rFonts w:hint="eastAsia" w:ascii="仿宋_GB2312"/>
          <w:color w:val="000000"/>
          <w:highlight w:val="none"/>
        </w:rPr>
        <w:t>（乌财预〔2018〕56号）</w:t>
      </w:r>
    </w:p>
    <w:p>
      <w:pPr>
        <w:spacing w:line="360" w:lineRule="auto"/>
        <w:ind w:firstLine="560" w:firstLineChars="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《关于做好2019年部门预算项目支出绩效目标管理有关事宜的通知》（乌财预〔2018〕76号）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《项目支出绩效评价管理办法》（财预〔2020〕10号）</w:t>
      </w:r>
    </w:p>
    <w:p>
      <w:pPr>
        <w:spacing w:line="360" w:lineRule="auto"/>
        <w:ind w:firstLine="560"/>
        <w:rPr>
          <w:rFonts w:ascii="仿宋_GB2312"/>
          <w:color w:val="000000"/>
          <w:highlight w:val="none"/>
        </w:rPr>
      </w:pPr>
      <w:bookmarkStart w:id="27" w:name="_Hlk198293135"/>
      <w:r>
        <w:rPr>
          <w:rFonts w:hint="eastAsia" w:ascii="黑体" w:hAnsi="黑体" w:eastAsia="黑体" w:cs="Times New Roman"/>
          <w:color w:val="000000"/>
          <w:szCs w:val="28"/>
          <w:highlight w:val="none"/>
        </w:rPr>
        <w:t>·</w:t>
      </w:r>
      <w:r>
        <w:rPr>
          <w:rFonts w:hint="eastAsia" w:ascii="仿宋_GB2312"/>
          <w:color w:val="000000"/>
          <w:highlight w:val="none"/>
        </w:rPr>
        <w:t>《关于公布第一批自治区天山英才医药卫生高层次人才培养计划入选结果的通知》</w:t>
      </w:r>
    </w:p>
    <w:p>
      <w:pPr>
        <w:spacing w:line="360" w:lineRule="auto"/>
        <w:ind w:firstLine="560"/>
        <w:rPr>
          <w:rFonts w:ascii="黑体" w:hAnsi="黑体" w:cs="Times New Roman"/>
          <w:color w:val="000000"/>
          <w:szCs w:val="28"/>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《关于公布第二批自治区卫生健康系统智力援疆创新拓展人才计划项目入选结果的通知》（新卫人函〔2024〕23号）</w:t>
      </w:r>
    </w:p>
    <w:p>
      <w:pPr>
        <w:spacing w:line="360" w:lineRule="auto"/>
        <w:ind w:firstLine="560"/>
        <w:rPr>
          <w:rFonts w:ascii="仿宋_GB2312"/>
          <w:color w:val="000000"/>
          <w:highlight w:val="none"/>
        </w:rPr>
      </w:pPr>
      <w:r>
        <w:rPr>
          <w:rFonts w:hint="eastAsia" w:ascii="黑体" w:hAnsi="黑体" w:eastAsia="黑体" w:cs="Times New Roman"/>
          <w:color w:val="000000"/>
          <w:szCs w:val="28"/>
          <w:highlight w:val="none"/>
        </w:rPr>
        <w:t>·</w:t>
      </w:r>
      <w:r>
        <w:rPr>
          <w:rFonts w:hint="eastAsia" w:ascii="仿宋_GB2312"/>
          <w:color w:val="000000"/>
          <w:highlight w:val="none"/>
        </w:rPr>
        <w:t>《乌鲁木齐市中医医院财政专项资金管理制度》</w:t>
      </w:r>
      <w:bookmarkEnd w:id="27"/>
    </w:p>
    <w:p>
      <w:pPr>
        <w:pStyle w:val="3"/>
        <w:ind w:firstLine="643"/>
        <w:rPr>
          <w:rFonts w:ascii="仿宋" w:hAnsi="仿宋" w:eastAsia="仿宋"/>
          <w:color w:val="000000"/>
          <w:highlight w:val="none"/>
          <w:lang w:bidi="en-US"/>
        </w:rPr>
      </w:pPr>
      <w:bookmarkStart w:id="28" w:name="_Toc67911607"/>
      <w:bookmarkStart w:id="29" w:name="_Toc165277236"/>
      <w:r>
        <w:rPr>
          <w:rFonts w:hint="eastAsia" w:ascii="仿宋" w:hAnsi="仿宋" w:eastAsia="仿宋"/>
          <w:color w:val="000000"/>
          <w:highlight w:val="none"/>
          <w:lang w:bidi="en-US"/>
        </w:rPr>
        <w:t>（三）绩效评价工作过程</w:t>
      </w:r>
      <w:bookmarkEnd w:id="28"/>
      <w:bookmarkEnd w:id="29"/>
    </w:p>
    <w:p>
      <w:pPr>
        <w:spacing w:line="360" w:lineRule="auto"/>
        <w:ind w:firstLine="560"/>
        <w:rPr>
          <w:rFonts w:ascii="仿宋_GB2312"/>
          <w:color w:val="000000"/>
          <w:highlight w:val="none"/>
        </w:rPr>
      </w:pPr>
      <w:r>
        <w:rPr>
          <w:rFonts w:hint="eastAsia" w:ascii="仿宋_GB2312"/>
          <w:color w:val="000000"/>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8"/>
          <w:rFonts w:ascii="仿宋_GB2312"/>
          <w:color w:val="000000"/>
          <w:highlight w:val="none"/>
        </w:rPr>
        <w:footnoteReference w:id="0"/>
      </w:r>
      <w:r>
        <w:rPr>
          <w:rFonts w:hint="eastAsia" w:ascii="仿宋_GB2312"/>
          <w:color w:val="000000"/>
          <w:highlight w:val="none"/>
        </w:rPr>
        <w:t>、材料审核分析、现场核查评价、综合分析评价及报告撰写，评价项目实施情况，展现资金使用效益。</w:t>
      </w:r>
    </w:p>
    <w:p>
      <w:pPr>
        <w:pStyle w:val="2"/>
        <w:ind w:firstLine="0" w:firstLineChars="0"/>
        <w:jc w:val="left"/>
        <w:rPr>
          <w:rFonts w:ascii="仿宋" w:hAnsi="仿宋" w:eastAsia="仿宋"/>
          <w:color w:val="000000"/>
          <w:sz w:val="36"/>
          <w:szCs w:val="36"/>
          <w:highlight w:val="none"/>
          <w:lang w:bidi="en-US"/>
        </w:rPr>
      </w:pPr>
      <w:bookmarkStart w:id="30" w:name="_Toc165277237"/>
      <w:bookmarkStart w:id="31" w:name="_Toc67911608"/>
      <w:r>
        <w:rPr>
          <w:rFonts w:hint="eastAsia" w:ascii="仿宋" w:hAnsi="仿宋" w:eastAsia="仿宋"/>
          <w:color w:val="000000"/>
          <w:sz w:val="36"/>
          <w:szCs w:val="36"/>
          <w:highlight w:val="none"/>
          <w:lang w:bidi="en-US"/>
        </w:rPr>
        <w:t>三、综合评价情况及评价结论</w:t>
      </w:r>
      <w:bookmarkEnd w:id="30"/>
      <w:bookmarkEnd w:id="31"/>
    </w:p>
    <w:p>
      <w:pPr>
        <w:pStyle w:val="3"/>
        <w:ind w:firstLine="643"/>
        <w:rPr>
          <w:rFonts w:ascii="仿宋" w:hAnsi="仿宋" w:eastAsia="仿宋"/>
          <w:color w:val="000000"/>
          <w:highlight w:val="none"/>
          <w:lang w:bidi="en-US"/>
        </w:rPr>
      </w:pPr>
      <w:bookmarkStart w:id="32" w:name="_Toc67911609"/>
      <w:bookmarkStart w:id="33" w:name="_Toc165277238"/>
      <w:r>
        <w:rPr>
          <w:rFonts w:hint="eastAsia" w:ascii="仿宋" w:hAnsi="仿宋" w:eastAsia="仿宋"/>
          <w:color w:val="000000"/>
          <w:highlight w:val="none"/>
          <w:lang w:bidi="en-US"/>
        </w:rPr>
        <w:t>（一）评价结论</w:t>
      </w:r>
      <w:bookmarkEnd w:id="32"/>
      <w:bookmarkEnd w:id="33"/>
    </w:p>
    <w:p>
      <w:pPr>
        <w:spacing w:line="360" w:lineRule="auto"/>
        <w:ind w:firstLine="560"/>
        <w:rPr>
          <w:rFonts w:ascii="仿宋_GB2312"/>
          <w:color w:val="000000"/>
          <w:szCs w:val="28"/>
          <w:highlight w:val="none"/>
        </w:rPr>
      </w:pPr>
      <w:r>
        <w:rPr>
          <w:rFonts w:hint="eastAsia" w:ascii="仿宋_GB2312"/>
          <w:color w:val="000000"/>
          <w:szCs w:val="28"/>
          <w:highlight w:val="none"/>
        </w:rPr>
        <w:t>结合项目特点，制定符合项目实际的绩效评价指标体系及评分标准，通过数据采集、问卷调查及访谈等形式，对2024年</w:t>
      </w:r>
      <w:r>
        <w:rPr>
          <w:rFonts w:hint="eastAsia" w:ascii="仿宋_GB2312"/>
          <w:color w:val="000000"/>
          <w:highlight w:val="none"/>
        </w:rPr>
        <w:t>《关于拨付新疆人才发展基金2024年度第一轮支持资金的通知》</w:t>
      </w:r>
      <w:r>
        <w:rPr>
          <w:rFonts w:hint="eastAsia" w:ascii="仿宋_GB2312"/>
          <w:color w:val="000000"/>
          <w:szCs w:val="28"/>
          <w:highlight w:val="none"/>
        </w:rPr>
        <w:t>进行客观评价，最终评分结果为：总分为99.</w:t>
      </w:r>
      <w:r>
        <w:rPr>
          <w:rFonts w:hint="eastAsia" w:ascii="仿宋_GB2312"/>
          <w:color w:val="000000"/>
          <w:szCs w:val="28"/>
          <w:highlight w:val="none"/>
          <w:lang w:val="en-US" w:eastAsia="zh-CN"/>
        </w:rPr>
        <w:t>21</w:t>
      </w:r>
      <w:r>
        <w:rPr>
          <w:rFonts w:hint="eastAsia" w:ascii="仿宋_GB2312"/>
          <w:color w:val="000000"/>
          <w:szCs w:val="28"/>
          <w:highlight w:val="none"/>
        </w:rPr>
        <w:t>分，绩效评级为“优”</w:t>
      </w:r>
      <w:r>
        <w:rPr>
          <w:rStyle w:val="18"/>
          <w:rFonts w:ascii="仿宋_GB2312"/>
          <w:color w:val="000000"/>
          <w:szCs w:val="28"/>
          <w:highlight w:val="none"/>
        </w:rPr>
        <w:footnoteReference w:id="1"/>
      </w:r>
      <w:r>
        <w:rPr>
          <w:rFonts w:hint="eastAsia" w:ascii="仿宋_GB2312"/>
          <w:color w:val="000000"/>
          <w:szCs w:val="28"/>
          <w:highlight w:val="none"/>
        </w:rPr>
        <w:t>。</w:t>
      </w:r>
    </w:p>
    <w:p>
      <w:pPr>
        <w:spacing w:line="360" w:lineRule="auto"/>
        <w:ind w:firstLine="560"/>
        <w:rPr>
          <w:rFonts w:ascii="仿宋_GB2312"/>
          <w:color w:val="000000"/>
          <w:szCs w:val="28"/>
          <w:highlight w:val="none"/>
        </w:rPr>
      </w:pPr>
      <w:r>
        <w:rPr>
          <w:rFonts w:hint="eastAsia" w:ascii="仿宋_GB2312"/>
          <w:color w:val="000000"/>
          <w:szCs w:val="28"/>
          <w:highlight w:val="none"/>
        </w:rPr>
        <w:t>项目各部分权重和绩效分值如附表所示：</w:t>
      </w:r>
    </w:p>
    <w:p>
      <w:pPr>
        <w:spacing w:line="360" w:lineRule="auto"/>
        <w:ind w:firstLine="0" w:firstLineChars="0"/>
        <w:jc w:val="center"/>
        <w:rPr>
          <w:rFonts w:ascii="仿宋_GB2312"/>
          <w:b/>
          <w:bCs/>
          <w:color w:val="000000"/>
          <w:szCs w:val="28"/>
          <w:highlight w:val="none"/>
        </w:rPr>
      </w:pPr>
      <w:r>
        <w:rPr>
          <w:rFonts w:ascii="仿宋_GB2312"/>
          <w:b/>
          <w:bCs/>
          <w:color w:val="000000"/>
          <w:szCs w:val="28"/>
          <w:highlight w:val="none"/>
        </w:rPr>
        <w:t xml:space="preserve">  </w:t>
      </w:r>
      <w:r>
        <w:rPr>
          <w:rFonts w:hint="eastAsia" w:ascii="仿宋_GB2312"/>
          <w:b/>
          <w:bCs/>
          <w:color w:val="000000"/>
          <w:szCs w:val="28"/>
          <w:highlight w:val="none"/>
        </w:rPr>
        <w:t>项目各部分权重和绩效分值</w:t>
      </w:r>
    </w:p>
    <w:tbl>
      <w:tblPr>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536"/>
        <w:gridCol w:w="3141"/>
        <w:gridCol w:w="898"/>
        <w:gridCol w:w="791"/>
        <w:gridCol w:w="1146"/>
      </w:tblGrid>
      <w:tr>
        <w:trPr>
          <w:trHeight w:val="547" w:hRule="atLeast"/>
          <w:tblHeader/>
          <w:jc w:val="center"/>
        </w:trPr>
        <w:tc>
          <w:tcPr>
            <w:tcW w:w="1550"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一级指标</w:t>
            </w:r>
          </w:p>
        </w:tc>
        <w:tc>
          <w:tcPr>
            <w:tcW w:w="1536"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二级指标</w:t>
            </w:r>
          </w:p>
        </w:tc>
        <w:tc>
          <w:tcPr>
            <w:tcW w:w="3141"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三级指标</w:t>
            </w:r>
          </w:p>
        </w:tc>
        <w:tc>
          <w:tcPr>
            <w:tcW w:w="898"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分值</w:t>
            </w:r>
          </w:p>
        </w:tc>
        <w:tc>
          <w:tcPr>
            <w:tcW w:w="791" w:type="dxa"/>
            <w:tcBorders>
              <w:tl2br w:val="nil"/>
              <w:tr2bl w:val="nil"/>
            </w:tcBorders>
            <w:shd w:val="clear" w:color="auto" w:fill="D0CECE"/>
            <w:vAlign w:val="center"/>
          </w:tcPr>
          <w:p>
            <w:pPr>
              <w:widowControl/>
              <w:ind w:firstLine="0" w:firstLineChars="0"/>
              <w:jc w:val="center"/>
              <w:rPr>
                <w:rFonts w:ascii="仿宋_GB2312" w:hAnsi="宋体" w:cs="宋体"/>
                <w:b/>
                <w:bCs/>
                <w:color w:val="000000"/>
                <w:kern w:val="0"/>
                <w:sz w:val="24"/>
                <w:szCs w:val="24"/>
                <w:highlight w:val="none"/>
              </w:rPr>
            </w:pPr>
            <w:r>
              <w:rPr>
                <w:rFonts w:hint="eastAsia" w:ascii="仿宋_GB2312" w:hAnsi="宋体" w:cs="宋体"/>
                <w:b/>
                <w:bCs/>
                <w:color w:val="000000"/>
                <w:kern w:val="0"/>
                <w:sz w:val="24"/>
                <w:szCs w:val="24"/>
                <w:highlight w:val="none"/>
              </w:rPr>
              <w:t>得分</w:t>
            </w:r>
          </w:p>
        </w:tc>
        <w:tc>
          <w:tcPr>
            <w:tcW w:w="1146" w:type="dxa"/>
            <w:tcBorders>
              <w:tl2br w:val="nil"/>
              <w:tr2bl w:val="nil"/>
            </w:tcBorders>
            <w:shd w:val="clear" w:color="auto" w:fill="D0CECE"/>
            <w:vAlign w:val="center"/>
          </w:tcPr>
          <w:p>
            <w:pPr>
              <w:widowControl/>
              <w:ind w:firstLine="0" w:firstLineChars="0"/>
              <w:jc w:val="center"/>
              <w:rPr>
                <w:rFonts w:ascii="仿宋_GB2312" w:hAnsi="Gungsuh" w:cs="宋体"/>
                <w:b/>
                <w:bCs/>
                <w:color w:val="000000"/>
                <w:kern w:val="0"/>
                <w:sz w:val="24"/>
                <w:szCs w:val="24"/>
                <w:highlight w:val="none"/>
              </w:rPr>
            </w:pPr>
            <w:r>
              <w:rPr>
                <w:rFonts w:hint="eastAsia" w:ascii="仿宋_GB2312" w:hAnsi="Gungsuh" w:cs="宋体"/>
                <w:b/>
                <w:bCs/>
                <w:color w:val="000000"/>
                <w:kern w:val="0"/>
                <w:sz w:val="24"/>
                <w:szCs w:val="24"/>
                <w:highlight w:val="none"/>
              </w:rPr>
              <w:t>得分率</w:t>
            </w:r>
          </w:p>
        </w:tc>
      </w:tr>
      <w:tr>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决策</w:t>
            </w:r>
          </w:p>
        </w:tc>
        <w:tc>
          <w:tcPr>
            <w:tcW w:w="1536"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项目立项</w:t>
            </w: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79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14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79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14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536"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绩效目标</w:t>
            </w: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536"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资金投入</w:t>
            </w: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79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14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79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14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过程</w:t>
            </w:r>
          </w:p>
        </w:tc>
        <w:tc>
          <w:tcPr>
            <w:tcW w:w="1536" w:type="dxa"/>
            <w:vMerge w:val="restart"/>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资金管理</w:t>
            </w: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000000"/>
                <w:kern w:val="0"/>
                <w:sz w:val="24"/>
                <w:szCs w:val="24"/>
                <w:highlight w:val="none"/>
                <w:lang w:eastAsia="zh-CN"/>
              </w:rPr>
            </w:pPr>
            <w:r>
              <w:rPr>
                <w:rFonts w:hint="eastAsia" w:ascii="仿宋_GB2312" w:hAnsi="宋体" w:cs="宋体"/>
                <w:color w:val="000000"/>
                <w:kern w:val="0"/>
                <w:sz w:val="24"/>
                <w:szCs w:val="24"/>
                <w:highlight w:val="none"/>
                <w:lang w:val="en-US" w:eastAsia="zh-CN"/>
              </w:rPr>
              <w:t>5</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100</w:t>
            </w:r>
            <w:r>
              <w:rPr>
                <w:rFonts w:hint="eastAsia" w:ascii="仿宋_GB2312" w:hAnsi="宋体" w:cs="宋体"/>
                <w:color w:val="000000"/>
                <w:kern w:val="0"/>
                <w:sz w:val="24"/>
                <w:szCs w:val="24"/>
                <w:highlight w:val="none"/>
              </w:rPr>
              <w:t>%</w:t>
            </w:r>
          </w:p>
        </w:tc>
      </w:tr>
      <w:tr>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ind w:firstLine="48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000000"/>
                <w:kern w:val="0"/>
                <w:sz w:val="24"/>
                <w:szCs w:val="24"/>
                <w:highlight w:val="none"/>
                <w:lang w:val="en-US" w:eastAsia="zh-CN"/>
              </w:rPr>
            </w:pPr>
            <w:r>
              <w:rPr>
                <w:rFonts w:hint="eastAsia" w:ascii="仿宋_GB2312" w:hAnsi="宋体" w:cs="宋体"/>
                <w:color w:val="000000"/>
                <w:kern w:val="0"/>
                <w:sz w:val="24"/>
                <w:szCs w:val="24"/>
                <w:highlight w:val="none"/>
                <w:lang w:val="en-US" w:eastAsia="zh-CN"/>
              </w:rPr>
              <w:t>4.82</w:t>
            </w:r>
          </w:p>
        </w:tc>
        <w:tc>
          <w:tcPr>
            <w:tcW w:w="114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lang w:val="en-US" w:eastAsia="zh-CN"/>
              </w:rPr>
              <w:t>96.41</w:t>
            </w:r>
            <w:r>
              <w:rPr>
                <w:rFonts w:hint="eastAsia" w:ascii="仿宋_GB2312" w:hAnsi="宋体" w:cs="宋体"/>
                <w:color w:val="000000"/>
                <w:kern w:val="0"/>
                <w:sz w:val="24"/>
                <w:szCs w:val="24"/>
                <w:highlight w:val="none"/>
              </w:rPr>
              <w:t>%</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000000"/>
                <w:kern w:val="0"/>
                <w:sz w:val="24"/>
                <w:szCs w:val="24"/>
                <w:highlight w:val="none"/>
              </w:rPr>
            </w:pPr>
          </w:p>
        </w:tc>
        <w:tc>
          <w:tcPr>
            <w:tcW w:w="1536"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组织实施</w:t>
            </w: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3</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w:t>
            </w:r>
          </w:p>
        </w:tc>
        <w:tc>
          <w:tcPr>
            <w:tcW w:w="1536"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产出数量</w:t>
            </w:r>
          </w:p>
        </w:tc>
        <w:tc>
          <w:tcPr>
            <w:tcW w:w="3141" w:type="dxa"/>
            <w:tcBorders>
              <w:tl2br w:val="nil"/>
              <w:tr2bl w:val="nil"/>
            </w:tcBorders>
            <w:shd w:val="clear" w:color="auto" w:fill="FFFFFF"/>
            <w:vAlign w:val="top"/>
          </w:tcPr>
          <w:p>
            <w:pPr>
              <w:widowControl/>
              <w:ind w:firstLine="0" w:firstLineChars="0"/>
              <w:jc w:val="center"/>
              <w:rPr>
                <w:rFonts w:ascii="仿宋_GB2312" w:hAnsi="宋体" w:eastAsia="宋体" w:cs="宋体"/>
                <w:color w:val="000000"/>
                <w:kern w:val="0"/>
                <w:sz w:val="24"/>
                <w:szCs w:val="24"/>
                <w:highlight w:val="none"/>
              </w:rPr>
            </w:pPr>
            <w:r>
              <w:rPr>
                <w:rFonts w:hint="eastAsia" w:ascii="宋体" w:hAnsi="宋体" w:eastAsia="宋体" w:cs="宋体"/>
                <w:color w:val="000000"/>
                <w:kern w:val="0"/>
                <w:sz w:val="22"/>
                <w:highlight w:val="none"/>
              </w:rPr>
              <w:t>科研项目论文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146"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top"/>
          </w:tcPr>
          <w:p>
            <w:pPr>
              <w:widowControl/>
              <w:ind w:firstLine="0" w:firstLineChars="0"/>
              <w:jc w:val="center"/>
              <w:rPr>
                <w:rFonts w:ascii="仿宋_GB2312" w:hAnsi="宋体" w:eastAsia="宋体" w:cs="宋体"/>
                <w:color w:val="000000"/>
                <w:kern w:val="0"/>
                <w:sz w:val="24"/>
                <w:szCs w:val="24"/>
                <w:highlight w:val="none"/>
              </w:rPr>
            </w:pPr>
            <w:r>
              <w:rPr>
                <w:rFonts w:hint="eastAsia" w:ascii="宋体" w:hAnsi="宋体" w:eastAsia="宋体" w:cs="宋体"/>
                <w:color w:val="000000"/>
                <w:kern w:val="0"/>
                <w:sz w:val="22"/>
                <w:highlight w:val="none"/>
              </w:rPr>
              <w:t>聘请研究生或专家</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146"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p>
        </w:tc>
      </w:tr>
      <w:tr>
        <w:trPr>
          <w:trHeight w:val="637"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top"/>
          </w:tcPr>
          <w:p>
            <w:pPr>
              <w:widowControl/>
              <w:ind w:firstLine="0" w:firstLineChars="0"/>
              <w:jc w:val="center"/>
              <w:rPr>
                <w:rFonts w:ascii="仿宋_GB2312" w:hAnsi="宋体" w:eastAsia="宋体" w:cs="宋体"/>
                <w:color w:val="000000"/>
                <w:kern w:val="0"/>
                <w:sz w:val="24"/>
                <w:szCs w:val="24"/>
                <w:highlight w:val="none"/>
              </w:rPr>
            </w:pPr>
            <w:r>
              <w:rPr>
                <w:rFonts w:hint="eastAsia" w:ascii="宋体" w:hAnsi="宋体" w:eastAsia="宋体" w:cs="宋体"/>
                <w:color w:val="000000"/>
                <w:kern w:val="0"/>
                <w:sz w:val="22"/>
                <w:highlight w:val="none"/>
              </w:rPr>
              <w:t>人才培养人数</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146"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p>
        </w:tc>
      </w:tr>
      <w:tr>
        <w:trPr>
          <w:trHeight w:val="90"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3141" w:type="dxa"/>
            <w:tcBorders>
              <w:tl2br w:val="nil"/>
              <w:tr2bl w:val="nil"/>
            </w:tcBorders>
            <w:shd w:val="clear" w:color="auto" w:fill="FFFFFF"/>
            <w:vAlign w:val="top"/>
          </w:tcPr>
          <w:p>
            <w:pPr>
              <w:widowControl/>
              <w:ind w:firstLine="0" w:firstLineChars="0"/>
              <w:jc w:val="center"/>
              <w:rPr>
                <w:rFonts w:ascii="Arial" w:hAnsi="Arial" w:eastAsia="宋体" w:cs="Arial"/>
                <w:color w:val="000000"/>
                <w:sz w:val="19"/>
                <w:szCs w:val="19"/>
                <w:highlight w:val="none"/>
                <w:shd w:val="clear" w:color="auto" w:fill="FFFA90"/>
              </w:rPr>
            </w:pPr>
            <w:r>
              <w:rPr>
                <w:rFonts w:hint="eastAsia" w:ascii="宋体" w:hAnsi="宋体" w:eastAsia="宋体" w:cs="宋体"/>
                <w:color w:val="000000"/>
                <w:kern w:val="0"/>
                <w:sz w:val="22"/>
                <w:highlight w:val="none"/>
              </w:rPr>
              <w:t>个人补助人数</w:t>
            </w:r>
          </w:p>
        </w:tc>
        <w:tc>
          <w:tcPr>
            <w:tcW w:w="898" w:type="dxa"/>
            <w:tcBorders>
              <w:tl2br w:val="nil"/>
              <w:tr2bl w:val="nil"/>
            </w:tcBorders>
            <w:shd w:val="clear" w:color="000000" w:fill="FFFFFF"/>
            <w:vAlign w:val="center"/>
          </w:tcPr>
          <w:p>
            <w:pPr>
              <w:widowControl/>
              <w:ind w:firstLine="0" w:firstLineChars="0"/>
              <w:jc w:val="center"/>
              <w:rPr>
                <w:rFonts w:ascii="Arial" w:hAnsi="Arial" w:eastAsia="宋体" w:cs="Arial"/>
                <w:color w:val="000000"/>
                <w:sz w:val="19"/>
                <w:szCs w:val="19"/>
                <w:highlight w:val="none"/>
                <w:shd w:val="clear" w:color="auto" w:fill="FFFA90"/>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ascii="Arial" w:hAnsi="Arial" w:eastAsia="宋体" w:cs="Arial"/>
                <w:color w:val="000000"/>
                <w:sz w:val="19"/>
                <w:szCs w:val="19"/>
                <w:highlight w:val="none"/>
                <w:shd w:val="clear" w:color="auto" w:fill="FFFA90"/>
              </w:rPr>
            </w:pPr>
            <w:r>
              <w:rPr>
                <w:rFonts w:hint="eastAsia" w:ascii="仿宋_GB2312" w:hAnsi="宋体" w:cs="宋体"/>
                <w:color w:val="000000"/>
                <w:kern w:val="0"/>
                <w:sz w:val="24"/>
                <w:szCs w:val="24"/>
                <w:highlight w:val="none"/>
              </w:rPr>
              <w:t>5</w:t>
            </w:r>
          </w:p>
        </w:tc>
        <w:tc>
          <w:tcPr>
            <w:tcW w:w="1146" w:type="dxa"/>
            <w:vMerge w:val="continue"/>
            <w:tcBorders>
              <w:tl2br w:val="nil"/>
              <w:tr2bl w:val="nil"/>
            </w:tcBorders>
            <w:shd w:val="clear" w:color="000000" w:fill="FFFFFF"/>
            <w:vAlign w:val="center"/>
          </w:tcPr>
          <w:p>
            <w:pPr>
              <w:widowControl/>
              <w:ind w:firstLine="0" w:firstLineChars="0"/>
              <w:jc w:val="center"/>
              <w:rPr>
                <w:rFonts w:ascii="Arial" w:hAnsi="Arial" w:eastAsia="宋体" w:cs="Arial"/>
                <w:color w:val="000000"/>
                <w:sz w:val="19"/>
                <w:szCs w:val="19"/>
                <w:highlight w:val="none"/>
                <w:shd w:val="clear" w:color="auto" w:fill="FFFA90"/>
              </w:rPr>
            </w:pPr>
          </w:p>
        </w:tc>
      </w:tr>
      <w:tr>
        <w:trPr>
          <w:trHeight w:val="731"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产出质量</w:t>
            </w:r>
          </w:p>
        </w:tc>
        <w:tc>
          <w:tcPr>
            <w:tcW w:w="314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科研论文等级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146"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70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color w:val="000000"/>
                <w:highlight w:val="none"/>
              </w:rPr>
            </w:pPr>
          </w:p>
        </w:tc>
        <w:tc>
          <w:tcPr>
            <w:tcW w:w="314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人才培养完成率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146" w:type="dxa"/>
            <w:vMerge w:val="continue"/>
            <w:tcBorders>
              <w:tl2br w:val="nil"/>
              <w:tr2bl w:val="nil"/>
            </w:tcBorders>
            <w:shd w:val="clear" w:color="000000" w:fill="FFFFFF"/>
            <w:vAlign w:val="center"/>
          </w:tcPr>
          <w:p>
            <w:pPr>
              <w:widowControl/>
              <w:ind w:firstLine="0" w:firstLineChars="0"/>
              <w:jc w:val="center"/>
              <w:rPr>
                <w:rFonts w:ascii="宋体" w:hAnsi="宋体" w:eastAsia="宋体" w:cs="宋体"/>
                <w:color w:val="000000"/>
                <w:kern w:val="0"/>
                <w:sz w:val="22"/>
                <w:highlight w:val="none"/>
              </w:rPr>
            </w:pPr>
          </w:p>
        </w:tc>
      </w:tr>
      <w:tr>
        <w:trPr>
          <w:trHeight w:val="72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产出时效</w:t>
            </w:r>
          </w:p>
        </w:tc>
        <w:tc>
          <w:tcPr>
            <w:tcW w:w="314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项目完成及时率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72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产出成本</w:t>
            </w:r>
          </w:p>
        </w:tc>
        <w:tc>
          <w:tcPr>
            <w:tcW w:w="314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实验材料及论文费</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4.89</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97.8%</w:t>
            </w:r>
          </w:p>
        </w:tc>
      </w:tr>
      <w:tr>
        <w:trPr>
          <w:trHeight w:val="72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劳务费</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2.5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2.13</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85.11%</w:t>
            </w:r>
          </w:p>
        </w:tc>
      </w:tr>
      <w:tr>
        <w:trPr>
          <w:trHeight w:val="72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培训及差旅费</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2.5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2.37</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94.64%</w:t>
            </w:r>
          </w:p>
        </w:tc>
      </w:tr>
      <w:tr>
        <w:trPr>
          <w:trHeight w:val="72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1536"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p>
        </w:tc>
        <w:tc>
          <w:tcPr>
            <w:tcW w:w="314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个人补助</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146" w:type="dxa"/>
            <w:tcBorders>
              <w:tl2br w:val="nil"/>
              <w:tr2bl w:val="nil"/>
            </w:tcBorders>
            <w:shd w:val="clear" w:color="000000"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效益</w:t>
            </w:r>
          </w:p>
        </w:tc>
        <w:tc>
          <w:tcPr>
            <w:tcW w:w="153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项目效益</w:t>
            </w:r>
          </w:p>
        </w:tc>
        <w:tc>
          <w:tcPr>
            <w:tcW w:w="314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提高中医药服务能力</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14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r>
        <w:trPr>
          <w:trHeight w:val="1164"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满意度完成情况分析</w:t>
            </w:r>
          </w:p>
        </w:tc>
        <w:tc>
          <w:tcPr>
            <w:tcW w:w="153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满意度指标</w:t>
            </w:r>
          </w:p>
        </w:tc>
        <w:tc>
          <w:tcPr>
            <w:tcW w:w="3141" w:type="dxa"/>
            <w:tcBorders>
              <w:tl2br w:val="nil"/>
              <w:tr2bl w:val="nil"/>
            </w:tcBorders>
            <w:shd w:val="clear" w:color="auto" w:fill="FFFFFF"/>
            <w:vAlign w:val="center"/>
          </w:tcPr>
          <w:p>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培训对象满意度</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791"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5</w:t>
            </w:r>
          </w:p>
        </w:tc>
        <w:tc>
          <w:tcPr>
            <w:tcW w:w="1146" w:type="dxa"/>
            <w:tcBorders>
              <w:tl2br w:val="nil"/>
              <w:tr2bl w:val="nil"/>
            </w:tcBorders>
            <w:shd w:val="clear" w:color="auto" w:fill="FFFFFF"/>
            <w:vAlign w:val="center"/>
          </w:tcPr>
          <w:p>
            <w:pPr>
              <w:widowControl/>
              <w:ind w:firstLine="0" w:firstLineChars="0"/>
              <w:jc w:val="center"/>
              <w:rPr>
                <w:rFonts w:ascii="仿宋_GB2312" w:hAnsi="宋体" w:cs="宋体"/>
                <w:color w:val="000000"/>
                <w:kern w:val="0"/>
                <w:sz w:val="24"/>
                <w:szCs w:val="24"/>
                <w:highlight w:val="none"/>
              </w:rPr>
            </w:pPr>
            <w:r>
              <w:rPr>
                <w:rFonts w:hint="eastAsia" w:ascii="仿宋_GB2312" w:hAnsi="宋体" w:cs="宋体"/>
                <w:color w:val="000000"/>
                <w:kern w:val="0"/>
                <w:sz w:val="24"/>
                <w:szCs w:val="24"/>
                <w:highlight w:val="none"/>
              </w:rPr>
              <w:t>100%</w:t>
            </w:r>
          </w:p>
        </w:tc>
      </w:tr>
    </w:tbl>
    <w:p>
      <w:pPr>
        <w:pStyle w:val="3"/>
        <w:ind w:firstLine="643"/>
        <w:rPr>
          <w:rFonts w:ascii="仿宋" w:hAnsi="仿宋" w:eastAsia="仿宋"/>
          <w:color w:val="000000"/>
          <w:highlight w:val="none"/>
          <w:lang w:bidi="en-US"/>
        </w:rPr>
      </w:pPr>
      <w:bookmarkStart w:id="34" w:name="_Toc165277239"/>
      <w:bookmarkStart w:id="35" w:name="_Toc67911610"/>
      <w:r>
        <w:rPr>
          <w:rFonts w:hint="eastAsia" w:ascii="仿宋" w:hAnsi="仿宋" w:eastAsia="仿宋"/>
          <w:color w:val="000000"/>
          <w:highlight w:val="none"/>
          <w:lang w:bidi="en-US"/>
        </w:rPr>
        <w:t>（二）主要绩效</w:t>
      </w:r>
      <w:bookmarkEnd w:id="34"/>
      <w:bookmarkEnd w:id="35"/>
    </w:p>
    <w:p>
      <w:pPr>
        <w:spacing w:line="360" w:lineRule="auto"/>
        <w:ind w:firstLine="548" w:firstLineChars="196"/>
        <w:rPr>
          <w:rFonts w:ascii="仿宋_GB2312"/>
          <w:bCs/>
          <w:color w:val="000000"/>
          <w:szCs w:val="28"/>
          <w:highlight w:val="none"/>
        </w:rPr>
      </w:pPr>
      <w:r>
        <w:rPr>
          <w:rFonts w:hint="eastAsia" w:ascii="仿宋_GB2312"/>
          <w:bCs/>
          <w:color w:val="000000"/>
          <w:szCs w:val="28"/>
          <w:highlight w:val="none"/>
        </w:rPr>
        <w:t>该项目资金区财政及时拨付，单位在此次评价期间内，有序完成设定目标的部分工作任务，已完成2024年实施科研项目、发表论文5篇，支付实验材料及论文费48.8万元；聘请研究生5人，支付劳务费7.66万元；完成人才培养4人，分别为景芸、杨静、王晶、朱丽丽，支付培训及差旅费37.95万元；个人补助发放共计7人，分别为帕力旦·吾布尔、邓德强、李婷、贺红梅、李敏、张春霞、朱雅，金额29万元。科研论文发表数量、聘请研究生人数、人才培养人数及发放个人补助人数实际完成率均为100%，通过项目的实施，推动了我院在教学方面的投入，优化了人才队伍的结构，拓展了医院的综合服务能力，更好地满足了患者的需求。</w:t>
      </w:r>
    </w:p>
    <w:p>
      <w:pPr>
        <w:pStyle w:val="2"/>
        <w:ind w:firstLine="0" w:firstLineChars="0"/>
        <w:jc w:val="left"/>
        <w:rPr>
          <w:rFonts w:ascii="仿宋" w:hAnsi="仿宋" w:eastAsia="仿宋"/>
          <w:color w:val="000000"/>
          <w:sz w:val="36"/>
          <w:szCs w:val="36"/>
          <w:highlight w:val="none"/>
          <w:lang w:bidi="en-US"/>
        </w:rPr>
      </w:pPr>
      <w:bookmarkStart w:id="36" w:name="_Toc67911611"/>
      <w:bookmarkStart w:id="37" w:name="_Toc165277240"/>
      <w:r>
        <w:rPr>
          <w:rFonts w:hint="eastAsia" w:ascii="仿宋" w:hAnsi="仿宋" w:eastAsia="仿宋"/>
          <w:color w:val="000000"/>
          <w:sz w:val="36"/>
          <w:szCs w:val="36"/>
          <w:highlight w:val="none"/>
          <w:lang w:bidi="en-US"/>
        </w:rPr>
        <w:t>四、绩效评价指标分析</w:t>
      </w:r>
      <w:bookmarkEnd w:id="36"/>
      <w:bookmarkEnd w:id="37"/>
    </w:p>
    <w:p>
      <w:pPr>
        <w:pStyle w:val="3"/>
        <w:ind w:firstLine="643"/>
        <w:rPr>
          <w:rFonts w:ascii="仿宋" w:hAnsi="仿宋" w:eastAsia="仿宋"/>
          <w:color w:val="000000"/>
          <w:highlight w:val="none"/>
          <w:lang w:bidi="en-US"/>
        </w:rPr>
      </w:pPr>
      <w:bookmarkStart w:id="38" w:name="_Toc67911612"/>
      <w:bookmarkStart w:id="39" w:name="_Toc165277241"/>
      <w:r>
        <w:rPr>
          <w:rFonts w:hint="eastAsia" w:ascii="仿宋" w:hAnsi="仿宋" w:eastAsia="仿宋"/>
          <w:color w:val="000000"/>
          <w:highlight w:val="none"/>
          <w:lang w:bidi="en-US"/>
        </w:rPr>
        <w:t>（一）项目决策情况</w:t>
      </w:r>
      <w:bookmarkEnd w:id="38"/>
      <w:bookmarkEnd w:id="39"/>
    </w:p>
    <w:p>
      <w:pPr>
        <w:spacing w:line="360" w:lineRule="auto"/>
        <w:ind w:firstLine="560"/>
        <w:rPr>
          <w:rFonts w:ascii="仿宋_GB2312"/>
          <w:color w:val="000000"/>
          <w:szCs w:val="28"/>
          <w:highlight w:val="none"/>
        </w:rPr>
      </w:pPr>
      <w:r>
        <w:rPr>
          <w:rFonts w:hint="eastAsia" w:ascii="仿宋_GB2312"/>
          <w:color w:val="000000"/>
          <w:szCs w:val="28"/>
          <w:highlight w:val="none"/>
        </w:rPr>
        <w:t>项目决策指标由3个二级指标和6个三级指标构成，权重为</w:t>
      </w:r>
      <w:r>
        <w:rPr>
          <w:rFonts w:ascii="仿宋_GB2312"/>
          <w:color w:val="000000"/>
          <w:szCs w:val="28"/>
          <w:highlight w:val="none"/>
        </w:rPr>
        <w:t>20</w:t>
      </w:r>
      <w:r>
        <w:rPr>
          <w:rFonts w:hint="eastAsia" w:ascii="仿宋_GB2312"/>
          <w:color w:val="000000"/>
          <w:szCs w:val="28"/>
          <w:highlight w:val="none"/>
        </w:rPr>
        <w:t>分，实际得分20分。</w:t>
      </w:r>
    </w:p>
    <w:p>
      <w:pPr>
        <w:pStyle w:val="4"/>
        <w:ind w:firstLine="643"/>
        <w:rPr>
          <w:color w:val="000000"/>
          <w:highlight w:val="none"/>
        </w:rPr>
      </w:pPr>
      <w:bookmarkStart w:id="40" w:name="_Toc165277242"/>
      <w:r>
        <w:rPr>
          <w:color w:val="000000"/>
          <w:highlight w:val="none"/>
        </w:rPr>
        <w:t>1.</w:t>
      </w:r>
      <w:r>
        <w:rPr>
          <w:rFonts w:hint="eastAsia"/>
          <w:color w:val="000000"/>
          <w:highlight w:val="none"/>
        </w:rPr>
        <w:t>项目立项</w:t>
      </w:r>
      <w:bookmarkEnd w:id="40"/>
    </w:p>
    <w:p>
      <w:pPr>
        <w:spacing w:line="360" w:lineRule="auto"/>
        <w:ind w:firstLine="562"/>
        <w:rPr>
          <w:rFonts w:ascii="仿宋_GB2312"/>
          <w:color w:val="000000"/>
          <w:szCs w:val="28"/>
          <w:highlight w:val="none"/>
        </w:rPr>
      </w:pPr>
      <w:r>
        <w:rPr>
          <w:rFonts w:hint="eastAsia" w:ascii="仿宋_GB2312"/>
          <w:b/>
          <w:bCs/>
          <w:color w:val="000000"/>
          <w:szCs w:val="28"/>
          <w:highlight w:val="none"/>
        </w:rPr>
        <w:t>立项依据充分性：</w:t>
      </w:r>
      <w:r>
        <w:rPr>
          <w:rFonts w:hint="eastAsia" w:ascii="仿宋_GB2312"/>
          <w:color w:val="000000"/>
          <w:szCs w:val="28"/>
          <w:highlight w:val="none"/>
        </w:rPr>
        <w:t>项目立项符合</w:t>
      </w:r>
      <w:r>
        <w:rPr>
          <w:rFonts w:hint="eastAsia" w:ascii="仿宋_GB2312"/>
          <w:color w:val="000000"/>
          <w:highlight w:val="none"/>
        </w:rPr>
        <w:t>《关于公布第一批自治区天山英才医药卫生高层次人才培养计划入选结果的通知</w:t>
      </w:r>
      <w:r>
        <w:rPr>
          <w:rFonts w:hint="eastAsia" w:ascii="仿宋_GB2312"/>
          <w:color w:val="000000"/>
          <w:highlight w:val="none"/>
          <w:lang w:eastAsia="zh-CN"/>
        </w:rPr>
        <w:t>》《</w:t>
      </w:r>
      <w:r>
        <w:rPr>
          <w:rFonts w:hint="eastAsia" w:ascii="仿宋_GB2312"/>
          <w:color w:val="000000"/>
          <w:highlight w:val="none"/>
        </w:rPr>
        <w:t>关于公布第二批自治区卫生健康系统智力援疆创新拓展人才计划项目入选结果的通知》（新卫人函〔2024〕23号）、《乌鲁木齐市中医医院财政专项资金管理制度</w:t>
      </w:r>
      <w:r>
        <w:rPr>
          <w:rFonts w:hint="eastAsia" w:ascii="仿宋_GB2312"/>
          <w:color w:val="000000"/>
          <w:highlight w:val="none"/>
          <w:lang w:eastAsia="zh-CN"/>
        </w:rPr>
        <w:t>》等</w:t>
      </w:r>
      <w:r>
        <w:rPr>
          <w:rFonts w:hint="eastAsia" w:ascii="仿宋_GB2312"/>
          <w:color w:val="000000"/>
          <w:szCs w:val="28"/>
          <w:highlight w:val="none"/>
        </w:rPr>
        <w:t>文件要求。同时，项目与我院作为医疗、教学、科研、预防、保健、康复于一体的医疗单位，推动中医事业发展、培养中医人才、开展科研创新的整体定位和发展目标相契合，有助于医院更好地履行这些职能，提升综合实力，为地区医疗卫生事业做出更大贡献。项目与部门职责范围相符，此外，本项目属于公共财政支持范围，符合中央、地方事权支出责任划分原则。因此，立项依据充分，得4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立项程序规范性</w:t>
      </w:r>
      <w:r>
        <w:rPr>
          <w:rFonts w:hint="eastAsia" w:ascii="仿宋_GB2312"/>
          <w:b/>
          <w:bCs/>
          <w:color w:val="000000"/>
          <w:szCs w:val="28"/>
          <w:highlight w:val="none"/>
          <w:lang w:eastAsia="zh-CN"/>
        </w:rPr>
        <w:t>：</w:t>
      </w:r>
      <w:r>
        <w:rPr>
          <w:rFonts w:hint="eastAsia"/>
          <w:color w:val="000000"/>
          <w:highlight w:val="none"/>
        </w:rPr>
        <w:t xml:space="preserve"> </w:t>
      </w:r>
      <w:r>
        <w:rPr>
          <w:rFonts w:hint="eastAsia" w:ascii="仿宋_GB2312"/>
          <w:color w:val="000000"/>
          <w:szCs w:val="28"/>
          <w:highlight w:val="none"/>
        </w:rPr>
        <w:t>该项目为自治区转移支付资金，项目立项严格按照《关于公布第一批自治区天山英才医药卫生高层次人才培养计划入选结果的通知</w:t>
      </w:r>
      <w:r>
        <w:rPr>
          <w:rFonts w:hint="eastAsia" w:ascii="仿宋_GB2312"/>
          <w:color w:val="000000"/>
          <w:szCs w:val="28"/>
          <w:highlight w:val="none"/>
          <w:lang w:eastAsia="zh-CN"/>
        </w:rPr>
        <w:t>》《</w:t>
      </w:r>
      <w:r>
        <w:rPr>
          <w:rFonts w:hint="eastAsia" w:ascii="仿宋_GB2312"/>
          <w:color w:val="000000"/>
          <w:szCs w:val="28"/>
          <w:highlight w:val="none"/>
        </w:rPr>
        <w:t>关于公布第二批自治区卫生健康系统智力援疆创新拓展人才计划项目入选结果的通知》（新卫人函〔2024〕23号）</w:t>
      </w:r>
      <w:r>
        <w:rPr>
          <w:rFonts w:hint="eastAsia" w:ascii="仿宋_GB2312"/>
          <w:color w:val="000000"/>
          <w:szCs w:val="28"/>
          <w:highlight w:val="none"/>
          <w:lang w:eastAsia="zh-CN"/>
        </w:rPr>
        <w:t>等</w:t>
      </w:r>
      <w:r>
        <w:rPr>
          <w:rFonts w:hint="eastAsia" w:ascii="仿宋_GB2312"/>
          <w:color w:val="000000"/>
          <w:szCs w:val="28"/>
          <w:highlight w:val="none"/>
        </w:rPr>
        <w:t>文件要求并结合我院财政专项资金管理制度，明确人才发展基金用于人才培养、引进、激励等方面的规定，确保项目从源头上契合政策要求。立项程序规范，得4分。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8</w:t>
      </w:r>
      <w:r>
        <w:rPr>
          <w:rFonts w:hint="eastAsia" w:ascii="仿宋_GB2312" w:hAnsi="仿宋" w:cs="宋体"/>
          <w:b/>
          <w:color w:val="000000"/>
          <w:kern w:val="0"/>
          <w:szCs w:val="28"/>
          <w:highlight w:val="none"/>
        </w:rPr>
        <w:t>分，得分8分。</w:t>
      </w:r>
    </w:p>
    <w:p>
      <w:pPr>
        <w:pStyle w:val="4"/>
        <w:ind w:firstLine="643"/>
        <w:rPr>
          <w:color w:val="000000"/>
          <w:highlight w:val="none"/>
        </w:rPr>
      </w:pPr>
      <w:bookmarkStart w:id="41" w:name="_Toc165277243"/>
      <w:r>
        <w:rPr>
          <w:rFonts w:hint="eastAsia"/>
          <w:color w:val="000000"/>
          <w:highlight w:val="none"/>
        </w:rPr>
        <w:t>2</w:t>
      </w:r>
      <w:r>
        <w:rPr>
          <w:color w:val="000000"/>
          <w:highlight w:val="none"/>
        </w:rPr>
        <w:t>.</w:t>
      </w:r>
      <w:r>
        <w:rPr>
          <w:rFonts w:hint="eastAsia"/>
          <w:color w:val="000000"/>
          <w:highlight w:val="none"/>
        </w:rPr>
        <w:t>绩效目标</w:t>
      </w:r>
      <w:bookmarkEnd w:id="41"/>
    </w:p>
    <w:p>
      <w:pPr>
        <w:spacing w:line="360" w:lineRule="auto"/>
        <w:ind w:firstLine="562"/>
        <w:rPr>
          <w:rFonts w:ascii="仿宋_GB2312"/>
          <w:color w:val="000000"/>
          <w:szCs w:val="28"/>
          <w:highlight w:val="none"/>
        </w:rPr>
      </w:pPr>
      <w:r>
        <w:rPr>
          <w:rFonts w:hint="eastAsia" w:ascii="仿宋_GB2312"/>
          <w:b/>
          <w:bCs/>
          <w:color w:val="000000"/>
          <w:szCs w:val="28"/>
          <w:highlight w:val="none"/>
        </w:rPr>
        <w:t>绩效目标合理性：</w:t>
      </w:r>
      <w:r>
        <w:rPr>
          <w:rFonts w:hint="eastAsia" w:ascii="仿宋_GB2312"/>
          <w:color w:val="000000"/>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color w:val="000000"/>
          <w:szCs w:val="28"/>
          <w:highlight w:val="none"/>
        </w:rPr>
        <w:t>3</w:t>
      </w:r>
      <w:r>
        <w:rPr>
          <w:rFonts w:hint="eastAsia" w:ascii="仿宋_GB2312"/>
          <w:color w:val="000000"/>
          <w:szCs w:val="28"/>
          <w:highlight w:val="none"/>
        </w:rPr>
        <w:t>分。</w:t>
      </w:r>
    </w:p>
    <w:p>
      <w:pPr>
        <w:autoSpaceDE w:val="0"/>
        <w:spacing w:line="600" w:lineRule="exact"/>
        <w:ind w:firstLine="562"/>
        <w:rPr>
          <w:rFonts w:ascii="仿宋_GB2312" w:hAnsi="仿宋" w:cs="宋体"/>
          <w:color w:val="000000"/>
          <w:kern w:val="0"/>
          <w:szCs w:val="28"/>
          <w:highlight w:val="none"/>
        </w:rPr>
      </w:pPr>
      <w:r>
        <w:rPr>
          <w:rFonts w:hint="eastAsia" w:ascii="仿宋_GB2312" w:hAnsi="仿宋" w:cs="宋体"/>
          <w:b/>
          <w:color w:val="000000"/>
          <w:kern w:val="0"/>
          <w:szCs w:val="28"/>
          <w:highlight w:val="none"/>
        </w:rPr>
        <w:t>绩效目标明确性：</w:t>
      </w:r>
      <w:r>
        <w:rPr>
          <w:rFonts w:hint="eastAsia" w:ascii="仿宋_GB2312" w:hAnsi="仿宋" w:cs="宋体"/>
          <w:color w:val="000000"/>
          <w:kern w:val="0"/>
          <w:szCs w:val="28"/>
          <w:highlight w:val="none"/>
        </w:rPr>
        <w:t>其中，目标已细化为具体的绩效指标，可通过数量指标、质量指标、时效指标和成本指标予以量化，一级指标5个，二级指标11个，三级指标24个，并具有确切的评价标准，且指标设定均与目标相关。各项指标均能在现实条件下收集到相关数据进行佐证，我院人事部门有完善的人员信息管理系统，通过系统可以获取引进人才的数量，以佐证人才培养数量指标，发表科研论文的数量、论文的期刊级别可作为科研项目开展和成果产出的有力佐证，项目的投入发生的实验材料及论文费、劳务费、差旅费及培训费通过提供财务明细账作为佐证材料，并与当年项目年度计划相对应，故绩效目标明确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分，得分6分。</w:t>
      </w:r>
    </w:p>
    <w:p>
      <w:pPr>
        <w:pStyle w:val="4"/>
        <w:ind w:firstLine="643"/>
        <w:rPr>
          <w:color w:val="000000"/>
          <w:highlight w:val="none"/>
        </w:rPr>
      </w:pPr>
      <w:bookmarkStart w:id="42" w:name="_Toc165277244"/>
      <w:r>
        <w:rPr>
          <w:rFonts w:hint="eastAsia"/>
          <w:color w:val="000000"/>
          <w:highlight w:val="none"/>
        </w:rPr>
        <w:t>3.资金投入</w:t>
      </w:r>
      <w:bookmarkEnd w:id="42"/>
    </w:p>
    <w:p>
      <w:pPr>
        <w:autoSpaceDE w:val="0"/>
        <w:spacing w:line="600" w:lineRule="exact"/>
        <w:ind w:firstLine="562"/>
        <w:rPr>
          <w:rFonts w:ascii="仿宋_GB2312" w:hAnsi="仿宋" w:cs="宋体"/>
          <w:bCs/>
          <w:color w:val="000000"/>
          <w:kern w:val="0"/>
          <w:szCs w:val="28"/>
          <w:highlight w:val="none"/>
        </w:rPr>
      </w:pPr>
      <w:r>
        <w:rPr>
          <w:rFonts w:hint="eastAsia" w:ascii="仿宋_GB2312" w:hAnsi="仿宋" w:cs="宋体"/>
          <w:b/>
          <w:color w:val="000000"/>
          <w:kern w:val="0"/>
          <w:szCs w:val="28"/>
          <w:highlight w:val="none"/>
        </w:rPr>
        <w:t>预算编制科学性：</w:t>
      </w:r>
      <w:r>
        <w:rPr>
          <w:rFonts w:hint="eastAsia" w:ascii="仿宋_GB2312" w:hAnsi="仿宋" w:cs="宋体"/>
          <w:bCs/>
          <w:color w:val="000000"/>
          <w:kern w:val="0"/>
          <w:szCs w:val="28"/>
          <w:highlight w:val="none"/>
        </w:rPr>
        <w:t>该项目为自治区转移支付资金，专款专用，根据</w:t>
      </w:r>
      <w:r>
        <w:rPr>
          <w:rFonts w:hint="eastAsia" w:ascii="仿宋_GB2312"/>
          <w:color w:val="000000"/>
          <w:highlight w:val="none"/>
        </w:rPr>
        <w:t>《关于拨付新疆人才发展基金2024年度第一轮支持资金的通知》</w:t>
      </w:r>
      <w:r>
        <w:rPr>
          <w:rFonts w:hint="eastAsia" w:ascii="仿宋_GB2312" w:hAnsi="仿宋" w:cs="宋体"/>
          <w:bCs/>
          <w:color w:val="000000"/>
          <w:kern w:val="0"/>
          <w:szCs w:val="28"/>
          <w:highlight w:val="none"/>
        </w:rPr>
        <w:t>乌财社</w:t>
      </w:r>
      <w:r>
        <w:rPr>
          <w:rFonts w:hint="eastAsia" w:ascii="仿宋_GB2312" w:hAnsi="仿宋" w:cs="宋体"/>
          <w:bCs/>
          <w:color w:val="000000"/>
          <w:kern w:val="0"/>
          <w:szCs w:val="28"/>
          <w:highlight w:val="none"/>
          <w:lang w:eastAsia="zh-CN"/>
        </w:rPr>
        <w:t>〔2024〕29号</w:t>
      </w:r>
      <w:r>
        <w:rPr>
          <w:rFonts w:hint="eastAsia" w:ascii="仿宋_GB2312" w:hAnsi="仿宋" w:cs="宋体"/>
          <w:bCs/>
          <w:color w:val="000000"/>
          <w:kern w:val="0"/>
          <w:szCs w:val="28"/>
          <w:highlight w:val="none"/>
        </w:rPr>
        <w:t>，预算编制紧密围绕医院的长期发展战略和年度工作目标，严格按照具体的工作任务和经济支出分类科目，明确每一笔资金的用途和流向，根据项目的重点和关键环节，合理分配</w:t>
      </w:r>
      <w:r>
        <w:rPr>
          <w:rFonts w:hint="eastAsia" w:ascii="仿宋_GB2312" w:hAnsi="仿宋" w:cs="宋体"/>
          <w:bCs/>
          <w:color w:val="000000"/>
          <w:kern w:val="0"/>
          <w:szCs w:val="28"/>
          <w:highlight w:val="none"/>
          <w:lang w:eastAsia="zh-CN"/>
        </w:rPr>
        <w:t>资金</w:t>
      </w:r>
      <w:r>
        <w:rPr>
          <w:rFonts w:hint="eastAsia" w:ascii="仿宋_GB2312" w:hAnsi="仿宋" w:cs="宋体"/>
          <w:b/>
          <w:color w:val="000000"/>
          <w:kern w:val="0"/>
          <w:szCs w:val="28"/>
          <w:highlight w:val="none"/>
        </w:rPr>
        <w:t>。</w:t>
      </w:r>
      <w:r>
        <w:rPr>
          <w:rFonts w:hint="eastAsia" w:ascii="仿宋_GB2312" w:hAnsi="仿宋" w:cs="宋体"/>
          <w:color w:val="000000"/>
          <w:kern w:val="0"/>
          <w:szCs w:val="28"/>
          <w:highlight w:val="none"/>
        </w:rPr>
        <w:t>故预算编制科学性指标得分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0" w:firstLineChars="0"/>
        <w:rPr>
          <w:rFonts w:ascii="仿宋_GB2312" w:hAnsi="仿宋" w:cs="宋体"/>
          <w:bCs/>
          <w:color w:val="000000"/>
          <w:kern w:val="0"/>
          <w:szCs w:val="28"/>
          <w:highlight w:val="none"/>
        </w:rPr>
      </w:pPr>
    </w:p>
    <w:p>
      <w:pPr>
        <w:spacing w:line="360" w:lineRule="auto"/>
        <w:ind w:firstLine="562"/>
        <w:rPr>
          <w:rFonts w:ascii="仿宋_GB2312"/>
          <w:color w:val="000000"/>
          <w:highlight w:val="none"/>
        </w:rPr>
      </w:pPr>
      <w:r>
        <w:rPr>
          <w:rFonts w:hint="eastAsia"/>
          <w:b/>
          <w:bCs/>
          <w:color w:val="000000"/>
          <w:highlight w:val="none"/>
        </w:rPr>
        <w:t>资金分配合理性</w:t>
      </w:r>
      <w:r>
        <w:rPr>
          <w:rFonts w:hint="eastAsia"/>
          <w:color w:val="000000"/>
          <w:highlight w:val="none"/>
        </w:rPr>
        <w:t>：</w:t>
      </w:r>
      <w:r>
        <w:rPr>
          <w:color w:val="000000"/>
          <w:highlight w:val="none"/>
        </w:rPr>
        <w:t xml:space="preserve"> </w:t>
      </w:r>
      <w:r>
        <w:rPr>
          <w:rFonts w:hint="eastAsia" w:ascii="仿宋_GB2312" w:hAnsi="仿宋" w:cs="宋体"/>
          <w:bCs/>
          <w:color w:val="000000"/>
          <w:kern w:val="0"/>
          <w:szCs w:val="28"/>
          <w:highlight w:val="none"/>
        </w:rPr>
        <w:t>严格遵循</w:t>
      </w:r>
      <w:r>
        <w:rPr>
          <w:rFonts w:hint="eastAsia" w:ascii="仿宋_GB2312"/>
          <w:color w:val="000000"/>
          <w:highlight w:val="none"/>
        </w:rPr>
        <w:t>关于拨付新疆人才发展基金2024年度第一轮支持资金分配表</w:t>
      </w:r>
      <w:r>
        <w:rPr>
          <w:rFonts w:hint="eastAsia" w:ascii="仿宋_GB2312" w:hAnsi="仿宋" w:cs="宋体"/>
          <w:bCs/>
          <w:color w:val="000000"/>
          <w:kern w:val="0"/>
          <w:szCs w:val="28"/>
          <w:highlight w:val="none"/>
        </w:rPr>
        <w:t>，将资金用于人才培养、开展科研创新以提升医疗技术水平，优先保障医院重点发展项目和关键人才队伍建设，用于</w:t>
      </w:r>
      <w:r>
        <w:rPr>
          <w:rFonts w:hint="eastAsia" w:ascii="仿宋_GB2312"/>
          <w:color w:val="000000"/>
          <w:highlight w:val="none"/>
        </w:rPr>
        <w:t>实施科研项目、发表论文5篇，支付实验材料及论文费48.8万元；聘请研究生5人，支付劳务费7.66万元；完成人才培养4人，分别为景芸、杨静、王晶、朱丽丽，支付培训及差旅费37.95万元；个人补助发放共计7人，分别为帕力旦·吾布尔、邓德强、李婷、贺红梅、李敏、张春霞、朱雅，金额29万元。</w:t>
      </w:r>
    </w:p>
    <w:p>
      <w:pPr>
        <w:spacing w:line="360" w:lineRule="auto"/>
        <w:ind w:firstLine="560"/>
        <w:rPr>
          <w:color w:val="000000"/>
          <w:highlight w:val="none"/>
        </w:rPr>
      </w:pPr>
      <w:r>
        <w:rPr>
          <w:rFonts w:hint="eastAsia" w:ascii="仿宋_GB2312" w:hAnsi="仿宋" w:cs="宋体"/>
          <w:color w:val="000000"/>
          <w:kern w:val="0"/>
          <w:szCs w:val="28"/>
          <w:highlight w:val="none"/>
        </w:rPr>
        <w:t>故资金分配合理性指标得分</w:t>
      </w:r>
      <w:r>
        <w:rPr>
          <w:rFonts w:ascii="仿宋_GB2312" w:hAnsi="仿宋" w:cs="宋体"/>
          <w:color w:val="000000"/>
          <w:kern w:val="0"/>
          <w:szCs w:val="28"/>
          <w:highlight w:val="none"/>
        </w:rPr>
        <w:t>3</w:t>
      </w:r>
      <w:r>
        <w:rPr>
          <w:rFonts w:hint="eastAsia" w:ascii="仿宋_GB2312" w:hAnsi="仿宋" w:cs="宋体"/>
          <w:color w:val="000000"/>
          <w:kern w:val="0"/>
          <w:szCs w:val="28"/>
          <w:highlight w:val="none"/>
        </w:rPr>
        <w:t>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6</w:t>
      </w:r>
      <w:r>
        <w:rPr>
          <w:rFonts w:hint="eastAsia" w:ascii="仿宋_GB2312" w:hAnsi="仿宋" w:cs="宋体"/>
          <w:b/>
          <w:color w:val="000000"/>
          <w:kern w:val="0"/>
          <w:szCs w:val="28"/>
          <w:highlight w:val="none"/>
        </w:rPr>
        <w:t>分，得分6分。</w:t>
      </w:r>
    </w:p>
    <w:p>
      <w:pPr>
        <w:pStyle w:val="3"/>
        <w:ind w:firstLine="643"/>
        <w:rPr>
          <w:rFonts w:ascii="仿宋" w:hAnsi="仿宋" w:eastAsia="仿宋"/>
          <w:color w:val="000000"/>
          <w:highlight w:val="none"/>
          <w:lang w:bidi="en-US"/>
        </w:rPr>
      </w:pPr>
      <w:bookmarkStart w:id="43" w:name="_Toc67911613"/>
      <w:bookmarkStart w:id="44" w:name="_Toc165277245"/>
      <w:r>
        <w:rPr>
          <w:rFonts w:hint="eastAsia" w:ascii="仿宋" w:hAnsi="仿宋" w:eastAsia="仿宋"/>
          <w:color w:val="000000"/>
          <w:highlight w:val="none"/>
          <w:lang w:bidi="en-US"/>
        </w:rPr>
        <w:t>（二）项目过程情况</w:t>
      </w:r>
      <w:bookmarkEnd w:id="43"/>
      <w:bookmarkEnd w:id="44"/>
    </w:p>
    <w:p>
      <w:pPr>
        <w:spacing w:line="360" w:lineRule="auto"/>
        <w:ind w:firstLine="560"/>
        <w:rPr>
          <w:rFonts w:ascii="仿宋_GB2312"/>
          <w:color w:val="000000"/>
          <w:szCs w:val="28"/>
          <w:highlight w:val="none"/>
        </w:rPr>
      </w:pPr>
      <w:r>
        <w:rPr>
          <w:rFonts w:hint="eastAsia" w:ascii="仿宋_GB2312"/>
          <w:color w:val="000000"/>
          <w:szCs w:val="28"/>
          <w:highlight w:val="none"/>
        </w:rPr>
        <w:t>项目过程指标由2个二级指标和</w:t>
      </w:r>
      <w:r>
        <w:rPr>
          <w:rFonts w:ascii="仿宋_GB2312"/>
          <w:color w:val="000000"/>
          <w:szCs w:val="28"/>
          <w:highlight w:val="none"/>
        </w:rPr>
        <w:t>5</w:t>
      </w:r>
      <w:r>
        <w:rPr>
          <w:rFonts w:hint="eastAsia" w:ascii="仿宋_GB2312"/>
          <w:color w:val="000000"/>
          <w:szCs w:val="28"/>
          <w:highlight w:val="none"/>
        </w:rPr>
        <w:t>个三级指标构成，权重为</w:t>
      </w:r>
      <w:r>
        <w:rPr>
          <w:rFonts w:ascii="仿宋_GB2312"/>
          <w:color w:val="000000"/>
          <w:szCs w:val="28"/>
          <w:highlight w:val="none"/>
        </w:rPr>
        <w:t>20</w:t>
      </w:r>
      <w:r>
        <w:rPr>
          <w:rFonts w:hint="eastAsia" w:ascii="仿宋_GB2312"/>
          <w:color w:val="000000"/>
          <w:szCs w:val="28"/>
          <w:highlight w:val="none"/>
        </w:rPr>
        <w:t>分，实际得分20分。</w:t>
      </w:r>
    </w:p>
    <w:p>
      <w:pPr>
        <w:pStyle w:val="4"/>
        <w:ind w:firstLine="643"/>
        <w:rPr>
          <w:color w:val="000000"/>
          <w:highlight w:val="none"/>
        </w:rPr>
      </w:pPr>
      <w:bookmarkStart w:id="45" w:name="_Toc165277246"/>
      <w:r>
        <w:rPr>
          <w:color w:val="000000"/>
          <w:highlight w:val="none"/>
        </w:rPr>
        <w:t>1.</w:t>
      </w:r>
      <w:r>
        <w:rPr>
          <w:rFonts w:hint="eastAsia"/>
          <w:color w:val="000000"/>
          <w:highlight w:val="none"/>
        </w:rPr>
        <w:t>资金管理</w:t>
      </w:r>
      <w:bookmarkEnd w:id="45"/>
    </w:p>
    <w:p>
      <w:pPr>
        <w:spacing w:line="360" w:lineRule="auto"/>
        <w:ind w:firstLine="562"/>
        <w:rPr>
          <w:rFonts w:ascii="仿宋_GB2312"/>
          <w:color w:val="000000"/>
          <w:szCs w:val="28"/>
          <w:highlight w:val="none"/>
        </w:rPr>
      </w:pPr>
      <w:r>
        <w:rPr>
          <w:rFonts w:hint="eastAsia" w:ascii="仿宋_GB2312"/>
          <w:b/>
          <w:bCs/>
          <w:color w:val="000000"/>
          <w:szCs w:val="28"/>
          <w:highlight w:val="none"/>
        </w:rPr>
        <w:t>资金到位率：</w:t>
      </w:r>
      <w:r>
        <w:rPr>
          <w:rFonts w:hint="eastAsia" w:ascii="仿宋_GB2312" w:hAnsi="仿宋" w:cs="宋体"/>
          <w:color w:val="000000"/>
          <w:kern w:val="0"/>
          <w:szCs w:val="28"/>
          <w:highlight w:val="none"/>
        </w:rPr>
        <w:t>该项目资金由财政拨付，预算批复128万元，在2023年4月3日通过</w:t>
      </w:r>
      <w:r>
        <w:rPr>
          <w:rFonts w:hint="eastAsia" w:ascii="仿宋_GB2312"/>
          <w:color w:val="000000"/>
          <w:highlight w:val="none"/>
        </w:rPr>
        <w:t>《关于拨付新疆人才发展基金2024年度第一轮支持资金的通知》（乌财行〔2024〕29号）</w:t>
      </w:r>
      <w:r>
        <w:rPr>
          <w:rFonts w:hint="eastAsia" w:ascii="仿宋_GB2312" w:hAnsi="仿宋" w:cs="宋体"/>
          <w:color w:val="000000"/>
          <w:kern w:val="0"/>
          <w:szCs w:val="28"/>
          <w:highlight w:val="none"/>
        </w:rPr>
        <w:t>拨付资金128万元，实际支付123.41万元，资金到位率96.41</w:t>
      </w:r>
      <w:r>
        <w:rPr>
          <w:rFonts w:ascii="仿宋_GB2312" w:hAnsi="仿宋" w:cs="宋体"/>
          <w:color w:val="000000"/>
          <w:kern w:val="0"/>
          <w:szCs w:val="28"/>
          <w:highlight w:val="none"/>
        </w:rPr>
        <w:t>%，</w:t>
      </w:r>
      <w:r>
        <w:rPr>
          <w:rFonts w:hint="eastAsia" w:ascii="仿宋_GB2312" w:hAnsi="仿宋" w:cs="宋体"/>
          <w:color w:val="000000"/>
          <w:kern w:val="0"/>
          <w:szCs w:val="28"/>
          <w:highlight w:val="none"/>
        </w:rPr>
        <w:t>故资金到位率指标得分4.82分。</w:t>
      </w:r>
    </w:p>
    <w:p>
      <w:pPr>
        <w:spacing w:line="360" w:lineRule="auto"/>
        <w:ind w:firstLine="560"/>
        <w:rPr>
          <w:rFonts w:ascii="仿宋_GB2312"/>
          <w:color w:val="000000"/>
          <w:szCs w:val="28"/>
          <w:highlight w:val="none"/>
        </w:rPr>
      </w:pPr>
    </w:p>
    <w:p>
      <w:pPr>
        <w:spacing w:line="360" w:lineRule="auto"/>
        <w:ind w:firstLine="562"/>
        <w:rPr>
          <w:rFonts w:ascii="仿宋_GB2312"/>
          <w:color w:val="000000"/>
          <w:szCs w:val="28"/>
          <w:highlight w:val="none"/>
        </w:rPr>
      </w:pPr>
      <w:r>
        <w:rPr>
          <w:rFonts w:hint="eastAsia" w:ascii="仿宋_GB2312"/>
          <w:b/>
          <w:bCs/>
          <w:color w:val="000000"/>
          <w:szCs w:val="28"/>
          <w:highlight w:val="none"/>
        </w:rPr>
        <w:t>预算执行率：</w:t>
      </w:r>
      <w:r>
        <w:rPr>
          <w:rFonts w:hint="eastAsia" w:ascii="仿宋_GB2312"/>
          <w:color w:val="000000"/>
          <w:szCs w:val="28"/>
          <w:highlight w:val="none"/>
        </w:rPr>
        <w:t>该项目</w:t>
      </w:r>
      <w:r>
        <w:rPr>
          <w:rFonts w:hint="eastAsia" w:ascii="仿宋_GB2312"/>
          <w:color w:val="000000"/>
          <w:highlight w:val="none"/>
        </w:rPr>
        <w:t>用于实施科研项目、聘请研究生、完成人才培养、发表论文及发放个人补助。6月支付邓德强个人生活补助6万元，支付贺红梅个人生活补助3万元，支付李敏个人生活补助3万元，支付李婷个人生活补助3万元，支付帕力旦·吾布尔个人生活补助6万元，李敏培训费0.75万元；7月支付张才华劳务费0.24万元，支付周晓倩劳务费0.24万元；8月支付李敏培训费0.84万元；9月支付张春霞、朱雅个人生活补助3.1万元，支付朱雅、李海玲差旅费2.04万元；10月支付乌鲁木齐格林金诺生物科技有限公司专用材料费2.78万元，委托业务费3.6万元，新疆培茵生物科技有限公司专用材料费7.85万元，徐秀娟、刘巧英、雷海英培训费4.85万元，张才华、周晓倩劳务费0.32万元，支付陈飞、马义辉个人生活补助3.8万元；11月支付首都医科大学附属北京中医医院培训费2.4万元，杨静、景芸、王晶、朱丽丽、李婷、李敏培训费20.77万元，乌鲁木齐瑾云生物科技有限公司委托业务费4.8万元，新疆金域医学检验所有限公司委托业务费6万元、专用材料费7万元，新疆华申青研生物科技有限公司委托业务费3万元、专用材料费4万元，汪云琦、胡越劳务费3.5万元；12月支付高晓丁、胡冰虹等人劳务费3.36万元，首都医科大学附属北京中医医院、李敏等人培训费6.3万元，成都欣科因子医学检验实验室有限公司专用材料费0.99万元、委托业务费2万元，李敏委托业务费0.78万元，新疆人民卫生出版社6万元，金黑鹰个人生活补助1.1万元。</w:t>
      </w:r>
      <w:r>
        <w:rPr>
          <w:rFonts w:hint="eastAsia" w:ascii="仿宋_GB2312"/>
          <w:color w:val="000000"/>
          <w:szCs w:val="28"/>
          <w:highlight w:val="none"/>
        </w:rPr>
        <w:t>共执行资金123.41万元，123.41/</w:t>
      </w:r>
      <w:r>
        <w:rPr>
          <w:rFonts w:hint="eastAsia" w:ascii="仿宋_GB2312"/>
          <w:color w:val="000000"/>
          <w:szCs w:val="28"/>
          <w:highlight w:val="none"/>
          <w:lang w:val="en-US" w:eastAsia="zh-CN"/>
        </w:rPr>
        <w:t>128</w:t>
      </w:r>
      <w:r>
        <w:rPr>
          <w:rFonts w:hint="eastAsia" w:ascii="仿宋_GB2312"/>
          <w:color w:val="000000"/>
          <w:szCs w:val="28"/>
          <w:highlight w:val="none"/>
        </w:rPr>
        <w:t>*5=</w:t>
      </w:r>
      <w:r>
        <w:rPr>
          <w:rFonts w:hint="eastAsia" w:ascii="仿宋_GB2312"/>
          <w:color w:val="000000"/>
          <w:szCs w:val="28"/>
          <w:highlight w:val="none"/>
          <w:lang w:val="en-US" w:eastAsia="zh-CN"/>
        </w:rPr>
        <w:t>4.82</w:t>
      </w:r>
      <w:r>
        <w:rPr>
          <w:rFonts w:hint="eastAsia" w:ascii="仿宋_GB2312"/>
          <w:color w:val="000000"/>
          <w:szCs w:val="28"/>
          <w:highlight w:val="none"/>
        </w:rPr>
        <w:t>故预算执行率得分为</w:t>
      </w:r>
      <w:r>
        <w:rPr>
          <w:rFonts w:hint="eastAsia" w:ascii="仿宋_GB2312"/>
          <w:color w:val="000000"/>
          <w:szCs w:val="28"/>
          <w:highlight w:val="none"/>
          <w:lang w:val="en-US" w:eastAsia="zh-CN"/>
        </w:rPr>
        <w:t>4.82</w:t>
      </w:r>
      <w:r>
        <w:rPr>
          <w:rFonts w:hint="eastAsia" w:ascii="仿宋_GB2312"/>
          <w:color w:val="000000"/>
          <w:szCs w:val="28"/>
          <w:highlight w:val="none"/>
        </w:rPr>
        <w:t>分。</w:t>
      </w:r>
    </w:p>
    <w:p>
      <w:pPr>
        <w:spacing w:line="360" w:lineRule="auto"/>
        <w:ind w:firstLine="562"/>
        <w:rPr>
          <w:rFonts w:ascii="仿宋_GB2312"/>
          <w:b/>
          <w:bCs/>
          <w:color w:val="000000"/>
          <w:szCs w:val="28"/>
          <w:highlight w:val="none"/>
        </w:rPr>
      </w:pPr>
    </w:p>
    <w:p>
      <w:pPr>
        <w:spacing w:line="360" w:lineRule="auto"/>
        <w:ind w:firstLine="562"/>
        <w:rPr>
          <w:rFonts w:ascii="仿宋_GB2312"/>
          <w:color w:val="000000"/>
          <w:szCs w:val="28"/>
          <w:highlight w:val="none"/>
        </w:rPr>
      </w:pPr>
      <w:r>
        <w:rPr>
          <w:rFonts w:hint="eastAsia" w:ascii="仿宋_GB2312"/>
          <w:b/>
          <w:bCs/>
          <w:color w:val="000000"/>
          <w:szCs w:val="28"/>
          <w:highlight w:val="none"/>
        </w:rPr>
        <w:t>资金使用合规性：</w:t>
      </w:r>
      <w:r>
        <w:rPr>
          <w:rFonts w:hint="eastAsia" w:ascii="仿宋_GB2312"/>
          <w:color w:val="000000"/>
          <w:szCs w:val="28"/>
          <w:highlight w:val="none"/>
        </w:rPr>
        <w:t>本项目资金使用严格遵循本单位的《财政专项资金使用制度》的规定。同时，资金的拨付有使用计划的申请和资金支付的审批程序，需要项目负责人、项目管理科室、分管院领导、财务科长和分管财务的院领导签批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13</w:t>
      </w:r>
      <w:r>
        <w:rPr>
          <w:rFonts w:hint="eastAsia" w:ascii="仿宋_GB2312" w:hAnsi="仿宋" w:cs="宋体"/>
          <w:b/>
          <w:color w:val="000000"/>
          <w:kern w:val="0"/>
          <w:szCs w:val="28"/>
          <w:highlight w:val="none"/>
        </w:rPr>
        <w:t>分，得分12.82分。</w:t>
      </w:r>
    </w:p>
    <w:p>
      <w:pPr>
        <w:pStyle w:val="4"/>
        <w:ind w:firstLine="643"/>
        <w:rPr>
          <w:color w:val="000000"/>
          <w:highlight w:val="none"/>
        </w:rPr>
      </w:pPr>
      <w:bookmarkStart w:id="46" w:name="_Toc165277247"/>
      <w:r>
        <w:rPr>
          <w:color w:val="000000"/>
          <w:highlight w:val="none"/>
        </w:rPr>
        <w:t>2.</w:t>
      </w:r>
      <w:r>
        <w:rPr>
          <w:rFonts w:hint="eastAsia"/>
          <w:color w:val="000000"/>
          <w:highlight w:val="none"/>
        </w:rPr>
        <w:t>组织实施</w:t>
      </w:r>
      <w:bookmarkEnd w:id="46"/>
    </w:p>
    <w:p>
      <w:pPr>
        <w:spacing w:line="360" w:lineRule="auto"/>
        <w:ind w:firstLine="562"/>
        <w:rPr>
          <w:rFonts w:ascii="仿宋_GB2312"/>
          <w:color w:val="000000"/>
          <w:szCs w:val="28"/>
          <w:highlight w:val="none"/>
        </w:rPr>
      </w:pPr>
      <w:r>
        <w:rPr>
          <w:rFonts w:hint="eastAsia" w:ascii="仿宋_GB2312"/>
          <w:b/>
          <w:bCs/>
          <w:color w:val="000000"/>
          <w:szCs w:val="28"/>
          <w:highlight w:val="none"/>
        </w:rPr>
        <w:t>管理制度健全性</w:t>
      </w:r>
      <w:r>
        <w:rPr>
          <w:rFonts w:hint="eastAsia" w:ascii="仿宋_GB2312"/>
          <w:color w:val="000000"/>
          <w:szCs w:val="28"/>
          <w:highlight w:val="none"/>
        </w:rPr>
        <w:t>：乌鲁木齐市中医医院已制定相应的《财政专项资金使用制度》，且制度合法、合规、完整，为项目顺利实施提供重要保障。对资金的使用范围有清晰界定，包括人才培养培训费用、人才引进费用、发表科研论文费用，同时明确各类支出的审批流程、额度限制等，确保资金使用合理、规范。故管理制度健全性得分为3分。</w:t>
      </w:r>
    </w:p>
    <w:p>
      <w:pPr>
        <w:spacing w:line="360" w:lineRule="auto"/>
        <w:ind w:firstLine="562"/>
        <w:rPr>
          <w:rFonts w:ascii="仿宋_GB2312"/>
          <w:color w:val="000000"/>
          <w:szCs w:val="28"/>
          <w:highlight w:val="none"/>
        </w:rPr>
      </w:pPr>
      <w:r>
        <w:rPr>
          <w:rFonts w:hint="eastAsia" w:ascii="仿宋_GB2312"/>
          <w:b/>
          <w:bCs/>
          <w:color w:val="000000"/>
          <w:szCs w:val="28"/>
          <w:highlight w:val="none"/>
        </w:rPr>
        <w:t>制度执行有效性：</w:t>
      </w:r>
      <w:r>
        <w:rPr>
          <w:rFonts w:hint="eastAsia" w:ascii="仿宋_GB2312"/>
          <w:color w:val="000000"/>
          <w:szCs w:val="28"/>
          <w:highlight w:val="none"/>
        </w:rPr>
        <w:t>根据评价小组核查情况，乌鲁木齐市中医医院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color w:val="000000"/>
          <w:szCs w:val="28"/>
          <w:highlight w:val="none"/>
        </w:rPr>
        <w:t>4</w:t>
      </w:r>
      <w:r>
        <w:rPr>
          <w:rFonts w:hint="eastAsia" w:ascii="仿宋_GB2312"/>
          <w:color w:val="000000"/>
          <w:szCs w:val="28"/>
          <w:highlight w:val="none"/>
        </w:rPr>
        <w:t>分。</w:t>
      </w:r>
    </w:p>
    <w:p>
      <w:pPr>
        <w:autoSpaceDE w:val="0"/>
        <w:spacing w:line="600" w:lineRule="exact"/>
        <w:ind w:firstLine="562"/>
        <w:rPr>
          <w:rFonts w:ascii="仿宋_GB2312" w:hAnsi="仿宋" w:cs="宋体"/>
          <w:b/>
          <w:color w:val="000000"/>
          <w:kern w:val="0"/>
          <w:szCs w:val="28"/>
          <w:highlight w:val="none"/>
        </w:rPr>
      </w:pPr>
      <w:bookmarkStart w:id="47" w:name="_Hlk67670213"/>
      <w:r>
        <w:rPr>
          <w:rFonts w:hint="eastAsia" w:ascii="仿宋_GB2312" w:hAnsi="仿宋" w:cs="宋体"/>
          <w:b/>
          <w:color w:val="000000"/>
          <w:kern w:val="0"/>
          <w:szCs w:val="28"/>
          <w:highlight w:val="none"/>
        </w:rPr>
        <w:t>综上，该指标满分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分，得分</w:t>
      </w:r>
      <w:r>
        <w:rPr>
          <w:rFonts w:ascii="仿宋_GB2312" w:hAnsi="仿宋" w:cs="宋体"/>
          <w:b/>
          <w:color w:val="000000"/>
          <w:kern w:val="0"/>
          <w:szCs w:val="28"/>
          <w:highlight w:val="none"/>
        </w:rPr>
        <w:t>7</w:t>
      </w:r>
      <w:r>
        <w:rPr>
          <w:rFonts w:hint="eastAsia" w:ascii="仿宋_GB2312" w:hAnsi="仿宋" w:cs="宋体"/>
          <w:b/>
          <w:color w:val="000000"/>
          <w:kern w:val="0"/>
          <w:szCs w:val="28"/>
          <w:highlight w:val="none"/>
        </w:rPr>
        <w:t>分。</w:t>
      </w:r>
    </w:p>
    <w:bookmarkEnd w:id="47"/>
    <w:p>
      <w:pPr>
        <w:pStyle w:val="3"/>
        <w:ind w:firstLine="643"/>
        <w:rPr>
          <w:rFonts w:ascii="仿宋" w:hAnsi="仿宋" w:eastAsia="仿宋"/>
          <w:color w:val="000000"/>
          <w:highlight w:val="none"/>
          <w:lang w:bidi="en-US"/>
        </w:rPr>
      </w:pPr>
      <w:bookmarkStart w:id="48" w:name="_Toc67911614"/>
      <w:bookmarkStart w:id="49" w:name="_Toc165277248"/>
      <w:r>
        <w:rPr>
          <w:rFonts w:hint="eastAsia" w:ascii="仿宋" w:hAnsi="仿宋" w:eastAsia="仿宋"/>
          <w:color w:val="000000"/>
          <w:highlight w:val="none"/>
          <w:lang w:bidi="en-US"/>
        </w:rPr>
        <w:t>（三）项目产出情况</w:t>
      </w:r>
      <w:bookmarkEnd w:id="48"/>
      <w:bookmarkEnd w:id="49"/>
    </w:p>
    <w:p>
      <w:pPr>
        <w:spacing w:line="360" w:lineRule="auto"/>
        <w:ind w:firstLine="560"/>
        <w:rPr>
          <w:rFonts w:ascii="仿宋_GB2312"/>
          <w:color w:val="000000"/>
          <w:szCs w:val="28"/>
          <w:highlight w:val="none"/>
        </w:rPr>
      </w:pPr>
      <w:r>
        <w:rPr>
          <w:rFonts w:hint="eastAsia" w:ascii="仿宋_GB2312"/>
          <w:color w:val="000000"/>
          <w:szCs w:val="28"/>
          <w:highlight w:val="none"/>
        </w:rPr>
        <w:t>项目产出指标由4个二级指标和11个三级指标构成，权重为50分，实际得分50分。</w:t>
      </w:r>
    </w:p>
    <w:p>
      <w:pPr>
        <w:pStyle w:val="4"/>
        <w:ind w:firstLine="643"/>
        <w:rPr>
          <w:color w:val="000000"/>
          <w:highlight w:val="none"/>
        </w:rPr>
      </w:pPr>
      <w:bookmarkStart w:id="50" w:name="_Toc165277249"/>
      <w:r>
        <w:rPr>
          <w:rFonts w:hint="eastAsia"/>
          <w:color w:val="000000"/>
          <w:highlight w:val="none"/>
        </w:rPr>
        <w:t>1</w:t>
      </w:r>
      <w:r>
        <w:rPr>
          <w:color w:val="000000"/>
          <w:highlight w:val="none"/>
        </w:rPr>
        <w:t>.</w:t>
      </w:r>
      <w:r>
        <w:rPr>
          <w:rFonts w:hint="eastAsia"/>
          <w:color w:val="000000"/>
          <w:highlight w:val="none"/>
        </w:rPr>
        <w:t>产出数量</w:t>
      </w:r>
      <w:bookmarkEnd w:id="50"/>
    </w:p>
    <w:p>
      <w:pPr>
        <w:spacing w:line="360" w:lineRule="auto"/>
        <w:ind w:firstLine="560"/>
        <w:rPr>
          <w:rFonts w:ascii="仿宋_GB2312"/>
          <w:color w:val="000000"/>
          <w:szCs w:val="28"/>
          <w:highlight w:val="none"/>
        </w:rPr>
      </w:pPr>
      <w:r>
        <w:rPr>
          <w:rFonts w:hint="eastAsia" w:ascii="仿宋_GB2312"/>
          <w:bCs/>
          <w:color w:val="000000"/>
          <w:szCs w:val="28"/>
          <w:highlight w:val="none"/>
        </w:rPr>
        <w:t>数量指标“科研项目论文”完成100%，“科研项目论文”的目标值是</w:t>
      </w:r>
      <w:r>
        <w:rPr>
          <w:rFonts w:hint="eastAsia" w:ascii="仿宋_GB2312"/>
          <w:bCs/>
          <w:color w:val="000000"/>
          <w:szCs w:val="28"/>
          <w:highlight w:val="none"/>
          <w:lang w:val="en-US" w:eastAsia="zh-CN"/>
        </w:rPr>
        <w:t>≥</w:t>
      </w:r>
      <w:r>
        <w:rPr>
          <w:rFonts w:hint="eastAsia" w:ascii="仿宋_GB2312"/>
          <w:bCs/>
          <w:color w:val="000000"/>
          <w:szCs w:val="28"/>
          <w:highlight w:val="none"/>
        </w:rPr>
        <w:t>5篇，2024</w:t>
      </w:r>
      <w:r>
        <w:rPr>
          <w:rFonts w:ascii="仿宋_GB2312"/>
          <w:bCs/>
          <w:color w:val="000000"/>
          <w:szCs w:val="28"/>
          <w:highlight w:val="none"/>
        </w:rPr>
        <w:t>年度我单位实际完成</w:t>
      </w:r>
      <w:r>
        <w:rPr>
          <w:rFonts w:hint="eastAsia" w:ascii="仿宋_GB2312"/>
          <w:bCs/>
          <w:color w:val="000000"/>
          <w:szCs w:val="28"/>
          <w:highlight w:val="none"/>
        </w:rPr>
        <w:t>5篇，</w:t>
      </w:r>
      <w:r>
        <w:rPr>
          <w:rFonts w:hint="eastAsia" w:ascii="仿宋_GB2312"/>
          <w:color w:val="000000"/>
          <w:szCs w:val="28"/>
          <w:highlight w:val="none"/>
        </w:rPr>
        <w:t>实际完成率：100%，故实际完成率得分为5分。</w:t>
      </w:r>
    </w:p>
    <w:p>
      <w:pPr>
        <w:spacing w:line="360" w:lineRule="auto"/>
        <w:ind w:firstLine="560"/>
        <w:rPr>
          <w:rFonts w:ascii="仿宋_GB2312"/>
          <w:bCs/>
          <w:color w:val="000000"/>
          <w:szCs w:val="28"/>
          <w:highlight w:val="none"/>
        </w:rPr>
      </w:pPr>
      <w:r>
        <w:rPr>
          <w:rFonts w:hint="eastAsia" w:ascii="仿宋_GB2312"/>
          <w:bCs/>
          <w:color w:val="000000"/>
          <w:szCs w:val="28"/>
          <w:highlight w:val="none"/>
        </w:rPr>
        <w:t>数量指标“聘请研究生或专家”完成100%，“聘请研究生或专家”的目标值是</w:t>
      </w:r>
      <w:r>
        <w:rPr>
          <w:rFonts w:hint="eastAsia" w:ascii="仿宋_GB2312"/>
          <w:bCs/>
          <w:color w:val="000000"/>
          <w:szCs w:val="28"/>
          <w:highlight w:val="none"/>
          <w:lang w:val="en-US" w:eastAsia="zh-CN"/>
        </w:rPr>
        <w:t>≥</w:t>
      </w:r>
      <w:r>
        <w:rPr>
          <w:rFonts w:hint="eastAsia" w:ascii="仿宋_GB2312"/>
          <w:bCs/>
          <w:color w:val="000000"/>
          <w:szCs w:val="28"/>
          <w:highlight w:val="none"/>
        </w:rPr>
        <w:t>5人，</w:t>
      </w:r>
      <w:r>
        <w:rPr>
          <w:rFonts w:ascii="仿宋_GB2312"/>
          <w:bCs/>
          <w:color w:val="000000"/>
          <w:szCs w:val="28"/>
          <w:highlight w:val="none"/>
        </w:rPr>
        <w:t>2024年度我单位</w:t>
      </w:r>
      <w:r>
        <w:rPr>
          <w:rFonts w:hint="eastAsia" w:ascii="仿宋_GB2312"/>
          <w:bCs/>
          <w:color w:val="000000"/>
          <w:szCs w:val="28"/>
          <w:highlight w:val="none"/>
        </w:rPr>
        <w:t>实际聘请5人，</w:t>
      </w:r>
      <w:r>
        <w:rPr>
          <w:rFonts w:hint="eastAsia" w:ascii="仿宋_GB2312"/>
          <w:color w:val="000000"/>
          <w:szCs w:val="28"/>
          <w:highlight w:val="none"/>
        </w:rPr>
        <w:t>实际完成率：100%，故实际完成率得分为5分。</w:t>
      </w:r>
    </w:p>
    <w:p>
      <w:pPr>
        <w:spacing w:line="360" w:lineRule="auto"/>
        <w:ind w:firstLine="560"/>
        <w:rPr>
          <w:rFonts w:ascii="仿宋_GB2312"/>
          <w:color w:val="000000"/>
          <w:szCs w:val="28"/>
          <w:highlight w:val="none"/>
        </w:rPr>
      </w:pPr>
      <w:r>
        <w:rPr>
          <w:rFonts w:hint="eastAsia" w:ascii="仿宋_GB2312"/>
          <w:bCs/>
          <w:color w:val="000000"/>
          <w:szCs w:val="28"/>
          <w:highlight w:val="none"/>
        </w:rPr>
        <w:t>数量指标“人才培养人数”完成100%，“人才培养人数”的目标值是</w:t>
      </w:r>
      <w:r>
        <w:rPr>
          <w:rFonts w:hint="eastAsia" w:ascii="仿宋_GB2312"/>
          <w:bCs/>
          <w:color w:val="000000"/>
          <w:szCs w:val="28"/>
          <w:highlight w:val="none"/>
          <w:lang w:val="en-US" w:eastAsia="zh-CN"/>
        </w:rPr>
        <w:t>≥</w:t>
      </w:r>
      <w:r>
        <w:rPr>
          <w:rFonts w:hint="eastAsia" w:ascii="仿宋_GB2312"/>
          <w:bCs/>
          <w:color w:val="000000"/>
          <w:szCs w:val="28"/>
          <w:highlight w:val="none"/>
        </w:rPr>
        <w:t>4人，</w:t>
      </w:r>
      <w:r>
        <w:rPr>
          <w:rFonts w:ascii="仿宋_GB2312"/>
          <w:bCs/>
          <w:color w:val="000000"/>
          <w:szCs w:val="28"/>
          <w:highlight w:val="none"/>
        </w:rPr>
        <w:t>2024年度我单位</w:t>
      </w:r>
      <w:r>
        <w:rPr>
          <w:rFonts w:hint="eastAsia" w:ascii="仿宋_GB2312"/>
          <w:bCs/>
          <w:color w:val="000000"/>
          <w:szCs w:val="28"/>
          <w:highlight w:val="none"/>
        </w:rPr>
        <w:t>实际完成4人，</w:t>
      </w:r>
      <w:r>
        <w:rPr>
          <w:rFonts w:hint="eastAsia" w:ascii="仿宋_GB2312"/>
          <w:color w:val="000000"/>
          <w:szCs w:val="28"/>
          <w:highlight w:val="none"/>
        </w:rPr>
        <w:t>实际完成率100%，故实际完成率得分为5分。</w:t>
      </w:r>
    </w:p>
    <w:p>
      <w:pPr>
        <w:spacing w:line="360" w:lineRule="auto"/>
        <w:ind w:firstLine="560"/>
        <w:rPr>
          <w:rFonts w:ascii="仿宋_GB2312"/>
          <w:color w:val="000000"/>
          <w:szCs w:val="28"/>
          <w:highlight w:val="none"/>
        </w:rPr>
      </w:pPr>
      <w:r>
        <w:rPr>
          <w:rFonts w:hint="eastAsia" w:ascii="仿宋_GB2312"/>
          <w:color w:val="000000"/>
          <w:szCs w:val="28"/>
          <w:highlight w:val="none"/>
        </w:rPr>
        <w:t>数量指标“个人补助人数”完成100%，“个人补助人数”的目标值是</w:t>
      </w:r>
      <w:r>
        <w:rPr>
          <w:rFonts w:hint="eastAsia" w:ascii="仿宋_GB2312"/>
          <w:bCs/>
          <w:color w:val="000000"/>
          <w:szCs w:val="28"/>
          <w:highlight w:val="none"/>
          <w:lang w:val="en-US" w:eastAsia="zh-CN"/>
        </w:rPr>
        <w:t>≥</w:t>
      </w:r>
      <w:r>
        <w:rPr>
          <w:rFonts w:hint="eastAsia" w:ascii="仿宋_GB2312"/>
          <w:color w:val="000000"/>
          <w:szCs w:val="28"/>
          <w:highlight w:val="none"/>
        </w:rPr>
        <w:t>7人，2024年度我单位实际聘请7人，实际完成率100%，故实际完成率得分为5分。</w:t>
      </w:r>
    </w:p>
    <w:p>
      <w:pPr>
        <w:spacing w:line="360" w:lineRule="auto"/>
        <w:ind w:firstLine="560"/>
        <w:rPr>
          <w:rFonts w:ascii="仿宋_GB2312"/>
          <w:bCs/>
          <w:color w:val="000000"/>
          <w:szCs w:val="28"/>
          <w:highlight w:val="none"/>
        </w:rPr>
      </w:pPr>
      <w:r>
        <w:rPr>
          <w:rFonts w:ascii="仿宋_GB2312"/>
          <w:color w:val="000000"/>
          <w:szCs w:val="28"/>
          <w:highlight w:val="none"/>
        </w:rPr>
        <w:t>综上，数量指标得分为</w:t>
      </w:r>
      <w:r>
        <w:rPr>
          <w:rFonts w:hint="eastAsia" w:ascii="仿宋_GB2312"/>
          <w:color w:val="000000"/>
          <w:szCs w:val="28"/>
          <w:highlight w:val="none"/>
        </w:rPr>
        <w:t>20</w:t>
      </w:r>
      <w:r>
        <w:rPr>
          <w:rFonts w:ascii="仿宋_GB2312"/>
          <w:color w:val="000000"/>
          <w:szCs w:val="28"/>
          <w:highlight w:val="none"/>
        </w:rPr>
        <w:t>分。</w:t>
      </w:r>
    </w:p>
    <w:p>
      <w:pPr>
        <w:pStyle w:val="4"/>
        <w:ind w:firstLine="643"/>
        <w:rPr>
          <w:color w:val="000000"/>
          <w:highlight w:val="none"/>
        </w:rPr>
      </w:pPr>
      <w:bookmarkStart w:id="51" w:name="_Toc165277250"/>
      <w:r>
        <w:rPr>
          <w:rFonts w:hint="eastAsia"/>
          <w:color w:val="000000"/>
          <w:highlight w:val="none"/>
        </w:rPr>
        <w:t>2</w:t>
      </w:r>
      <w:r>
        <w:rPr>
          <w:color w:val="000000"/>
          <w:highlight w:val="none"/>
        </w:rPr>
        <w:t>.</w:t>
      </w:r>
      <w:r>
        <w:rPr>
          <w:rFonts w:hint="eastAsia"/>
          <w:color w:val="000000"/>
          <w:highlight w:val="none"/>
        </w:rPr>
        <w:t>产出质量</w:t>
      </w:r>
      <w:bookmarkEnd w:id="51"/>
    </w:p>
    <w:p>
      <w:pPr>
        <w:spacing w:line="360" w:lineRule="auto"/>
        <w:ind w:firstLine="560"/>
        <w:rPr>
          <w:rFonts w:ascii="仿宋_GB2312"/>
          <w:bCs/>
          <w:color w:val="000000"/>
          <w:szCs w:val="28"/>
          <w:highlight w:val="none"/>
        </w:rPr>
      </w:pPr>
      <w:bookmarkStart w:id="52" w:name="_Toc165277251"/>
      <w:r>
        <w:rPr>
          <w:rFonts w:hint="eastAsia" w:ascii="仿宋_GB2312"/>
          <w:bCs/>
          <w:color w:val="000000"/>
          <w:szCs w:val="28"/>
          <w:highlight w:val="none"/>
        </w:rPr>
        <w:t>质量指标“科研论文等级”完成100%，“科研论文等级”的目标值=省级以上，2024年度我单位实际完成省级以上论文刊级，故实际完成率为100%。</w:t>
      </w:r>
    </w:p>
    <w:p>
      <w:pPr>
        <w:spacing w:line="360" w:lineRule="auto"/>
        <w:ind w:firstLine="560"/>
        <w:rPr>
          <w:rFonts w:ascii="仿宋_GB2312"/>
          <w:bCs/>
          <w:color w:val="000000"/>
          <w:szCs w:val="28"/>
          <w:highlight w:val="none"/>
        </w:rPr>
      </w:pPr>
      <w:r>
        <w:rPr>
          <w:rFonts w:hint="eastAsia" w:ascii="仿宋_GB2312"/>
          <w:bCs/>
          <w:color w:val="000000"/>
          <w:szCs w:val="28"/>
          <w:highlight w:val="none"/>
        </w:rPr>
        <w:t>质量指标“人才培养完成率”的目标值是</w:t>
      </w:r>
      <w:r>
        <w:rPr>
          <w:rFonts w:hint="eastAsia" w:ascii="仿宋_GB2312"/>
          <w:bCs/>
          <w:color w:val="000000"/>
          <w:szCs w:val="28"/>
          <w:highlight w:val="none"/>
          <w:lang w:val="en-US" w:eastAsia="zh-CN"/>
        </w:rPr>
        <w:t>≥</w:t>
      </w:r>
      <w:r>
        <w:rPr>
          <w:rFonts w:hint="eastAsia" w:ascii="仿宋_GB2312"/>
          <w:bCs/>
          <w:color w:val="000000"/>
          <w:szCs w:val="28"/>
          <w:highlight w:val="none"/>
        </w:rPr>
        <w:t>75%，2024年度我单位总体实际完成100%，原因是医院坚持“强中医、重疗效，传承创新；强专科、育名医，服务全疆”的发展战略，深刻认识到人才是实现这一战略的关键因素，因此将人才培养置于医院发展的重要位置，从顶层设计上保障人才培养工作的有序推进。</w:t>
      </w:r>
    </w:p>
    <w:p>
      <w:pPr>
        <w:spacing w:line="360" w:lineRule="auto"/>
        <w:ind w:firstLine="560"/>
        <w:rPr>
          <w:rFonts w:ascii="仿宋_GB2312"/>
          <w:bCs/>
          <w:color w:val="000000"/>
          <w:szCs w:val="28"/>
          <w:highlight w:val="none"/>
        </w:rPr>
      </w:pPr>
      <w:r>
        <w:rPr>
          <w:rFonts w:hint="eastAsia" w:ascii="仿宋_GB2312"/>
          <w:bCs/>
          <w:color w:val="000000"/>
          <w:szCs w:val="28"/>
          <w:highlight w:val="none"/>
        </w:rPr>
        <w:t>综上，质量指标得分为10分。</w:t>
      </w:r>
    </w:p>
    <w:p>
      <w:pPr>
        <w:pStyle w:val="3"/>
        <w:ind w:firstLine="643"/>
        <w:rPr>
          <w:rFonts w:ascii="仿宋" w:hAnsi="仿宋" w:eastAsia="仿宋"/>
          <w:color w:val="000000"/>
          <w:highlight w:val="none"/>
          <w:lang w:bidi="en-US"/>
        </w:rPr>
      </w:pPr>
      <w:r>
        <w:rPr>
          <w:rFonts w:hint="eastAsia" w:ascii="Calibri" w:hAnsi="Calibri" w:eastAsia="仿宋_GB2312" w:cs="黑体"/>
          <w:color w:val="000000"/>
          <w:highlight w:val="none"/>
        </w:rPr>
        <w:t>3.</w:t>
      </w:r>
      <w:r>
        <w:rPr>
          <w:rFonts w:hint="eastAsia" w:ascii="仿宋" w:hAnsi="仿宋" w:eastAsia="仿宋"/>
          <w:color w:val="000000"/>
          <w:highlight w:val="none"/>
          <w:lang w:bidi="en-US"/>
        </w:rPr>
        <w:t>产出时效</w:t>
      </w:r>
    </w:p>
    <w:p>
      <w:pPr>
        <w:spacing w:line="360" w:lineRule="auto"/>
        <w:ind w:firstLine="560"/>
        <w:rPr>
          <w:color w:val="000000"/>
          <w:highlight w:val="none"/>
          <w:lang w:bidi="en-US"/>
        </w:rPr>
      </w:pPr>
      <w:r>
        <w:rPr>
          <w:rFonts w:hint="eastAsia"/>
          <w:color w:val="000000"/>
          <w:highlight w:val="none"/>
          <w:lang w:bidi="en-US"/>
        </w:rPr>
        <w:t>时效指标“项目完成及时率”完成100%，项目资金主要用于实施科研项目、发表论文5篇；聘请研究生5人；完成人才培养4人；个人补助发放7人；2024年度我单位实际按时完成了所有设定目标，故项目完成及时率为100%。故时效指标得分为5分。</w:t>
      </w:r>
    </w:p>
    <w:bookmarkEnd w:id="52"/>
    <w:p>
      <w:pPr>
        <w:pStyle w:val="3"/>
        <w:ind w:firstLine="643"/>
        <w:rPr>
          <w:rFonts w:ascii="仿宋" w:hAnsi="仿宋" w:eastAsia="仿宋"/>
          <w:color w:val="000000"/>
          <w:highlight w:val="none"/>
          <w:lang w:bidi="en-US"/>
        </w:rPr>
      </w:pPr>
      <w:bookmarkStart w:id="53" w:name="_Toc67911615"/>
      <w:bookmarkStart w:id="54" w:name="_Toc165277253"/>
      <w:r>
        <w:rPr>
          <w:rFonts w:hint="eastAsia" w:ascii="Calibri" w:hAnsi="Calibri" w:eastAsia="仿宋_GB2312" w:cs="黑体"/>
          <w:color w:val="000000"/>
          <w:highlight w:val="none"/>
        </w:rPr>
        <w:t>4.</w:t>
      </w:r>
      <w:r>
        <w:rPr>
          <w:rFonts w:hint="eastAsia" w:ascii="仿宋" w:hAnsi="仿宋" w:eastAsia="仿宋"/>
          <w:color w:val="000000"/>
          <w:highlight w:val="none"/>
          <w:lang w:bidi="en-US"/>
        </w:rPr>
        <w:t>产出成本</w:t>
      </w:r>
      <w:bookmarkEnd w:id="53"/>
      <w:bookmarkEnd w:id="54"/>
    </w:p>
    <w:p>
      <w:pPr>
        <w:spacing w:line="360" w:lineRule="auto"/>
        <w:ind w:firstLine="560"/>
        <w:rPr>
          <w:color w:val="000000"/>
          <w:highlight w:val="none"/>
          <w:lang w:bidi="en-US"/>
        </w:rPr>
      </w:pPr>
      <w:bookmarkStart w:id="55" w:name="_Toc165277252"/>
      <w:r>
        <w:rPr>
          <w:rFonts w:hint="eastAsia"/>
          <w:color w:val="000000"/>
          <w:highlight w:val="none"/>
          <w:lang w:bidi="en-US"/>
        </w:rPr>
        <w:t>成本指标“实验材料及论文费”的目标值</w:t>
      </w:r>
      <w:r>
        <w:rPr>
          <w:rFonts w:hint="eastAsia"/>
          <w:color w:val="000000"/>
          <w:highlight w:val="none"/>
          <w:lang w:val="en-US" w:eastAsia="zh-CN" w:bidi="en-US"/>
        </w:rPr>
        <w:t>≤</w:t>
      </w:r>
      <w:r>
        <w:rPr>
          <w:rFonts w:hint="eastAsia"/>
          <w:color w:val="000000"/>
          <w:highlight w:val="none"/>
          <w:lang w:bidi="en-US"/>
        </w:rPr>
        <w:t>49.9万元，2024年度我单位实际完成值48.8万元，实际得分4.89分；</w:t>
      </w:r>
    </w:p>
    <w:p>
      <w:pPr>
        <w:spacing w:line="360" w:lineRule="auto"/>
        <w:ind w:firstLine="560"/>
        <w:rPr>
          <w:color w:val="000000"/>
          <w:highlight w:val="none"/>
          <w:lang w:bidi="en-US"/>
        </w:rPr>
      </w:pPr>
      <w:r>
        <w:rPr>
          <w:rFonts w:hint="eastAsia"/>
          <w:color w:val="000000"/>
          <w:highlight w:val="none"/>
          <w:lang w:bidi="en-US"/>
        </w:rPr>
        <w:t>“劳务费”的目标值</w:t>
      </w:r>
      <w:r>
        <w:rPr>
          <w:rFonts w:hint="eastAsia"/>
          <w:color w:val="000000"/>
          <w:highlight w:val="none"/>
          <w:lang w:val="en-US" w:eastAsia="zh-CN" w:bidi="en-US"/>
        </w:rPr>
        <w:t>≤</w:t>
      </w:r>
      <w:r>
        <w:rPr>
          <w:rFonts w:hint="eastAsia"/>
          <w:color w:val="000000"/>
          <w:highlight w:val="none"/>
          <w:lang w:bidi="en-US"/>
        </w:rPr>
        <w:t>9万元，2024年度我单位实际完成值7.66万元，实际得分2.13分；</w:t>
      </w:r>
      <w:bookmarkStart w:id="56" w:name="_Hlk198298253"/>
    </w:p>
    <w:p>
      <w:pPr>
        <w:spacing w:line="360" w:lineRule="auto"/>
        <w:ind w:firstLine="560"/>
        <w:rPr>
          <w:color w:val="000000"/>
          <w:highlight w:val="none"/>
          <w:lang w:bidi="en-US"/>
        </w:rPr>
      </w:pPr>
      <w:r>
        <w:rPr>
          <w:rFonts w:hint="eastAsia"/>
          <w:color w:val="000000"/>
          <w:highlight w:val="none"/>
          <w:lang w:bidi="en-US"/>
        </w:rPr>
        <w:t>“培训及差旅费”</w:t>
      </w:r>
      <w:bookmarkEnd w:id="56"/>
      <w:r>
        <w:rPr>
          <w:rFonts w:hint="eastAsia"/>
          <w:color w:val="000000"/>
          <w:highlight w:val="none"/>
          <w:lang w:bidi="en-US"/>
        </w:rPr>
        <w:t>的目标值</w:t>
      </w:r>
      <w:r>
        <w:rPr>
          <w:rFonts w:hint="eastAsia"/>
          <w:color w:val="000000"/>
          <w:highlight w:val="none"/>
          <w:lang w:val="en-US" w:eastAsia="zh-CN" w:bidi="en-US"/>
        </w:rPr>
        <w:t>≤</w:t>
      </w:r>
      <w:r>
        <w:rPr>
          <w:rFonts w:hint="eastAsia"/>
          <w:color w:val="000000"/>
          <w:highlight w:val="none"/>
          <w:lang w:bidi="en-US"/>
        </w:rPr>
        <w:t>40.1万元，2024年度我单位实际完成值37.95万元，实际得分2.37分，</w:t>
      </w:r>
    </w:p>
    <w:p>
      <w:pPr>
        <w:spacing w:line="360" w:lineRule="auto"/>
        <w:ind w:firstLine="560"/>
        <w:rPr>
          <w:color w:val="000000"/>
          <w:highlight w:val="none"/>
          <w:lang w:bidi="en-US"/>
        </w:rPr>
      </w:pPr>
      <w:r>
        <w:rPr>
          <w:rFonts w:hint="eastAsia"/>
          <w:color w:val="000000"/>
          <w:highlight w:val="none"/>
          <w:lang w:bidi="en-US"/>
        </w:rPr>
        <w:t>“个人补助”的目标值</w:t>
      </w:r>
      <w:r>
        <w:rPr>
          <w:rFonts w:hint="eastAsia"/>
          <w:color w:val="000000"/>
          <w:highlight w:val="none"/>
          <w:lang w:val="en-US" w:eastAsia="zh-CN" w:bidi="en-US"/>
        </w:rPr>
        <w:t>≤</w:t>
      </w:r>
      <w:r>
        <w:rPr>
          <w:rFonts w:hint="eastAsia"/>
          <w:color w:val="000000"/>
          <w:highlight w:val="none"/>
          <w:lang w:bidi="en-US"/>
        </w:rPr>
        <w:t>29万元，2024年度我单位实际完成值29万元，实际得分5分。</w:t>
      </w:r>
    </w:p>
    <w:p>
      <w:pPr>
        <w:spacing w:line="360" w:lineRule="auto"/>
        <w:ind w:firstLine="560"/>
        <w:rPr>
          <w:color w:val="000000"/>
          <w:highlight w:val="none"/>
          <w:lang w:bidi="en-US"/>
        </w:rPr>
      </w:pPr>
      <w:r>
        <w:rPr>
          <w:rFonts w:hint="eastAsia"/>
          <w:color w:val="000000"/>
          <w:highlight w:val="none"/>
          <w:lang w:bidi="en-US"/>
        </w:rPr>
        <w:t>该项目用于实施科研项目、聘请研究生、完成人才培养、发表论文及发放个人补助，所有支出均按</w:t>
      </w:r>
      <w:r>
        <w:rPr>
          <w:rFonts w:hint="eastAsia"/>
          <w:color w:val="000000"/>
          <w:highlight w:val="none"/>
          <w:lang w:eastAsia="zh-CN" w:bidi="en-US"/>
        </w:rPr>
        <w:t>规定</w:t>
      </w:r>
      <w:r>
        <w:rPr>
          <w:rFonts w:hint="eastAsia"/>
          <w:color w:val="000000"/>
          <w:highlight w:val="none"/>
          <w:lang w:bidi="en-US"/>
        </w:rPr>
        <w:t>支付，未超支，</w:t>
      </w:r>
      <w:bookmarkEnd w:id="55"/>
      <w:r>
        <w:rPr>
          <w:rFonts w:hint="eastAsia"/>
          <w:color w:val="000000"/>
          <w:highlight w:val="none"/>
          <w:lang w:bidi="en-US"/>
        </w:rPr>
        <w:t>但实验材料及论文费、劳务费、培训及差旅费实际支付资金未达到目标值。故成本指标得分为14.39分。</w:t>
      </w:r>
    </w:p>
    <w:p>
      <w:pPr>
        <w:pStyle w:val="3"/>
        <w:ind w:firstLine="643"/>
        <w:rPr>
          <w:rFonts w:ascii="仿宋" w:hAnsi="仿宋" w:eastAsia="仿宋"/>
          <w:color w:val="000000"/>
          <w:highlight w:val="none"/>
          <w:lang w:bidi="en-US"/>
        </w:rPr>
      </w:pPr>
      <w:r>
        <w:rPr>
          <w:rFonts w:ascii="仿宋" w:hAnsi="仿宋" w:eastAsia="仿宋"/>
          <w:color w:val="000000"/>
          <w:highlight w:val="none"/>
          <w:lang w:bidi="en-US"/>
        </w:rPr>
        <w:t>（</w:t>
      </w:r>
      <w:r>
        <w:rPr>
          <w:rFonts w:hint="eastAsia" w:ascii="仿宋" w:hAnsi="仿宋" w:eastAsia="仿宋"/>
          <w:color w:val="000000"/>
          <w:highlight w:val="none"/>
          <w:lang w:bidi="en-US"/>
        </w:rPr>
        <w:t>四</w:t>
      </w:r>
      <w:r>
        <w:rPr>
          <w:rFonts w:ascii="仿宋" w:hAnsi="仿宋" w:eastAsia="仿宋"/>
          <w:color w:val="000000"/>
          <w:highlight w:val="none"/>
          <w:lang w:bidi="en-US"/>
        </w:rPr>
        <w:t>）项目效益</w:t>
      </w:r>
    </w:p>
    <w:p>
      <w:pPr>
        <w:spacing w:line="360" w:lineRule="auto"/>
        <w:ind w:firstLine="560"/>
        <w:rPr>
          <w:rFonts w:ascii="仿宋_GB2312"/>
          <w:color w:val="000000"/>
          <w:szCs w:val="28"/>
          <w:highlight w:val="none"/>
        </w:rPr>
      </w:pPr>
      <w:r>
        <w:rPr>
          <w:rFonts w:hint="eastAsia" w:ascii="仿宋_GB2312"/>
          <w:color w:val="000000"/>
          <w:szCs w:val="28"/>
          <w:highlight w:val="none"/>
        </w:rPr>
        <w:t>项目效益指标由</w:t>
      </w:r>
      <w:r>
        <w:rPr>
          <w:rFonts w:ascii="仿宋_GB2312"/>
          <w:color w:val="000000"/>
          <w:szCs w:val="28"/>
          <w:highlight w:val="none"/>
        </w:rPr>
        <w:t>1</w:t>
      </w:r>
      <w:r>
        <w:rPr>
          <w:rFonts w:hint="eastAsia" w:ascii="仿宋_GB2312"/>
          <w:color w:val="000000"/>
          <w:szCs w:val="28"/>
          <w:highlight w:val="none"/>
        </w:rPr>
        <w:t>个二级指标和1个三级指标构成，权重为5分，实际得分5分。</w:t>
      </w:r>
      <w:r>
        <w:rPr>
          <w:rFonts w:ascii="仿宋_GB2312"/>
          <w:color w:val="000000"/>
          <w:szCs w:val="28"/>
          <w:highlight w:val="none"/>
        </w:rPr>
        <w:t xml:space="preserve"> </w:t>
      </w:r>
    </w:p>
    <w:p>
      <w:pPr>
        <w:spacing w:line="360" w:lineRule="auto"/>
        <w:ind w:firstLine="562"/>
        <w:rPr>
          <w:rFonts w:ascii="仿宋_GB2312"/>
          <w:color w:val="000000"/>
          <w:szCs w:val="28"/>
          <w:highlight w:val="none"/>
        </w:rPr>
      </w:pPr>
      <w:r>
        <w:rPr>
          <w:rFonts w:hint="eastAsia" w:ascii="仿宋_GB2312"/>
          <w:b/>
          <w:bCs/>
          <w:color w:val="000000"/>
          <w:szCs w:val="28"/>
          <w:highlight w:val="none"/>
        </w:rPr>
        <w:t>经济效益指标：</w:t>
      </w:r>
      <w:r>
        <w:rPr>
          <w:rFonts w:hint="eastAsia" w:ascii="仿宋_GB2312"/>
          <w:color w:val="000000"/>
          <w:szCs w:val="28"/>
          <w:highlight w:val="none"/>
        </w:rPr>
        <w:t>不适用。</w:t>
      </w:r>
      <w:r>
        <w:rPr>
          <w:rFonts w:ascii="仿宋_GB2312"/>
          <w:color w:val="000000"/>
          <w:szCs w:val="28"/>
          <w:highlight w:val="none"/>
        </w:rPr>
        <w:t xml:space="preserve"> </w:t>
      </w:r>
    </w:p>
    <w:p>
      <w:pPr>
        <w:spacing w:line="360" w:lineRule="auto"/>
        <w:ind w:firstLine="562"/>
        <w:rPr>
          <w:rFonts w:ascii="仿宋_GB2312"/>
          <w:color w:val="000000"/>
          <w:szCs w:val="28"/>
          <w:highlight w:val="none"/>
        </w:rPr>
      </w:pPr>
      <w:r>
        <w:rPr>
          <w:rFonts w:hint="eastAsia" w:ascii="仿宋_GB2312"/>
          <w:b/>
          <w:bCs/>
          <w:color w:val="000000"/>
          <w:szCs w:val="28"/>
          <w:highlight w:val="none"/>
        </w:rPr>
        <w:t>社会效益指标</w:t>
      </w:r>
      <w:r>
        <w:rPr>
          <w:rFonts w:hint="eastAsia" w:ascii="仿宋_GB2312"/>
          <w:color w:val="000000"/>
          <w:szCs w:val="28"/>
          <w:highlight w:val="none"/>
        </w:rPr>
        <w:t>：评价指标“提高中医药服务能力”，指标值：有所提高，实际完成值：完全达到预期效果。本项目的实施通过技术指导、人才培养，积极开展科研项目等方式鼓励医护人员结合临床实践开展科研攻关，成功研发出一系列有效的中药方剂和康复方案，发表相关科研论文，并在临床推广应用，提升基层医疗机构的服务能力，促进了医疗资源的均衡发展，产生了良好的社会效益。</w:t>
      </w:r>
    </w:p>
    <w:p>
      <w:pPr>
        <w:spacing w:line="360" w:lineRule="auto"/>
        <w:ind w:firstLine="562"/>
        <w:rPr>
          <w:rFonts w:ascii="仿宋_GB2312"/>
          <w:color w:val="000000"/>
          <w:szCs w:val="28"/>
          <w:highlight w:val="none"/>
        </w:rPr>
      </w:pPr>
      <w:r>
        <w:rPr>
          <w:rFonts w:hint="eastAsia" w:ascii="仿宋_GB2312"/>
          <w:b/>
          <w:bCs/>
          <w:color w:val="000000"/>
          <w:szCs w:val="28"/>
          <w:highlight w:val="none"/>
        </w:rPr>
        <w:t>生态效益指标</w:t>
      </w:r>
      <w:r>
        <w:rPr>
          <w:rFonts w:hint="eastAsia" w:ascii="仿宋_GB2312"/>
          <w:color w:val="000000"/>
          <w:szCs w:val="28"/>
          <w:highlight w:val="none"/>
        </w:rPr>
        <w:t>：不适用。</w:t>
      </w:r>
    </w:p>
    <w:p>
      <w:pPr>
        <w:autoSpaceDE w:val="0"/>
        <w:spacing w:line="600" w:lineRule="exact"/>
        <w:ind w:firstLine="562"/>
        <w:rPr>
          <w:rFonts w:ascii="仿宋_GB2312" w:hAnsi="仿宋" w:cs="宋体"/>
          <w:b/>
          <w:color w:val="000000"/>
          <w:kern w:val="0"/>
          <w:szCs w:val="28"/>
          <w:highlight w:val="none"/>
        </w:rPr>
      </w:pPr>
      <w:r>
        <w:rPr>
          <w:rFonts w:hint="eastAsia" w:ascii="仿宋_GB2312" w:hAnsi="仿宋" w:cs="宋体"/>
          <w:b/>
          <w:color w:val="000000"/>
          <w:kern w:val="0"/>
          <w:szCs w:val="28"/>
          <w:highlight w:val="none"/>
        </w:rPr>
        <w:t>综上，该指标满分5分，得分5分。</w:t>
      </w:r>
    </w:p>
    <w:p>
      <w:pPr>
        <w:pStyle w:val="3"/>
        <w:ind w:firstLine="643"/>
        <w:rPr>
          <w:rFonts w:ascii="仿宋" w:hAnsi="仿宋" w:eastAsia="仿宋"/>
          <w:color w:val="000000"/>
          <w:highlight w:val="none"/>
          <w:lang w:bidi="en-US"/>
        </w:rPr>
      </w:pPr>
      <w:r>
        <w:rPr>
          <w:rFonts w:hint="eastAsia" w:ascii="仿宋" w:hAnsi="仿宋" w:eastAsia="仿宋"/>
          <w:color w:val="000000"/>
          <w:highlight w:val="none"/>
          <w:lang w:bidi="en-US"/>
        </w:rPr>
        <w:t>（五）满意度指标完成情况分析</w:t>
      </w:r>
    </w:p>
    <w:p>
      <w:pPr>
        <w:spacing w:line="360" w:lineRule="auto"/>
        <w:ind w:firstLine="562"/>
        <w:rPr>
          <w:rFonts w:hint="eastAsia"/>
          <w:color w:val="000000"/>
          <w:highlight w:val="none"/>
          <w:lang w:bidi="en-US"/>
        </w:rPr>
      </w:pPr>
      <w:r>
        <w:rPr>
          <w:rFonts w:hint="eastAsia"/>
          <w:b/>
          <w:bCs/>
          <w:color w:val="000000"/>
          <w:highlight w:val="none"/>
          <w:lang w:bidi="en-US"/>
        </w:rPr>
        <w:t>满意度指标 ：群众满意度，</w:t>
      </w:r>
      <w:r>
        <w:rPr>
          <w:rFonts w:hint="eastAsia"/>
          <w:color w:val="000000"/>
          <w:highlight w:val="none"/>
          <w:lang w:bidi="en-US"/>
        </w:rPr>
        <w:t>评价指标“培训对象满意度”目标值</w:t>
      </w:r>
      <w:r>
        <w:rPr>
          <w:rFonts w:hint="eastAsia"/>
          <w:color w:val="000000"/>
          <w:highlight w:val="none"/>
          <w:lang w:val="en-US" w:eastAsia="zh-CN" w:bidi="en-US"/>
        </w:rPr>
        <w:t>≥</w:t>
      </w:r>
      <w:r>
        <w:rPr>
          <w:rFonts w:hint="eastAsia"/>
          <w:color w:val="000000"/>
          <w:highlight w:val="none"/>
          <w:lang w:bidi="en-US"/>
        </w:rPr>
        <w:t>90%</w:t>
      </w:r>
      <w:r>
        <w:rPr>
          <w:rFonts w:hint="eastAsia"/>
          <w:color w:val="000000"/>
          <w:highlight w:val="none"/>
          <w:lang w:eastAsia="zh-CN" w:bidi="en-US"/>
        </w:rPr>
        <w:t>，</w:t>
      </w:r>
      <w:r>
        <w:rPr>
          <w:rFonts w:hint="eastAsia"/>
          <w:color w:val="000000"/>
          <w:highlight w:val="none"/>
          <w:lang w:bidi="en-US"/>
        </w:rPr>
        <w:t>实际完成</w:t>
      </w:r>
      <w:r>
        <w:rPr>
          <w:color w:val="000000"/>
          <w:highlight w:val="none"/>
          <w:lang w:bidi="en-US"/>
        </w:rPr>
        <w:t>100</w:t>
      </w:r>
      <w:r>
        <w:rPr>
          <w:rFonts w:hint="eastAsia"/>
          <w:color w:val="000000"/>
          <w:highlight w:val="none"/>
          <w:lang w:bidi="en-US"/>
        </w:rPr>
        <w:t>%，通过设置问卷调查的方式进行考评评价，共计调查样本总量为</w:t>
      </w:r>
      <w:r>
        <w:rPr>
          <w:rFonts w:hint="eastAsia"/>
          <w:color w:val="000000"/>
          <w:highlight w:val="none"/>
          <w:lang w:val="en-US" w:eastAsia="zh-CN" w:bidi="en-US"/>
        </w:rPr>
        <w:t>66</w:t>
      </w:r>
      <w:r>
        <w:rPr>
          <w:rFonts w:hint="eastAsia"/>
          <w:color w:val="000000"/>
          <w:highlight w:val="none"/>
          <w:lang w:bidi="en-US"/>
        </w:rPr>
        <w:t>个样本，有效调查问卷</w:t>
      </w:r>
      <w:r>
        <w:rPr>
          <w:rFonts w:hint="eastAsia"/>
          <w:color w:val="000000"/>
          <w:highlight w:val="none"/>
          <w:lang w:val="en-US" w:eastAsia="zh-CN" w:bidi="en-US"/>
        </w:rPr>
        <w:t>66</w:t>
      </w:r>
      <w:r>
        <w:rPr>
          <w:rFonts w:hint="eastAsia"/>
          <w:color w:val="000000"/>
          <w:highlight w:val="none"/>
          <w:lang w:bidi="en-US"/>
        </w:rPr>
        <w:t>份。指标通过设置问卷调查的方式进行考评评价，统计</w:t>
      </w:r>
      <w:r>
        <w:rPr>
          <w:rFonts w:hint="eastAsia"/>
          <w:color w:val="000000"/>
          <w:highlight w:val="none"/>
          <w:lang w:val="en-US" w:eastAsia="zh-CN" w:bidi="en-US"/>
        </w:rPr>
        <w:t>参与培训</w:t>
      </w:r>
      <w:r>
        <w:rPr>
          <w:rFonts w:hint="eastAsia"/>
          <w:color w:val="000000"/>
          <w:highlight w:val="none"/>
          <w:lang w:bidi="en-US"/>
        </w:rPr>
        <w:t>人员对我院组织开展的</w:t>
      </w:r>
      <w:r>
        <w:rPr>
          <w:rFonts w:hint="eastAsia"/>
          <w:color w:val="000000"/>
          <w:highlight w:val="none"/>
          <w:lang w:val="en-US" w:eastAsia="zh-CN" w:bidi="en-US"/>
        </w:rPr>
        <w:t>培训课程内容</w:t>
      </w:r>
      <w:r>
        <w:rPr>
          <w:rFonts w:hint="eastAsia"/>
          <w:color w:val="000000"/>
          <w:highlight w:val="none"/>
          <w:lang w:bidi="en-US"/>
        </w:rPr>
        <w:t>满意度</w:t>
      </w:r>
      <w:r>
        <w:rPr>
          <w:rFonts w:hint="eastAsia"/>
          <w:color w:val="000000"/>
          <w:highlight w:val="none"/>
          <w:lang w:val="en-US" w:eastAsia="zh-CN" w:bidi="en-US"/>
        </w:rPr>
        <w:t>达到90</w:t>
      </w:r>
      <w:r>
        <w:rPr>
          <w:color w:val="000000"/>
          <w:highlight w:val="none"/>
          <w:lang w:bidi="en-US"/>
        </w:rPr>
        <w:t>%</w:t>
      </w:r>
      <w:r>
        <w:rPr>
          <w:rFonts w:hint="eastAsia"/>
          <w:color w:val="000000"/>
          <w:highlight w:val="none"/>
          <w:lang w:val="en-US" w:eastAsia="zh-CN" w:bidi="en-US"/>
        </w:rPr>
        <w:t>以上</w:t>
      </w:r>
      <w:r>
        <w:rPr>
          <w:color w:val="000000"/>
          <w:highlight w:val="none"/>
          <w:lang w:bidi="en-US"/>
        </w:rPr>
        <w:t>，</w:t>
      </w:r>
      <w:r>
        <w:rPr>
          <w:rFonts w:hint="eastAsia"/>
          <w:color w:val="000000"/>
          <w:highlight w:val="none"/>
          <w:lang w:bidi="en-US"/>
        </w:rPr>
        <w:t>通过精准把握需求、严控培训质量、强化服务保障及科学评价成效，取得较好的培训效果，培训对象</w:t>
      </w:r>
      <w:r>
        <w:rPr>
          <w:rFonts w:hint="eastAsia"/>
          <w:color w:val="000000"/>
          <w:highlight w:val="none"/>
          <w:lang w:eastAsia="zh-CN" w:bidi="en-US"/>
        </w:rPr>
        <w:t>反映</w:t>
      </w:r>
      <w:r>
        <w:rPr>
          <w:rFonts w:hint="eastAsia"/>
          <w:color w:val="000000"/>
          <w:highlight w:val="none"/>
          <w:lang w:bidi="en-US"/>
        </w:rPr>
        <w:t>良好。得分5分</w:t>
      </w:r>
      <w:r>
        <w:rPr>
          <w:color w:val="000000"/>
          <w:highlight w:val="none"/>
          <w:lang w:bidi="en-US"/>
        </w:rPr>
        <w:t>。</w:t>
      </w:r>
    </w:p>
    <w:p>
      <w:pPr>
        <w:autoSpaceDE w:val="0"/>
        <w:spacing w:line="600" w:lineRule="exact"/>
        <w:ind w:firstLine="562"/>
        <w:rPr>
          <w:rFonts w:ascii="仿宋_GB2312" w:hAnsi="仿宋" w:cs="宋体"/>
          <w:b/>
          <w:color w:val="000000"/>
          <w:kern w:val="0"/>
          <w:szCs w:val="28"/>
          <w:highlight w:val="none"/>
        </w:rPr>
      </w:pPr>
    </w:p>
    <w:p>
      <w:pPr>
        <w:pStyle w:val="2"/>
        <w:ind w:firstLine="0" w:firstLineChars="0"/>
        <w:jc w:val="left"/>
        <w:rPr>
          <w:rFonts w:ascii="仿宋" w:hAnsi="仿宋" w:eastAsia="仿宋"/>
          <w:color w:val="000000"/>
          <w:sz w:val="36"/>
          <w:szCs w:val="36"/>
          <w:highlight w:val="none"/>
          <w:lang w:bidi="en-US"/>
        </w:rPr>
      </w:pPr>
      <w:bookmarkStart w:id="57" w:name="_Toc165277256"/>
      <w:bookmarkStart w:id="58" w:name="_Toc67911617"/>
      <w:r>
        <w:rPr>
          <w:rFonts w:hint="eastAsia" w:ascii="仿宋" w:hAnsi="仿宋" w:eastAsia="仿宋"/>
          <w:color w:val="000000"/>
          <w:sz w:val="36"/>
          <w:szCs w:val="36"/>
          <w:highlight w:val="none"/>
          <w:lang w:bidi="en-US"/>
        </w:rPr>
        <w:t>五、主要经验及做法、存在的问题及原因分析</w:t>
      </w:r>
      <w:bookmarkEnd w:id="57"/>
      <w:bookmarkEnd w:id="58"/>
    </w:p>
    <w:p>
      <w:pPr>
        <w:pStyle w:val="3"/>
        <w:ind w:firstLine="643"/>
        <w:rPr>
          <w:rFonts w:ascii="仿宋" w:hAnsi="仿宋" w:eastAsia="仿宋"/>
          <w:color w:val="000000"/>
          <w:highlight w:val="none"/>
          <w:lang w:bidi="en-US"/>
        </w:rPr>
      </w:pPr>
      <w:bookmarkStart w:id="59" w:name="_Toc165277257"/>
      <w:bookmarkStart w:id="60" w:name="_Toc67911618"/>
      <w:r>
        <w:rPr>
          <w:rFonts w:hint="eastAsia" w:ascii="仿宋" w:hAnsi="仿宋" w:eastAsia="仿宋"/>
          <w:color w:val="000000"/>
          <w:highlight w:val="none"/>
          <w:lang w:bidi="en-US"/>
        </w:rPr>
        <w:t>（一）主要经验及做法</w:t>
      </w:r>
      <w:bookmarkEnd w:id="59"/>
      <w:bookmarkEnd w:id="60"/>
    </w:p>
    <w:p>
      <w:pPr>
        <w:autoSpaceDE w:val="0"/>
        <w:spacing w:line="600" w:lineRule="exact"/>
        <w:ind w:firstLine="560"/>
        <w:rPr>
          <w:rFonts w:ascii="仿宋_GB2312" w:hAnsi="仿宋" w:cs="宋体"/>
          <w:bCs/>
          <w:color w:val="000000"/>
          <w:kern w:val="0"/>
          <w:szCs w:val="28"/>
          <w:highlight w:val="none"/>
        </w:rPr>
      </w:pPr>
      <w:r>
        <w:rPr>
          <w:rFonts w:hint="eastAsia" w:ascii="仿宋_GB2312" w:hAnsi="仿宋" w:cs="宋体"/>
          <w:bCs/>
          <w:color w:val="000000"/>
          <w:kern w:val="0"/>
          <w:szCs w:val="28"/>
          <w:highlight w:val="none"/>
        </w:rPr>
        <w:t>1.优化人才培养模式，提升人才素质</w:t>
      </w:r>
    </w:p>
    <w:p>
      <w:pPr>
        <w:autoSpaceDE w:val="0"/>
        <w:spacing w:line="600" w:lineRule="exact"/>
        <w:ind w:firstLine="560"/>
        <w:rPr>
          <w:rFonts w:ascii="仿宋_GB2312" w:hAnsi="仿宋" w:cs="宋体"/>
          <w:bCs/>
          <w:color w:val="000000"/>
          <w:kern w:val="0"/>
          <w:szCs w:val="28"/>
          <w:highlight w:val="none"/>
        </w:rPr>
      </w:pPr>
      <w:r>
        <w:rPr>
          <w:rFonts w:hint="eastAsia" w:ascii="仿宋_GB2312" w:hAnsi="仿宋" w:cs="宋体"/>
          <w:bCs/>
          <w:color w:val="000000"/>
          <w:kern w:val="0"/>
          <w:szCs w:val="28"/>
          <w:highlight w:val="none"/>
        </w:rPr>
        <w:t>医院开展线上、线下混合式培训、模块化学习、任务式学习等多种培训模式，以满足不同医护人员的学习需求，依据医院医疗人员实际需求，积极组织开展医学教育培训班。返聘身体健康、医疗经验丰富的退休医务人员，使其在擅长的领域继续发挥余热，充分利用他们的经验和技术对年轻人才进行传帮带。</w:t>
      </w:r>
    </w:p>
    <w:p>
      <w:pPr>
        <w:numPr>
          <w:ilvl w:val="0"/>
          <w:numId w:val="1"/>
        </w:numPr>
        <w:autoSpaceDE w:val="0"/>
        <w:spacing w:line="600" w:lineRule="exact"/>
        <w:ind w:firstLine="560"/>
        <w:rPr>
          <w:rFonts w:ascii="仿宋_GB2312" w:hAnsi="仿宋" w:cs="宋体"/>
          <w:bCs/>
          <w:color w:val="000000"/>
          <w:kern w:val="0"/>
          <w:szCs w:val="28"/>
          <w:highlight w:val="none"/>
        </w:rPr>
      </w:pPr>
      <w:r>
        <w:rPr>
          <w:rFonts w:hint="eastAsia" w:ascii="仿宋_GB2312" w:hAnsi="仿宋" w:cs="宋体"/>
          <w:bCs/>
          <w:color w:val="000000"/>
          <w:kern w:val="0"/>
          <w:szCs w:val="28"/>
          <w:highlight w:val="none"/>
        </w:rPr>
        <w:t>搭建</w:t>
      </w:r>
      <w:r>
        <w:rPr>
          <w:rFonts w:hint="eastAsia" w:ascii="仿宋_GB2312" w:hAnsi="仿宋" w:cs="宋体"/>
          <w:bCs/>
          <w:color w:val="000000"/>
          <w:kern w:val="0"/>
          <w:szCs w:val="28"/>
          <w:highlight w:val="none"/>
          <w:lang w:eastAsia="zh-CN"/>
        </w:rPr>
        <w:t>人才</w:t>
      </w:r>
      <w:r>
        <w:rPr>
          <w:rFonts w:hint="eastAsia" w:ascii="仿宋_GB2312" w:hAnsi="仿宋" w:cs="宋体"/>
          <w:bCs/>
          <w:color w:val="000000"/>
          <w:kern w:val="0"/>
          <w:szCs w:val="28"/>
          <w:highlight w:val="none"/>
        </w:rPr>
        <w:t>发展平台，促进人才成长</w:t>
      </w:r>
    </w:p>
    <w:p>
      <w:pPr>
        <w:autoSpaceDE w:val="0"/>
        <w:spacing w:line="600" w:lineRule="exact"/>
        <w:ind w:firstLine="560"/>
        <w:rPr>
          <w:rFonts w:ascii="仿宋_GB2312" w:hAnsi="仿宋" w:cs="宋体"/>
          <w:bCs/>
          <w:color w:val="000000"/>
          <w:kern w:val="0"/>
          <w:szCs w:val="28"/>
          <w:highlight w:val="none"/>
        </w:rPr>
      </w:pPr>
      <w:r>
        <w:rPr>
          <w:rFonts w:hint="eastAsia" w:ascii="仿宋_GB2312" w:hAnsi="仿宋" w:cs="宋体"/>
          <w:bCs/>
          <w:color w:val="000000"/>
          <w:kern w:val="0"/>
          <w:szCs w:val="28"/>
          <w:highlight w:val="none"/>
        </w:rPr>
        <w:t>医院积极开展学术交流活动，合理安排人员外出进修，拓宽医护人员视野，学习先进的医疗技术和管理经验，促进人才的专业成长。完善考核激励机制，综合考察员工在专业技能、工作表现、服务质量、团队合作和创新发展等方面的能力，从而提升医疗服务质量，为人才发展提供良好的内部环境。</w:t>
      </w:r>
    </w:p>
    <w:p>
      <w:pPr>
        <w:pStyle w:val="3"/>
        <w:ind w:firstLine="643"/>
        <w:rPr>
          <w:rFonts w:ascii="仿宋" w:hAnsi="仿宋" w:eastAsia="仿宋"/>
          <w:color w:val="000000"/>
          <w:highlight w:val="none"/>
          <w:lang w:bidi="en-US"/>
        </w:rPr>
      </w:pPr>
      <w:bookmarkStart w:id="61" w:name="_Toc165277258"/>
      <w:r>
        <w:rPr>
          <w:rFonts w:hint="eastAsia" w:ascii="仿宋" w:hAnsi="仿宋" w:eastAsia="仿宋"/>
          <w:color w:val="000000"/>
          <w:highlight w:val="none"/>
          <w:lang w:bidi="en-US"/>
        </w:rPr>
        <w:t>（二）存在的问题及原因分析</w:t>
      </w:r>
      <w:bookmarkEnd w:id="61"/>
    </w:p>
    <w:p>
      <w:pPr>
        <w:spacing w:line="360" w:lineRule="auto"/>
        <w:ind w:firstLine="560"/>
        <w:rPr>
          <w:rFonts w:ascii="仿宋_GB2312"/>
          <w:color w:val="000000"/>
          <w:szCs w:val="28"/>
          <w:highlight w:val="none"/>
        </w:rPr>
      </w:pPr>
      <w:r>
        <w:rPr>
          <w:rFonts w:hint="eastAsia" w:ascii="仿宋_GB2312"/>
          <w:color w:val="000000"/>
          <w:szCs w:val="28"/>
          <w:highlight w:val="none"/>
        </w:rPr>
        <w:t>1</w:t>
      </w:r>
      <w:r>
        <w:rPr>
          <w:rFonts w:ascii="仿宋_GB2312"/>
          <w:color w:val="000000"/>
          <w:szCs w:val="28"/>
          <w:highlight w:val="none"/>
        </w:rPr>
        <w:t>.</w:t>
      </w:r>
      <w:r>
        <w:rPr>
          <w:rFonts w:hint="eastAsia" w:ascii="仿宋_GB2312"/>
          <w:color w:val="000000"/>
          <w:szCs w:val="28"/>
          <w:highlight w:val="none"/>
        </w:rPr>
        <w:t>人才结构仍需要优化</w:t>
      </w:r>
    </w:p>
    <w:p>
      <w:pPr>
        <w:spacing w:line="360" w:lineRule="auto"/>
        <w:ind w:firstLine="560"/>
        <w:rPr>
          <w:rFonts w:ascii="仿宋_GB2312"/>
          <w:color w:val="000000"/>
          <w:szCs w:val="28"/>
          <w:highlight w:val="none"/>
        </w:rPr>
      </w:pPr>
      <w:r>
        <w:rPr>
          <w:rFonts w:hint="eastAsia" w:ascii="仿宋_GB2312"/>
          <w:color w:val="000000"/>
          <w:szCs w:val="28"/>
          <w:highlight w:val="none"/>
        </w:rPr>
        <w:t>高层次、学科领军人才相对不足，尤其是在一些新兴学科和交叉学科领域，同时，基层一线的实用型人才也存在短缺，人才分布不均衡。原因分析是与内地发达地区相比，新疆在经济发展水平、科研条件等方面存在差距，对高层次人才的吸引力相对较弱，高层次学科领军人才的培养需要较长的时间和大量资源投入，医院领域知识更新快，培养过程中还需要兼顾临床实践，导致人才成长周期拉长。</w:t>
      </w:r>
    </w:p>
    <w:p>
      <w:pPr>
        <w:spacing w:line="360" w:lineRule="auto"/>
        <w:ind w:left="560" w:leftChars="200" w:firstLine="0" w:firstLineChars="0"/>
        <w:rPr>
          <w:rFonts w:ascii="仿宋_GB2312"/>
          <w:color w:val="000000"/>
          <w:szCs w:val="28"/>
          <w:highlight w:val="none"/>
        </w:rPr>
      </w:pPr>
      <w:r>
        <w:rPr>
          <w:rFonts w:hint="eastAsia" w:ascii="仿宋_GB2312"/>
          <w:color w:val="000000"/>
          <w:szCs w:val="28"/>
          <w:highlight w:val="none"/>
        </w:rPr>
        <w:t>2.人才培养与实际需求匹配度有待提高</w:t>
      </w:r>
    </w:p>
    <w:p>
      <w:pPr>
        <w:spacing w:line="360" w:lineRule="auto"/>
        <w:ind w:firstLine="560"/>
        <w:rPr>
          <w:rFonts w:ascii="仿宋_GB2312"/>
          <w:color w:val="000000"/>
          <w:szCs w:val="28"/>
          <w:highlight w:val="none"/>
        </w:rPr>
      </w:pPr>
      <w:r>
        <w:rPr>
          <w:rFonts w:hint="eastAsia" w:ascii="仿宋_GB2312"/>
          <w:color w:val="000000"/>
          <w:szCs w:val="28"/>
          <w:highlight w:val="none"/>
        </w:rPr>
        <w:t>部分培养的人才在专业技能和知识结构上与医院实际业务发展需求存在一定偏差，不能迅速适应岗位要求，在解决临床实际问题时能力不足。原因分析是在人才培养过程中，虽然注重理论知识和培训课程设置，但实践教学环节可能存在不足，临床实践基地建设、带教老师水平、实践项目安排等方面有待完善。</w:t>
      </w:r>
    </w:p>
    <w:p>
      <w:pPr>
        <w:pStyle w:val="2"/>
        <w:numPr>
          <w:ilvl w:val="0"/>
          <w:numId w:val="2"/>
        </w:numPr>
        <w:ind w:firstLine="0" w:firstLineChars="0"/>
        <w:jc w:val="left"/>
        <w:rPr>
          <w:rFonts w:ascii="仿宋" w:hAnsi="仿宋" w:eastAsia="仿宋"/>
          <w:color w:val="000000"/>
          <w:sz w:val="36"/>
          <w:szCs w:val="36"/>
          <w:highlight w:val="none"/>
          <w:lang w:bidi="en-US"/>
        </w:rPr>
      </w:pPr>
      <w:bookmarkStart w:id="62" w:name="_Toc67911620"/>
      <w:bookmarkStart w:id="63" w:name="_Toc165277259"/>
      <w:bookmarkStart w:id="64" w:name="_Toc67911619"/>
      <w:r>
        <w:rPr>
          <w:rFonts w:hint="eastAsia" w:ascii="仿宋" w:hAnsi="仿宋" w:eastAsia="仿宋"/>
          <w:color w:val="000000"/>
          <w:sz w:val="36"/>
          <w:szCs w:val="36"/>
          <w:highlight w:val="none"/>
          <w:lang w:bidi="en-US"/>
        </w:rPr>
        <w:t>有关建议</w:t>
      </w:r>
    </w:p>
    <w:p>
      <w:pPr>
        <w:pStyle w:val="19"/>
        <w:numPr>
          <w:ilvl w:val="0"/>
          <w:numId w:val="3"/>
        </w:numPr>
        <w:spacing w:line="360" w:lineRule="auto"/>
        <w:ind w:firstLineChars="0"/>
        <w:rPr>
          <w:color w:val="000000"/>
          <w:highlight w:val="none"/>
          <w:lang w:bidi="en-US"/>
        </w:rPr>
      </w:pPr>
      <w:r>
        <w:rPr>
          <w:rFonts w:hint="eastAsia"/>
          <w:color w:val="000000"/>
          <w:highlight w:val="none"/>
          <w:lang w:bidi="en-US"/>
        </w:rPr>
        <w:t>优化人才结构</w:t>
      </w:r>
    </w:p>
    <w:p>
      <w:pPr>
        <w:spacing w:line="360" w:lineRule="auto"/>
        <w:ind w:firstLineChars="0"/>
        <w:rPr>
          <w:rFonts w:ascii="仿宋_GB2312"/>
          <w:color w:val="000000"/>
          <w:szCs w:val="28"/>
          <w:highlight w:val="none"/>
        </w:rPr>
      </w:pPr>
      <w:r>
        <w:rPr>
          <w:rFonts w:hint="eastAsia" w:ascii="仿宋_GB2312"/>
          <w:color w:val="000000"/>
          <w:szCs w:val="28"/>
          <w:highlight w:val="none"/>
        </w:rPr>
        <w:t>深入调研医院各科室发展规划，结合中医医疗服务需求特点，梳理出重点发展学科与急需紧缺专业；加强与国内知名中医药院校的合作，建立实习就业基地，提前锁定优秀毕业生；对有一定工作经验的业务骨干，资助其参加国内外高水平学术交流活动、进修先进诊疗技术。</w:t>
      </w:r>
    </w:p>
    <w:p>
      <w:pPr>
        <w:pStyle w:val="19"/>
        <w:numPr>
          <w:ilvl w:val="0"/>
          <w:numId w:val="3"/>
        </w:numPr>
        <w:spacing w:line="360" w:lineRule="auto"/>
        <w:ind w:firstLineChars="0"/>
        <w:rPr>
          <w:color w:val="000000"/>
          <w:highlight w:val="none"/>
          <w:lang w:bidi="en-US"/>
        </w:rPr>
      </w:pPr>
      <w:r>
        <w:rPr>
          <w:rFonts w:hint="eastAsia"/>
          <w:color w:val="000000"/>
          <w:highlight w:val="none"/>
          <w:lang w:bidi="en-US"/>
        </w:rPr>
        <w:t>提高人才培养与实际需求匹配度</w:t>
      </w:r>
    </w:p>
    <w:p>
      <w:pPr>
        <w:spacing w:line="360" w:lineRule="auto"/>
        <w:ind w:firstLine="420" w:firstLineChars="150"/>
        <w:rPr>
          <w:rFonts w:ascii="仿宋_GB2312"/>
          <w:b/>
          <w:bCs/>
          <w:color w:val="000000"/>
          <w:szCs w:val="28"/>
          <w:highlight w:val="none"/>
        </w:rPr>
      </w:pPr>
      <w:r>
        <w:rPr>
          <w:rFonts w:hint="eastAsia"/>
          <w:color w:val="000000"/>
          <w:highlight w:val="none"/>
          <w:lang w:bidi="en-US"/>
        </w:rPr>
        <w:t>组织专门的调研团队，深入医院各科室，与临床一线医护人员、科室负责人、行政管理人员等进行面对面访谈，了解不同岗位对人才知识、技能和素质的具体要求；依据调研结果，针对不同层次、不同专业的人才制定个性化培养方案。</w:t>
      </w:r>
      <w:bookmarkEnd w:id="62"/>
      <w:bookmarkEnd w:id="63"/>
    </w:p>
    <w:p>
      <w:pPr>
        <w:pStyle w:val="2"/>
        <w:ind w:firstLine="0" w:firstLineChars="0"/>
        <w:jc w:val="left"/>
        <w:rPr>
          <w:rFonts w:ascii="仿宋" w:hAnsi="仿宋" w:eastAsia="仿宋"/>
          <w:color w:val="000000"/>
          <w:sz w:val="36"/>
          <w:szCs w:val="36"/>
          <w:highlight w:val="none"/>
          <w:lang w:bidi="en-US"/>
        </w:rPr>
      </w:pPr>
      <w:bookmarkStart w:id="65" w:name="_Toc165277260"/>
      <w:r>
        <w:rPr>
          <w:rFonts w:hint="eastAsia" w:ascii="仿宋" w:hAnsi="仿宋" w:eastAsia="仿宋"/>
          <w:color w:val="000000"/>
          <w:sz w:val="36"/>
          <w:szCs w:val="36"/>
          <w:highlight w:val="none"/>
          <w:lang w:bidi="en-US"/>
        </w:rPr>
        <w:t>七、其他需要说明的问题</w:t>
      </w:r>
      <w:bookmarkEnd w:id="64"/>
      <w:bookmarkEnd w:id="65"/>
    </w:p>
    <w:p>
      <w:pPr>
        <w:spacing w:line="360" w:lineRule="auto"/>
        <w:ind w:firstLine="560"/>
        <w:rPr>
          <w:rFonts w:ascii="仿宋_GB2312"/>
          <w:color w:val="000000"/>
          <w:szCs w:val="28"/>
          <w:highlight w:val="none"/>
        </w:rPr>
      </w:pPr>
      <w:r>
        <w:rPr>
          <w:rFonts w:hint="eastAsia" w:ascii="仿宋_GB2312"/>
          <w:color w:val="000000"/>
          <w:szCs w:val="28"/>
          <w:highlight w:val="none"/>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w:t>
      </w:r>
      <w:r>
        <w:rPr>
          <w:rFonts w:hint="eastAsia" w:ascii="仿宋_GB2312"/>
          <w:color w:val="000000"/>
          <w:szCs w:val="28"/>
          <w:highlight w:val="none"/>
          <w:lang w:eastAsia="zh-CN"/>
        </w:rPr>
        <w:t>目标</w:t>
      </w:r>
      <w:r>
        <w:rPr>
          <w:rFonts w:hint="eastAsia" w:ascii="仿宋_GB2312"/>
          <w:color w:val="000000"/>
          <w:szCs w:val="28"/>
          <w:highlight w:val="none"/>
        </w:rPr>
        <w:t>管理机制，便于有效考核执行效果。</w:t>
      </w:r>
    </w:p>
    <w:p>
      <w:pPr>
        <w:spacing w:line="360" w:lineRule="auto"/>
        <w:ind w:firstLine="560"/>
        <w:rPr>
          <w:rFonts w:ascii="仿宋_GB2312"/>
          <w:color w:val="000000"/>
          <w:szCs w:val="28"/>
          <w:highlight w:val="none"/>
        </w:rPr>
      </w:pPr>
    </w:p>
    <w:bookmarkEnd w:id="66"/>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720" w:num="1"/>
      <w:docGrid w:type="lines"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libri">
    <w:panose1 w:val="020F0502020204030204"/>
    <w:charset w:val="00"/>
    <w:family w:val="auto"/>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A00002BF" w:usb1="38CF7CFA" w:usb2="00000016" w:usb3="00000000" w:csb0="0004000F" w:csb1="00000000"/>
  </w:font>
  <w:font w:name="等线">
    <w:altName w:val="宋体"/>
    <w:panose1 w:val="02010600030101010101"/>
    <w:charset w:val="86"/>
    <w:family w:val="auto"/>
    <w:pitch w:val="default"/>
    <w:sig w:usb0="A00002BF" w:usb1="38CF7CFA" w:usb2="00000016" w:usb3="00000000" w:csb0="0004000F" w:csb1="00000000"/>
  </w:font>
  <w:font w:name="Gungsuh">
    <w:panose1 w:val="02030600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13</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27</w:t>
    </w:r>
    <w:r>
      <w:rPr>
        <w:rFonts w:hint="eastAsia" w:ascii="仿宋_GB2312" w:eastAsia="仿宋_GB2312"/>
        <w:sz w:val="21"/>
        <w:szCs w:val="21"/>
      </w:rPr>
      <w:fldChar w:fldCharType="end"/>
    </w:r>
  </w:p>
  <w:p>
    <w:pPr>
      <w:pStyle w:val="10"/>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footnote w:id="0">
    <w:p>
      <w:pPr>
        <w:pStyle w:val="13"/>
        <w:ind w:firstLine="0" w:firstLineChars="0"/>
        <w:jc w:val="both"/>
        <w:rPr>
          <w:rFonts w:ascii="仿宋_GB2312"/>
        </w:rPr>
      </w:pPr>
      <w:r>
        <w:rPr>
          <w:rStyle w:val="18"/>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3"/>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1"/>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021082839">
    <w:nsid w:val="B41210D7"/>
    <w:multiLevelType w:val="singleLevel"/>
    <w:tmpl w:val="B41210D7"/>
    <w:lvl w:ilvl="0" w:tentative="1">
      <w:start w:val="2"/>
      <w:numFmt w:val="decimal"/>
      <w:lvlText w:val="%1."/>
      <w:lvlJc w:val="left"/>
      <w:pPr>
        <w:tabs>
          <w:tab w:val="left" w:pos="312"/>
        </w:tabs>
      </w:pPr>
    </w:lvl>
  </w:abstractNum>
  <w:abstractNum w:abstractNumId="134959103">
    <w:nsid w:val="080B4FFF"/>
    <w:multiLevelType w:val="multilevel"/>
    <w:tmpl w:val="080B4FFF"/>
    <w:lvl w:ilvl="0" w:tentative="1">
      <w:start w:val="1"/>
      <w:numFmt w:val="decimal"/>
      <w:lvlText w:val="%1."/>
      <w:lvlJc w:val="left"/>
      <w:pPr>
        <w:ind w:left="920" w:hanging="360"/>
      </w:pPr>
      <w:rPr>
        <w:rFonts w:hint="default"/>
      </w:rPr>
    </w:lvl>
    <w:lvl w:ilvl="1" w:tentative="1">
      <w:start w:val="1"/>
      <w:numFmt w:val="lowerLetter"/>
      <w:lvlText w:val="%2)"/>
      <w:lvlJc w:val="left"/>
      <w:pPr>
        <w:ind w:left="1440" w:hanging="440"/>
      </w:pPr>
    </w:lvl>
    <w:lvl w:ilvl="2" w:tentative="1">
      <w:start w:val="1"/>
      <w:numFmt w:val="lowerRoman"/>
      <w:lvlText w:val="%3."/>
      <w:lvlJc w:val="right"/>
      <w:pPr>
        <w:ind w:left="1880" w:hanging="440"/>
      </w:pPr>
    </w:lvl>
    <w:lvl w:ilvl="3" w:tentative="1">
      <w:start w:val="1"/>
      <w:numFmt w:val="decimal"/>
      <w:lvlText w:val="%4."/>
      <w:lvlJc w:val="left"/>
      <w:pPr>
        <w:ind w:left="2320" w:hanging="440"/>
      </w:pPr>
    </w:lvl>
    <w:lvl w:ilvl="4" w:tentative="1">
      <w:start w:val="1"/>
      <w:numFmt w:val="lowerLetter"/>
      <w:lvlText w:val="%5)"/>
      <w:lvlJc w:val="left"/>
      <w:pPr>
        <w:ind w:left="2760" w:hanging="440"/>
      </w:pPr>
    </w:lvl>
    <w:lvl w:ilvl="5" w:tentative="1">
      <w:start w:val="1"/>
      <w:numFmt w:val="lowerRoman"/>
      <w:lvlText w:val="%6."/>
      <w:lvlJc w:val="right"/>
      <w:pPr>
        <w:ind w:left="3200" w:hanging="440"/>
      </w:pPr>
    </w:lvl>
    <w:lvl w:ilvl="6" w:tentative="1">
      <w:start w:val="1"/>
      <w:numFmt w:val="decimal"/>
      <w:lvlText w:val="%7."/>
      <w:lvlJc w:val="left"/>
      <w:pPr>
        <w:ind w:left="3640" w:hanging="440"/>
      </w:pPr>
    </w:lvl>
    <w:lvl w:ilvl="7" w:tentative="1">
      <w:start w:val="1"/>
      <w:numFmt w:val="lowerLetter"/>
      <w:lvlText w:val="%8)"/>
      <w:lvlJc w:val="left"/>
      <w:pPr>
        <w:ind w:left="4080" w:hanging="440"/>
      </w:pPr>
    </w:lvl>
    <w:lvl w:ilvl="8" w:tentative="1">
      <w:start w:val="1"/>
      <w:numFmt w:val="lowerRoman"/>
      <w:lvlText w:val="%9."/>
      <w:lvlJc w:val="right"/>
      <w:pPr>
        <w:ind w:left="4520" w:hanging="440"/>
      </w:pPr>
    </w:lvl>
  </w:abstractNum>
  <w:abstractNum w:abstractNumId="1532007445">
    <w:nsid w:val="5B509415"/>
    <w:multiLevelType w:val="singleLevel"/>
    <w:tmpl w:val="5B509415"/>
    <w:lvl w:ilvl="0" w:tentative="1">
      <w:start w:val="6"/>
      <w:numFmt w:val="chineseCounting"/>
      <w:suff w:val="nothing"/>
      <w:lvlText w:val="%1、"/>
      <w:lvlJc w:val="left"/>
      <w:rPr>
        <w:rFonts w:hint="eastAsia"/>
      </w:rPr>
    </w:lvl>
  </w:abstractNum>
  <w:num w:numId="1">
    <w:abstractNumId w:val="3021082839"/>
  </w:num>
  <w:num w:numId="2">
    <w:abstractNumId w:val="1532007445"/>
  </w:num>
  <w:num w:numId="3">
    <w:abstractNumId w:val="1349591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annotation subject"/>
    <w:lsdException w:qFormat="1" w:uiPriority="99" w:name="Balloon Text"/>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unhideWhenUsed/>
    <w:qFormat/>
    <w:uiPriority w:val="9"/>
    <w:pPr>
      <w:keepNext/>
      <w:keepLines/>
      <w:spacing w:before="260" w:after="260" w:line="416" w:lineRule="auto"/>
      <w:outlineLvl w:val="1"/>
    </w:pPr>
    <w:rPr>
      <w:rFonts w:ascii="等线 Light" w:hAnsi="等线 Light" w:eastAsia="等线 Light" w:cs="黑体"/>
      <w:b/>
      <w:bCs/>
      <w:sz w:val="32"/>
      <w:szCs w:val="32"/>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character" w:default="1" w:styleId="15">
    <w:name w:val="Default Paragraph Font"/>
    <w:semiHidden/>
    <w:unhideWhenUsed/>
    <w:qFormat/>
    <w:uiPriority w:val="1"/>
  </w:style>
  <w:style w:type="paragraph" w:styleId="5">
    <w:name w:val="annotation subject"/>
    <w:basedOn w:val="6"/>
    <w:next w:val="6"/>
    <w:link w:val="28"/>
    <w:semiHidden/>
    <w:unhideWhenUsed/>
    <w:qFormat/>
    <w:uiPriority w:val="99"/>
    <w:rPr>
      <w:b/>
      <w:bCs/>
    </w:rPr>
  </w:style>
  <w:style w:type="paragraph" w:styleId="6">
    <w:name w:val="annotation text"/>
    <w:basedOn w:val="1"/>
    <w:link w:val="27"/>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Date"/>
    <w:basedOn w:val="1"/>
    <w:next w:val="1"/>
    <w:link w:val="23"/>
    <w:semiHidden/>
    <w:unhideWhenUsed/>
    <w:qFormat/>
    <w:uiPriority w:val="99"/>
    <w:pPr>
      <w:ind w:left="100" w:leftChars="2500"/>
    </w:pPr>
  </w:style>
  <w:style w:type="paragraph" w:styleId="9">
    <w:name w:val="Balloon Text"/>
    <w:basedOn w:val="1"/>
    <w:link w:val="29"/>
    <w:semiHidden/>
    <w:unhideWhenUsed/>
    <w:qFormat/>
    <w:uiPriority w:val="99"/>
    <w:rPr>
      <w:sz w:val="18"/>
      <w:szCs w:val="18"/>
    </w:rPr>
  </w:style>
  <w:style w:type="paragraph" w:styleId="10">
    <w:name w:val="footer"/>
    <w:basedOn w:val="1"/>
    <w:link w:val="22"/>
    <w:unhideWhenUsed/>
    <w:qFormat/>
    <w:uiPriority w:val="99"/>
    <w:pPr>
      <w:tabs>
        <w:tab w:val="center" w:pos="4153"/>
        <w:tab w:val="right" w:pos="8306"/>
      </w:tabs>
      <w:snapToGrid w:val="0"/>
      <w:ind w:firstLine="0" w:firstLineChars="0"/>
      <w:jc w:val="left"/>
    </w:pPr>
    <w:rPr>
      <w:rFonts w:ascii="等线" w:hAnsi="等线" w:eastAsia="等线" w:cs="黑体"/>
      <w:sz w:val="18"/>
      <w:szCs w:val="18"/>
    </w:rPr>
  </w:style>
  <w:style w:type="paragraph" w:styleId="11">
    <w:name w:val="header"/>
    <w:basedOn w:val="1"/>
    <w:link w:val="21"/>
    <w:unhideWhenUsed/>
    <w:qFormat/>
    <w:uiPriority w:val="99"/>
    <w:pPr>
      <w:pBdr>
        <w:bottom w:val="single" w:color="auto" w:sz="6" w:space="1"/>
      </w:pBdr>
      <w:tabs>
        <w:tab w:val="center" w:pos="4153"/>
        <w:tab w:val="right" w:pos="8306"/>
      </w:tabs>
      <w:snapToGrid w:val="0"/>
      <w:ind w:firstLine="0" w:firstLineChars="0"/>
      <w:jc w:val="center"/>
    </w:pPr>
    <w:rPr>
      <w:rFonts w:ascii="等线" w:hAnsi="等线" w:eastAsia="等线" w:cs="黑体"/>
      <w:sz w:val="18"/>
      <w:szCs w:val="18"/>
    </w:rPr>
  </w:style>
  <w:style w:type="paragraph" w:styleId="12">
    <w:name w:val="toc 1"/>
    <w:basedOn w:val="1"/>
    <w:next w:val="1"/>
    <w:unhideWhenUsed/>
    <w:qFormat/>
    <w:uiPriority w:val="39"/>
  </w:style>
  <w:style w:type="paragraph" w:styleId="13">
    <w:name w:val="footnote text"/>
    <w:basedOn w:val="1"/>
    <w:link w:val="25"/>
    <w:semiHidden/>
    <w:unhideWhenUsed/>
    <w:qFormat/>
    <w:uiPriority w:val="99"/>
    <w:pPr>
      <w:snapToGrid w:val="0"/>
      <w:jc w:val="left"/>
    </w:pPr>
    <w:rPr>
      <w:sz w:val="18"/>
      <w:szCs w:val="18"/>
    </w:rPr>
  </w:style>
  <w:style w:type="paragraph" w:styleId="14">
    <w:name w:val="toc 2"/>
    <w:basedOn w:val="1"/>
    <w:next w:val="1"/>
    <w:unhideWhenUsed/>
    <w:qFormat/>
    <w:uiPriority w:val="39"/>
    <w:pPr>
      <w:ind w:left="420" w:leftChars="200"/>
    </w:pPr>
  </w:style>
  <w:style w:type="character" w:styleId="16">
    <w:name w:val="Hyperlink"/>
    <w:basedOn w:val="15"/>
    <w:unhideWhenUsed/>
    <w:qFormat/>
    <w:uiPriority w:val="99"/>
    <w:rPr>
      <w:color w:val="0563C1"/>
      <w:u w:val="single"/>
    </w:rPr>
  </w:style>
  <w:style w:type="character" w:styleId="17">
    <w:name w:val="annotation reference"/>
    <w:basedOn w:val="15"/>
    <w:semiHidden/>
    <w:unhideWhenUsed/>
    <w:qFormat/>
    <w:uiPriority w:val="99"/>
    <w:rPr>
      <w:sz w:val="21"/>
      <w:szCs w:val="21"/>
    </w:rPr>
  </w:style>
  <w:style w:type="character" w:styleId="18">
    <w:name w:val="footnote reference"/>
    <w:basedOn w:val="15"/>
    <w:semiHidden/>
    <w:unhideWhenUsed/>
    <w:qFormat/>
    <w:uiPriority w:val="99"/>
    <w:rPr>
      <w:vertAlign w:val="superscript"/>
    </w:rPr>
  </w:style>
  <w:style w:type="paragraph" w:customStyle="1" w:styleId="19">
    <w:name w:val="List Paragraph"/>
    <w:basedOn w:val="1"/>
    <w:qFormat/>
    <w:uiPriority w:val="34"/>
    <w:pPr>
      <w:ind w:firstLine="420"/>
    </w:pPr>
  </w:style>
  <w:style w:type="paragraph" w:customStyle="1" w:styleId="20">
    <w:name w:val="TOC 标题1"/>
    <w:basedOn w:val="2"/>
    <w:next w:val="1"/>
    <w:unhideWhenUsed/>
    <w:qFormat/>
    <w:uiPriority w:val="39"/>
    <w:pPr>
      <w:widowControl/>
      <w:spacing w:before="240" w:after="0" w:line="259" w:lineRule="auto"/>
      <w:ind w:firstLine="0" w:firstLineChars="0"/>
      <w:jc w:val="left"/>
      <w:outlineLvl w:val="9"/>
    </w:pPr>
    <w:rPr>
      <w:rFonts w:ascii="等线 Light" w:hAnsi="等线 Light" w:eastAsia="等线 Light" w:cs="黑体"/>
      <w:b w:val="0"/>
      <w:bCs w:val="0"/>
      <w:color w:val="2E5394"/>
      <w:kern w:val="0"/>
      <w:sz w:val="32"/>
      <w:szCs w:val="32"/>
    </w:rPr>
  </w:style>
  <w:style w:type="character" w:customStyle="1" w:styleId="21">
    <w:name w:val="页眉 Char Char"/>
    <w:basedOn w:val="15"/>
    <w:link w:val="11"/>
    <w:uiPriority w:val="99"/>
    <w:rPr>
      <w:sz w:val="18"/>
      <w:szCs w:val="18"/>
    </w:rPr>
  </w:style>
  <w:style w:type="character" w:customStyle="1" w:styleId="22">
    <w:name w:val="页脚 Char Char"/>
    <w:basedOn w:val="15"/>
    <w:link w:val="10"/>
    <w:uiPriority w:val="99"/>
    <w:rPr>
      <w:sz w:val="18"/>
      <w:szCs w:val="18"/>
    </w:rPr>
  </w:style>
  <w:style w:type="character" w:customStyle="1" w:styleId="23">
    <w:name w:val="日期 Char Char"/>
    <w:basedOn w:val="15"/>
    <w:link w:val="8"/>
    <w:uiPriority w:val="99"/>
    <w:rPr>
      <w:rFonts w:ascii="Calibri" w:hAnsi="Calibri" w:eastAsia="仿宋_GB2312" w:cs="黑体"/>
      <w:sz w:val="28"/>
    </w:rPr>
  </w:style>
  <w:style w:type="character" w:customStyle="1" w:styleId="24">
    <w:name w:val="标题 2 Char Char"/>
    <w:basedOn w:val="15"/>
    <w:link w:val="3"/>
    <w:uiPriority w:val="9"/>
    <w:rPr>
      <w:rFonts w:ascii="等线 Light" w:hAnsi="等线 Light" w:eastAsia="等线 Light" w:cs="黑体"/>
      <w:b/>
      <w:bCs/>
      <w:sz w:val="32"/>
      <w:szCs w:val="32"/>
    </w:rPr>
  </w:style>
  <w:style w:type="character" w:customStyle="1" w:styleId="25">
    <w:name w:val="脚注文本 Char Char"/>
    <w:basedOn w:val="15"/>
    <w:link w:val="13"/>
    <w:uiPriority w:val="99"/>
    <w:rPr>
      <w:rFonts w:ascii="Calibri" w:hAnsi="Calibri" w:eastAsia="仿宋_GB2312" w:cs="黑体"/>
      <w:sz w:val="18"/>
      <w:szCs w:val="18"/>
    </w:rPr>
  </w:style>
  <w:style w:type="character" w:customStyle="1" w:styleId="26">
    <w:name w:val="标题 1 Char Char"/>
    <w:basedOn w:val="15"/>
    <w:link w:val="2"/>
    <w:uiPriority w:val="9"/>
    <w:rPr>
      <w:rFonts w:ascii="Calibri" w:hAnsi="Calibri" w:eastAsia="仿宋_GB2312" w:cs="黑体"/>
      <w:b/>
      <w:bCs/>
      <w:kern w:val="44"/>
      <w:sz w:val="44"/>
      <w:szCs w:val="44"/>
    </w:rPr>
  </w:style>
  <w:style w:type="character" w:customStyle="1" w:styleId="27">
    <w:name w:val="批注文字 Char Char"/>
    <w:basedOn w:val="15"/>
    <w:link w:val="6"/>
    <w:uiPriority w:val="99"/>
    <w:rPr>
      <w:rFonts w:ascii="Calibri" w:hAnsi="Calibri" w:eastAsia="仿宋_GB2312" w:cs="黑体"/>
      <w:sz w:val="28"/>
    </w:rPr>
  </w:style>
  <w:style w:type="character" w:customStyle="1" w:styleId="28">
    <w:name w:val="批注主题 Char Char"/>
    <w:basedOn w:val="27"/>
    <w:link w:val="5"/>
    <w:uiPriority w:val="99"/>
    <w:rPr>
      <w:rFonts w:ascii="Calibri" w:hAnsi="Calibri" w:eastAsia="仿宋_GB2312" w:cs="黑体"/>
      <w:b/>
      <w:bCs/>
      <w:sz w:val="28"/>
    </w:rPr>
  </w:style>
  <w:style w:type="character" w:customStyle="1" w:styleId="29">
    <w:name w:val="批注框文本 Char Char"/>
    <w:basedOn w:val="15"/>
    <w:link w:val="9"/>
    <w:uiPriority w:val="99"/>
    <w:rPr>
      <w:rFonts w:ascii="Calibri" w:hAnsi="Calibri" w:eastAsia="仿宋_GB2312" w:cs="黑体"/>
      <w:sz w:val="18"/>
      <w:szCs w:val="18"/>
    </w:rPr>
  </w:style>
  <w:style w:type="character" w:customStyle="1" w:styleId="30">
    <w:name w:val="标题 3 Char Char"/>
    <w:basedOn w:val="15"/>
    <w:link w:val="4"/>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notes" Target="footnote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11550</Words>
  <Characters>12149</Characters>
  <Lines>121</Lines>
  <Paragraphs>34</Paragraphs>
  <ScaleCrop>false</ScaleCrop>
  <LinksUpToDate>false</LinksUpToDate>
  <CharactersWithSpaces>0</CharactersWithSpaces>
  <Application>WPS Office 个人版_9.1.0.4369_{F1E327BC-269C-435d-A152-05C5408002CA}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2025-05-16T07:14:00Z</dcterms:created>
  <dc:creator>张 宇</dc:creator>
  <cp:lastModifiedBy>Administrator</cp:lastModifiedBy>
  <cp:lastPrinted>2023-04-11T10:57:00Z</cp:lastPrinted>
  <dcterms:modified xsi:type="dcterms:W3CDTF">2025-09-18T09:37:05Z</dcterms:modified>
  <dc:title>财政项目支出绩效评价报告</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2052-9.1.0.4369</vt:lpwstr>
  </property>
  <property fmtid="{D5CDD505-2E9C-101B-9397-08002B2CF9AE}" pid="3" name="ICV">
    <vt:lpwstr>8C426947C7F342E79D4B0BBE9A4FE583_13</vt:lpwstr>
  </property>
  <property fmtid="{D5CDD505-2E9C-101B-9397-08002B2CF9AE}" pid="4" name="KSOTemplateDocerSaveRecord">
    <vt:lpwstr>eyJoZGlkIjoiNWEwODQxNDA0MTcwYWY4NTljNDA0MDliYTkyZTlkYTIiLCJ1c2VySWQiOiI1MjM4MTA2NjIifQ==</vt:lpwstr>
  </property>
</Properties>
</file>