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F0C88"/>
    <w:p w14:paraId="61CA4634"/>
    <w:p w14:paraId="30C19311">
      <w:pPr>
        <w:spacing w:line="480" w:lineRule="auto"/>
        <w:ind w:firstLine="0" w:firstLineChars="0"/>
        <w:rPr>
          <w:rFonts w:ascii="Times New Roman" w:hAnsi="Times New Roman" w:eastAsia="黑体" w:cs="Times New Roman"/>
          <w:b/>
          <w:kern w:val="0"/>
          <w:sz w:val="50"/>
          <w:szCs w:val="50"/>
          <w:lang w:bidi="en-US"/>
        </w:rPr>
      </w:pPr>
    </w:p>
    <w:p w14:paraId="2282D7BB">
      <w:pPr>
        <w:spacing w:line="480" w:lineRule="auto"/>
        <w:ind w:firstLine="0" w:firstLineChars="0"/>
        <w:rPr>
          <w:rFonts w:ascii="Times New Roman" w:hAnsi="Times New Roman" w:eastAsia="黑体" w:cs="Times New Roman"/>
          <w:b/>
          <w:kern w:val="0"/>
          <w:sz w:val="50"/>
          <w:szCs w:val="50"/>
          <w:lang w:bidi="en-US"/>
        </w:rPr>
      </w:pPr>
    </w:p>
    <w:p w14:paraId="72D8FB8E">
      <w:pPr>
        <w:spacing w:line="480" w:lineRule="auto"/>
        <w:ind w:firstLine="0" w:firstLineChars="0"/>
        <w:jc w:val="center"/>
        <w:rPr>
          <w:rFonts w:ascii="Times New Roman" w:hAnsi="Times New Roman" w:eastAsia="黑体" w:cs="Times New Roman"/>
          <w:b/>
          <w:kern w:val="0"/>
          <w:sz w:val="50"/>
          <w:szCs w:val="50"/>
          <w:lang w:bidi="en-US"/>
        </w:rPr>
      </w:pPr>
    </w:p>
    <w:p w14:paraId="0F0FE186">
      <w:pPr>
        <w:spacing w:before="120" w:after="120" w:line="480" w:lineRule="auto"/>
        <w:ind w:firstLine="0" w:firstLineChars="0"/>
        <w:jc w:val="center"/>
        <w:rPr>
          <w:rFonts w:ascii="Times New Roman" w:hAnsi="Times New Roman"/>
          <w:b/>
          <w:sz w:val="44"/>
          <w:szCs w:val="44"/>
        </w:rPr>
      </w:pPr>
      <w:r>
        <w:rPr>
          <w:rFonts w:hint="eastAsia" w:ascii="Times New Roman" w:hAnsi="Times New Roman"/>
          <w:b/>
          <w:sz w:val="44"/>
          <w:szCs w:val="44"/>
        </w:rPr>
        <w:t>财政项目支出绩效评价报告</w:t>
      </w:r>
    </w:p>
    <w:p w14:paraId="7DDF7191">
      <w:pPr>
        <w:spacing w:line="480" w:lineRule="auto"/>
        <w:ind w:firstLine="0" w:firstLineChars="0"/>
        <w:jc w:val="center"/>
        <w:rPr>
          <w:rFonts w:ascii="Times New Roman" w:hAnsi="Times New Roman" w:eastAsia="黑体" w:cs="Times New Roman"/>
          <w:b/>
          <w:kern w:val="0"/>
          <w:sz w:val="50"/>
          <w:szCs w:val="50"/>
          <w:lang w:bidi="en-US"/>
        </w:rPr>
      </w:pPr>
    </w:p>
    <w:p w14:paraId="32F742B9">
      <w:pPr>
        <w:spacing w:line="480" w:lineRule="auto"/>
        <w:ind w:firstLine="0" w:firstLineChars="0"/>
        <w:jc w:val="center"/>
        <w:rPr>
          <w:rFonts w:ascii="Times New Roman" w:hAnsi="Times New Roman" w:eastAsia="黑体" w:cs="Times New Roman"/>
          <w:b/>
          <w:kern w:val="0"/>
          <w:sz w:val="50"/>
          <w:szCs w:val="50"/>
          <w:lang w:bidi="en-US"/>
        </w:rPr>
      </w:pPr>
    </w:p>
    <w:p w14:paraId="0CF58DA0">
      <w:pPr>
        <w:spacing w:line="480" w:lineRule="auto"/>
        <w:ind w:firstLine="0" w:firstLineChars="0"/>
        <w:jc w:val="center"/>
        <w:rPr>
          <w:rFonts w:ascii="Times New Roman" w:hAnsi="Times New Roman" w:eastAsia="黑体" w:cs="Times New Roman"/>
          <w:b/>
          <w:kern w:val="0"/>
          <w:sz w:val="50"/>
          <w:szCs w:val="50"/>
          <w:lang w:bidi="en-US"/>
        </w:rPr>
      </w:pPr>
    </w:p>
    <w:p w14:paraId="0543BEE7">
      <w:pPr>
        <w:spacing w:line="480" w:lineRule="auto"/>
        <w:ind w:firstLine="0" w:firstLineChars="0"/>
        <w:jc w:val="center"/>
        <w:rPr>
          <w:rFonts w:ascii="Times New Roman" w:hAnsi="Times New Roman" w:eastAsia="黑体" w:cs="Times New Roman"/>
          <w:b/>
          <w:kern w:val="0"/>
          <w:sz w:val="50"/>
          <w:szCs w:val="50"/>
          <w:lang w:bidi="en-US"/>
        </w:rPr>
      </w:pPr>
    </w:p>
    <w:p w14:paraId="183300ED">
      <w:pPr>
        <w:spacing w:line="480" w:lineRule="auto"/>
        <w:ind w:firstLine="0" w:firstLineChars="0"/>
        <w:jc w:val="center"/>
        <w:rPr>
          <w:rFonts w:ascii="Times New Roman" w:hAnsi="Times New Roman" w:eastAsia="黑体" w:cs="Times New Roman"/>
          <w:b/>
          <w:kern w:val="0"/>
          <w:sz w:val="50"/>
          <w:szCs w:val="50"/>
          <w:lang w:bidi="en-US"/>
        </w:rPr>
      </w:pPr>
    </w:p>
    <w:p w14:paraId="46FD099B">
      <w:pPr>
        <w:spacing w:line="480" w:lineRule="auto"/>
        <w:ind w:firstLine="0" w:firstLineChars="0"/>
        <w:jc w:val="center"/>
        <w:rPr>
          <w:rFonts w:ascii="Times New Roman" w:hAnsi="Times New Roman" w:eastAsia="黑体" w:cs="Times New Roman"/>
          <w:b/>
          <w:kern w:val="0"/>
          <w:sz w:val="50"/>
          <w:szCs w:val="50"/>
          <w:lang w:bidi="en-US"/>
        </w:rPr>
      </w:pPr>
    </w:p>
    <w:p w14:paraId="7551F7AD">
      <w:pPr>
        <w:spacing w:line="480" w:lineRule="auto"/>
        <w:ind w:firstLine="0" w:firstLineChars="0"/>
        <w:jc w:val="center"/>
        <w:rPr>
          <w:rFonts w:ascii="Times New Roman" w:hAnsi="Times New Roman" w:cs="Times New Roman"/>
          <w:kern w:val="0"/>
          <w:sz w:val="30"/>
          <w:szCs w:val="30"/>
          <w:lang w:bidi="en-US"/>
        </w:rPr>
      </w:pPr>
    </w:p>
    <w:p w14:paraId="6EF41B02">
      <w:pPr>
        <w:spacing w:line="480" w:lineRule="auto"/>
        <w:ind w:firstLine="1411" w:firstLineChars="441"/>
        <w:jc w:val="left"/>
        <w:rPr>
          <w:rFonts w:ascii="Times New Roman" w:hAnsi="Times New Roman" w:cs="Times New Roman"/>
          <w:kern w:val="0"/>
          <w:sz w:val="32"/>
          <w:szCs w:val="32"/>
          <w:lang w:bidi="en-US"/>
        </w:rPr>
      </w:pPr>
      <w:r>
        <w:rPr>
          <w:rFonts w:hint="eastAsia" w:ascii="Times New Roman" w:hAnsi="Times New Roman" w:cs="Times New Roman"/>
          <w:kern w:val="0"/>
          <w:sz w:val="32"/>
          <w:szCs w:val="32"/>
          <w:lang w:bidi="en-US"/>
        </w:rPr>
        <w:t>项目名称：提前下达2024年重大传染病防控经费</w:t>
      </w:r>
    </w:p>
    <w:p w14:paraId="0FC15E05">
      <w:pPr>
        <w:spacing w:line="480" w:lineRule="auto"/>
        <w:ind w:left="280" w:leftChars="100" w:firstLine="1091" w:firstLineChars="341"/>
        <w:jc w:val="left"/>
        <w:rPr>
          <w:rFonts w:ascii="Times New Roman" w:hAnsi="Times New Roman" w:cs="Times New Roman"/>
          <w:kern w:val="0"/>
          <w:sz w:val="32"/>
          <w:szCs w:val="32"/>
          <w:lang w:bidi="en-US"/>
        </w:rPr>
      </w:pPr>
      <w:r>
        <w:rPr>
          <w:rFonts w:hint="eastAsia" w:ascii="Times New Roman" w:hAnsi="Times New Roman" w:cs="Times New Roman"/>
          <w:kern w:val="0"/>
          <w:sz w:val="32"/>
          <w:szCs w:val="32"/>
          <w:lang w:bidi="en-US"/>
        </w:rPr>
        <w:t>项目单位：乌鲁木齐市血液中心</w:t>
      </w:r>
    </w:p>
    <w:p w14:paraId="343E27D4">
      <w:pPr>
        <w:spacing w:line="480" w:lineRule="auto"/>
        <w:ind w:left="280" w:leftChars="100" w:firstLine="1091" w:firstLineChars="341"/>
        <w:jc w:val="left"/>
        <w:rPr>
          <w:rFonts w:ascii="Times New Roman" w:hAnsi="Times New Roman" w:cs="Times New Roman"/>
          <w:kern w:val="0"/>
          <w:sz w:val="32"/>
          <w:szCs w:val="32"/>
          <w:lang w:bidi="en-US"/>
        </w:rPr>
      </w:pPr>
      <w:r>
        <w:rPr>
          <w:rFonts w:hint="eastAsia" w:ascii="Times New Roman" w:hAnsi="Times New Roman" w:cs="Times New Roman"/>
          <w:kern w:val="0"/>
          <w:sz w:val="32"/>
          <w:szCs w:val="32"/>
          <w:lang w:bidi="en-US"/>
        </w:rPr>
        <w:t>主管部门：乌鲁木齐市卫生健康委员会</w:t>
      </w:r>
    </w:p>
    <w:p w14:paraId="144E75A8">
      <w:pPr>
        <w:spacing w:line="480" w:lineRule="auto"/>
        <w:ind w:firstLine="1411" w:firstLineChars="441"/>
        <w:jc w:val="left"/>
        <w:rPr>
          <w:rFonts w:ascii="Times New Roman" w:hAnsi="Times New Roman" w:cs="Times New Roman"/>
          <w:kern w:val="0"/>
          <w:sz w:val="32"/>
          <w:szCs w:val="32"/>
          <w:lang w:bidi="en-US"/>
        </w:rPr>
      </w:pPr>
    </w:p>
    <w:p w14:paraId="38D16F38">
      <w:pPr>
        <w:spacing w:line="480" w:lineRule="auto"/>
        <w:ind w:firstLine="0" w:firstLineChars="0"/>
        <w:rPr>
          <w:rFonts w:ascii="Times New Roman" w:hAnsi="Times New Roman" w:eastAsia="黑体" w:cs="Times New Roman"/>
          <w:b/>
          <w:kern w:val="0"/>
          <w:sz w:val="32"/>
          <w:szCs w:val="32"/>
          <w:lang w:bidi="en-US"/>
        </w:rPr>
      </w:pPr>
    </w:p>
    <w:p w14:paraId="63856CC6">
      <w:pPr>
        <w:spacing w:line="480" w:lineRule="auto"/>
        <w:ind w:firstLine="0" w:firstLineChars="0"/>
        <w:rPr>
          <w:rFonts w:ascii="Times New Roman" w:hAnsi="Times New Roman" w:eastAsia="黑体" w:cs="Times New Roman"/>
          <w:b/>
          <w:kern w:val="0"/>
          <w:sz w:val="32"/>
          <w:szCs w:val="32"/>
          <w:lang w:bidi="en-US"/>
        </w:rPr>
      </w:pPr>
    </w:p>
    <w:p w14:paraId="10F0027E">
      <w:pPr>
        <w:spacing w:line="480" w:lineRule="auto"/>
        <w:ind w:firstLine="0" w:firstLineChars="0"/>
        <w:jc w:val="center"/>
        <w:rPr>
          <w:rFonts w:ascii="Times New Roman" w:hAnsi="Times New Roman" w:cs="Times New Roman"/>
          <w:kern w:val="0"/>
          <w:sz w:val="32"/>
          <w:szCs w:val="32"/>
          <w:lang w:bidi="en-US"/>
        </w:rPr>
      </w:pPr>
      <w:r>
        <w:rPr>
          <w:rFonts w:hint="eastAsia" w:ascii="Times New Roman" w:hAnsi="Times New Roman" w:cs="Times New Roman"/>
          <w:kern w:val="0"/>
          <w:sz w:val="32"/>
          <w:szCs w:val="32"/>
          <w:lang w:bidi="en-US"/>
        </w:rPr>
        <w:t>202</w:t>
      </w:r>
      <w:r>
        <w:rPr>
          <w:rFonts w:ascii="Times New Roman" w:hAnsi="Times New Roman" w:cs="Times New Roman"/>
          <w:kern w:val="0"/>
          <w:sz w:val="32"/>
          <w:szCs w:val="32"/>
          <w:lang w:bidi="en-US"/>
        </w:rPr>
        <w:t>5</w:t>
      </w:r>
      <w:r>
        <w:rPr>
          <w:rFonts w:hint="eastAsia" w:ascii="Times New Roman" w:hAnsi="Times New Roman" w:cs="Times New Roman"/>
          <w:kern w:val="0"/>
          <w:sz w:val="32"/>
          <w:szCs w:val="32"/>
          <w:lang w:bidi="en-US"/>
        </w:rPr>
        <w:t>年0</w:t>
      </w:r>
      <w:r>
        <w:rPr>
          <w:rFonts w:ascii="Times New Roman" w:hAnsi="Times New Roman" w:cs="Times New Roman"/>
          <w:kern w:val="0"/>
          <w:sz w:val="32"/>
          <w:szCs w:val="32"/>
          <w:lang w:bidi="en-US"/>
        </w:rPr>
        <w:t>4</w:t>
      </w:r>
      <w:r>
        <w:rPr>
          <w:rFonts w:hint="eastAsia" w:ascii="Times New Roman" w:hAnsi="Times New Roman" w:cs="Times New Roman"/>
          <w:kern w:val="0"/>
          <w:sz w:val="32"/>
          <w:szCs w:val="32"/>
          <w:lang w:bidi="en-US"/>
        </w:rPr>
        <w:t>月</w:t>
      </w:r>
    </w:p>
    <w:p w14:paraId="30D51E88">
      <w:pPr>
        <w:spacing w:line="480" w:lineRule="auto"/>
        <w:ind w:firstLine="0" w:firstLineChars="0"/>
        <w:jc w:val="center"/>
        <w:rPr>
          <w:rFonts w:ascii="Times New Roman" w:hAnsi="Times New Roman" w:cs="Times New Roman"/>
          <w:kern w:val="0"/>
          <w:sz w:val="32"/>
          <w:szCs w:val="32"/>
          <w:lang w:bidi="en-US"/>
        </w:rPr>
      </w:pPr>
    </w:p>
    <w:p w14:paraId="556137E5">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14:paraId="4B2B240A">
      <w:pPr>
        <w:ind w:firstLine="640"/>
        <w:rPr>
          <w:rFonts w:ascii="Times New Roman" w:hAnsi="Times New Roman" w:cs="Times New Roman"/>
          <w:kern w:val="0"/>
          <w:sz w:val="32"/>
          <w:szCs w:val="32"/>
          <w:lang w:bidi="en-US"/>
        </w:rPr>
      </w:pPr>
    </w:p>
    <w:sdt>
      <w:sdtPr>
        <w:rPr>
          <w:rFonts w:ascii="Times New Roman" w:hAnsi="Times New Roman" w:eastAsia="仿宋_GB2312" w:cs="黑体"/>
          <w:color w:val="auto"/>
          <w:kern w:val="2"/>
          <w:sz w:val="28"/>
          <w:szCs w:val="22"/>
          <w:lang w:val="zh-CN"/>
        </w:rPr>
        <w:id w:val="-1822651860"/>
        <w:docPartObj>
          <w:docPartGallery w:val="Table of Contents"/>
          <w:docPartUnique/>
        </w:docPartObj>
      </w:sdtPr>
      <w:sdtEndPr>
        <w:rPr>
          <w:rFonts w:ascii="Times New Roman" w:hAnsi="Times New Roman" w:eastAsia="仿宋_GB2312" w:cs="黑体"/>
          <w:b/>
          <w:bCs/>
          <w:color w:val="auto"/>
          <w:kern w:val="2"/>
          <w:sz w:val="28"/>
          <w:szCs w:val="22"/>
          <w:lang w:val="zh-CN"/>
        </w:rPr>
      </w:sdtEndPr>
      <w:sdtContent>
        <w:p w14:paraId="734ED37F">
          <w:pPr>
            <w:pStyle w:val="31"/>
            <w:ind w:firstLine="560"/>
            <w:jc w:val="center"/>
            <w:rPr>
              <w:rFonts w:ascii="Times New Roman" w:hAnsi="Times New Roman"/>
              <w:color w:val="auto"/>
            </w:rPr>
          </w:pPr>
          <w:r>
            <w:rPr>
              <w:rFonts w:ascii="Times New Roman" w:hAnsi="Times New Roman"/>
              <w:color w:val="auto"/>
              <w:lang w:val="zh-CN"/>
            </w:rPr>
            <w:t>目录</w:t>
          </w:r>
        </w:p>
        <w:p w14:paraId="157717A9">
          <w:pPr>
            <w:pStyle w:val="11"/>
            <w:tabs>
              <w:tab w:val="right" w:leader="dot" w:pos="8306"/>
            </w:tabs>
            <w:ind w:firstLine="560"/>
            <w:rPr>
              <w:rFonts w:ascii="Times New Roman" w:hAnsi="Times New Roman"/>
            </w:rPr>
          </w:pPr>
          <w:r>
            <w:rPr>
              <w:rFonts w:ascii="Times New Roman" w:hAnsi="Times New Roman"/>
            </w:rPr>
            <w:fldChar w:fldCharType="begin"/>
          </w:r>
          <w:r>
            <w:rPr>
              <w:rFonts w:ascii="Times New Roman" w:hAnsi="Times New Roman"/>
            </w:rPr>
            <w:instrText xml:space="preserve">TOC \o "1-3" \h \z \u</w:instrText>
          </w:r>
          <w:r>
            <w:rPr>
              <w:rFonts w:ascii="Times New Roman" w:hAnsi="Times New Roman"/>
            </w:rPr>
            <w:fldChar w:fldCharType="separate"/>
          </w:r>
          <w:r>
            <w:fldChar w:fldCharType="begin"/>
          </w:r>
          <w:r>
            <w:instrText xml:space="preserve"> HYPERLINK \l "_Toc1247" </w:instrText>
          </w:r>
          <w:r>
            <w:fldChar w:fldCharType="separate"/>
          </w:r>
          <w:r>
            <w:rPr>
              <w:rFonts w:hint="eastAsia" w:ascii="Times New Roman" w:hAnsi="Times New Roman" w:eastAsia="仿宋"/>
              <w:szCs w:val="36"/>
              <w:lang w:bidi="en-US"/>
            </w:rPr>
            <w:t>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_Toc1247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36396244">
          <w:pPr>
            <w:pStyle w:val="13"/>
            <w:tabs>
              <w:tab w:val="right" w:leader="dot" w:pos="8306"/>
            </w:tabs>
            <w:ind w:left="560" w:firstLine="560"/>
            <w:rPr>
              <w:rFonts w:ascii="Times New Roman" w:hAnsi="Times New Roman"/>
            </w:rPr>
          </w:pPr>
          <w:r>
            <w:fldChar w:fldCharType="begin"/>
          </w:r>
          <w:r>
            <w:instrText xml:space="preserve"> HYPERLINK \l "_Toc28231" </w:instrText>
          </w:r>
          <w:r>
            <w:fldChar w:fldCharType="separate"/>
          </w:r>
          <w:r>
            <w:rPr>
              <w:rFonts w:hint="eastAsia" w:ascii="Times New Roman" w:hAnsi="Times New Roman" w:eastAsia="仿宋"/>
              <w:lang w:bidi="en-US"/>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_Toc28231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0EE4E310">
          <w:pPr>
            <w:pStyle w:val="6"/>
            <w:tabs>
              <w:tab w:val="right" w:leader="dot" w:pos="8306"/>
            </w:tabs>
            <w:ind w:left="1120" w:firstLine="560"/>
            <w:rPr>
              <w:rFonts w:ascii="Times New Roman" w:hAnsi="Times New Roman"/>
            </w:rPr>
          </w:pPr>
          <w:r>
            <w:fldChar w:fldCharType="begin"/>
          </w:r>
          <w:r>
            <w:instrText xml:space="preserve"> HYPERLINK \l "_Toc20598" </w:instrText>
          </w:r>
          <w:r>
            <w:fldChar w:fldCharType="separate"/>
          </w:r>
          <w:r>
            <w:rPr>
              <w:rFonts w:hint="eastAsia" w:ascii="Times New Roman" w:hAnsi="Times New Roman"/>
            </w:rPr>
            <w:t>1．项目背景、主要内容及实施情况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_Toc20598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1CF124E1">
          <w:pPr>
            <w:pStyle w:val="6"/>
            <w:tabs>
              <w:tab w:val="right" w:leader="dot" w:pos="8306"/>
            </w:tabs>
            <w:ind w:left="1120" w:firstLine="560"/>
            <w:rPr>
              <w:rFonts w:ascii="Times New Roman" w:hAnsi="Times New Roman"/>
            </w:rPr>
          </w:pPr>
          <w:r>
            <w:fldChar w:fldCharType="begin"/>
          </w:r>
          <w:r>
            <w:instrText xml:space="preserve"> HYPERLINK \l "_Toc11562" </w:instrText>
          </w:r>
          <w:r>
            <w:fldChar w:fldCharType="separate"/>
          </w:r>
          <w:r>
            <w:rPr>
              <w:rFonts w:hint="eastAsia" w:ascii="Times New Roman" w:hAnsi="Times New Roman"/>
            </w:rPr>
            <w:t>2</w:t>
          </w:r>
          <w:r>
            <w:rPr>
              <w:rFonts w:ascii="Times New Roman" w:hAnsi="Times New Roman"/>
            </w:rPr>
            <w:t>.资金投入和使用情况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_Toc11562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14:paraId="40BEF293">
          <w:pPr>
            <w:pStyle w:val="13"/>
            <w:tabs>
              <w:tab w:val="right" w:leader="dot" w:pos="8306"/>
            </w:tabs>
            <w:ind w:left="560" w:firstLine="560"/>
            <w:rPr>
              <w:rFonts w:ascii="Times New Roman" w:hAnsi="Times New Roman"/>
            </w:rPr>
          </w:pPr>
          <w:r>
            <w:fldChar w:fldCharType="begin"/>
          </w:r>
          <w:r>
            <w:instrText xml:space="preserve"> HYPERLINK \l "_Toc12794" </w:instrText>
          </w:r>
          <w:r>
            <w:fldChar w:fldCharType="separate"/>
          </w:r>
          <w:r>
            <w:rPr>
              <w:rFonts w:hint="eastAsia" w:ascii="Times New Roman" w:hAnsi="Times New Roman" w:eastAsia="仿宋"/>
              <w:lang w:bidi="en-US"/>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_Toc12794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459D747C">
          <w:pPr>
            <w:pStyle w:val="11"/>
            <w:tabs>
              <w:tab w:val="right" w:leader="dot" w:pos="8306"/>
            </w:tabs>
            <w:ind w:firstLine="560"/>
            <w:rPr>
              <w:rFonts w:ascii="Times New Roman" w:hAnsi="Times New Roman"/>
            </w:rPr>
          </w:pPr>
          <w:r>
            <w:fldChar w:fldCharType="begin"/>
          </w:r>
          <w:r>
            <w:instrText xml:space="preserve"> HYPERLINK \l "_Toc9399" </w:instrText>
          </w:r>
          <w:r>
            <w:fldChar w:fldCharType="separate"/>
          </w:r>
          <w:r>
            <w:rPr>
              <w:rFonts w:hint="eastAsia" w:ascii="Times New Roman" w:hAnsi="Times New Roman" w:eastAsia="仿宋"/>
              <w:szCs w:val="36"/>
              <w:lang w:bidi="en-US"/>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_Toc9399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25B03468">
          <w:pPr>
            <w:pStyle w:val="13"/>
            <w:tabs>
              <w:tab w:val="right" w:leader="dot" w:pos="8306"/>
            </w:tabs>
            <w:ind w:left="560" w:firstLine="560"/>
            <w:rPr>
              <w:rFonts w:ascii="Times New Roman" w:hAnsi="Times New Roman"/>
            </w:rPr>
          </w:pPr>
          <w:r>
            <w:fldChar w:fldCharType="begin"/>
          </w:r>
          <w:r>
            <w:instrText xml:space="preserve"> HYPERLINK \l "_Toc4905" </w:instrText>
          </w:r>
          <w:r>
            <w:fldChar w:fldCharType="separate"/>
          </w:r>
          <w:r>
            <w:rPr>
              <w:rFonts w:hint="eastAsia" w:ascii="Times New Roman" w:hAnsi="Times New Roman" w:eastAsia="仿宋"/>
              <w:lang w:bidi="en-US"/>
            </w:rPr>
            <w:t>（一）绩效评价目的、对象和范围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_Toc4905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404BC928">
          <w:pPr>
            <w:pStyle w:val="6"/>
            <w:tabs>
              <w:tab w:val="right" w:leader="dot" w:pos="8306"/>
            </w:tabs>
            <w:ind w:left="1120" w:firstLine="560"/>
            <w:rPr>
              <w:rFonts w:ascii="Times New Roman" w:hAnsi="Times New Roman"/>
            </w:rPr>
          </w:pPr>
          <w:r>
            <w:fldChar w:fldCharType="begin"/>
          </w:r>
          <w:r>
            <w:instrText xml:space="preserve"> HYPERLINK \l "_Toc21829" </w:instrText>
          </w:r>
          <w:r>
            <w:fldChar w:fldCharType="separate"/>
          </w:r>
          <w:r>
            <w:rPr>
              <w:rFonts w:hint="eastAsia" w:ascii="Times New Roman" w:hAnsi="Times New Roman"/>
            </w:rPr>
            <w:t>1</w:t>
          </w:r>
          <w:r>
            <w:rPr>
              <w:rFonts w:ascii="Times New Roman" w:hAnsi="Times New Roman"/>
            </w:rPr>
            <w:t>.绩效评价完整性</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_Toc21829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2ED8BCC9">
          <w:pPr>
            <w:pStyle w:val="6"/>
            <w:tabs>
              <w:tab w:val="right" w:leader="dot" w:pos="8306"/>
            </w:tabs>
            <w:ind w:left="1120" w:firstLine="560"/>
            <w:rPr>
              <w:rFonts w:ascii="Times New Roman" w:hAnsi="Times New Roman"/>
            </w:rPr>
          </w:pPr>
          <w:r>
            <w:fldChar w:fldCharType="begin"/>
          </w:r>
          <w:r>
            <w:instrText xml:space="preserve"> HYPERLINK \l "_Toc585" </w:instrText>
          </w:r>
          <w:r>
            <w:fldChar w:fldCharType="separate"/>
          </w:r>
          <w:r>
            <w:rPr>
              <w:rFonts w:ascii="Times New Roman" w:hAnsi="Times New Roman"/>
            </w:rPr>
            <w:t>2</w:t>
          </w:r>
          <w:r>
            <w:rPr>
              <w:rFonts w:hint="eastAsia" w:ascii="Times New Roman" w:hAnsi="Times New Roman"/>
            </w:rPr>
            <w:t>.评价目的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_Toc585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14:paraId="7AAD038F">
          <w:pPr>
            <w:pStyle w:val="6"/>
            <w:tabs>
              <w:tab w:val="right" w:leader="dot" w:pos="8306"/>
            </w:tabs>
            <w:ind w:left="1120" w:firstLine="560"/>
            <w:rPr>
              <w:rFonts w:ascii="Times New Roman" w:hAnsi="Times New Roman"/>
            </w:rPr>
          </w:pPr>
          <w:r>
            <w:fldChar w:fldCharType="begin"/>
          </w:r>
          <w:r>
            <w:instrText xml:space="preserve"> HYPERLINK \l "_Toc3626" </w:instrText>
          </w:r>
          <w:r>
            <w:fldChar w:fldCharType="separate"/>
          </w:r>
          <w:r>
            <w:rPr>
              <w:rFonts w:ascii="Times New Roman" w:hAnsi="Times New Roman"/>
            </w:rPr>
            <w:t>3</w:t>
          </w:r>
          <w:r>
            <w:rPr>
              <w:rFonts w:hint="eastAsia" w:ascii="Times New Roman" w:hAnsi="Times New Roman"/>
            </w:rPr>
            <w:t>.评价对象</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_Toc3626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14:paraId="485C8EAF">
          <w:pPr>
            <w:pStyle w:val="6"/>
            <w:tabs>
              <w:tab w:val="right" w:leader="dot" w:pos="8306"/>
            </w:tabs>
            <w:ind w:left="1120" w:firstLine="560"/>
            <w:rPr>
              <w:rFonts w:ascii="Times New Roman" w:hAnsi="Times New Roman"/>
            </w:rPr>
          </w:pPr>
          <w:r>
            <w:fldChar w:fldCharType="begin"/>
          </w:r>
          <w:r>
            <w:instrText xml:space="preserve"> HYPERLINK \l "_Toc10993" </w:instrText>
          </w:r>
          <w:r>
            <w:fldChar w:fldCharType="separate"/>
          </w:r>
          <w:r>
            <w:rPr>
              <w:rFonts w:hint="eastAsia" w:ascii="Times New Roman" w:hAnsi="Times New Roman"/>
            </w:rPr>
            <w:t>4</w:t>
          </w:r>
          <w:r>
            <w:rPr>
              <w:rFonts w:ascii="Times New Roman" w:hAnsi="Times New Roman"/>
            </w:rPr>
            <w:t>.</w:t>
          </w:r>
          <w:r>
            <w:rPr>
              <w:rFonts w:hint="eastAsia" w:ascii="Times New Roman" w:hAnsi="Times New Roman"/>
            </w:rPr>
            <w:t>绩效评价范围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_Toc10993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69AB95FD">
          <w:pPr>
            <w:pStyle w:val="13"/>
            <w:tabs>
              <w:tab w:val="right" w:leader="dot" w:pos="8306"/>
            </w:tabs>
            <w:ind w:left="560" w:firstLine="560"/>
            <w:rPr>
              <w:rFonts w:ascii="Times New Roman" w:hAnsi="Times New Roman"/>
            </w:rPr>
          </w:pPr>
          <w:r>
            <w:fldChar w:fldCharType="begin"/>
          </w:r>
          <w:r>
            <w:instrText xml:space="preserve"> HYPERLINK \l "_Toc26572" </w:instrText>
          </w:r>
          <w:r>
            <w:fldChar w:fldCharType="separate"/>
          </w:r>
          <w:r>
            <w:rPr>
              <w:rFonts w:hint="eastAsia" w:ascii="Times New Roman" w:hAnsi="Times New Roman" w:eastAsia="仿宋"/>
              <w:lang w:bidi="en-US"/>
            </w:rPr>
            <w:t>（二）绩效评价原则、指标体系、方法及标准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_Toc26572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16E179AC">
          <w:pPr>
            <w:pStyle w:val="6"/>
            <w:tabs>
              <w:tab w:val="right" w:leader="dot" w:pos="8306"/>
            </w:tabs>
            <w:ind w:left="1120" w:firstLine="560"/>
            <w:rPr>
              <w:rFonts w:ascii="Times New Roman" w:hAnsi="Times New Roman"/>
            </w:rPr>
          </w:pPr>
          <w:r>
            <w:fldChar w:fldCharType="begin"/>
          </w:r>
          <w:r>
            <w:instrText xml:space="preserve"> HYPERLINK \l "_Toc14937" </w:instrText>
          </w:r>
          <w:r>
            <w:fldChar w:fldCharType="separate"/>
          </w:r>
          <w:r>
            <w:rPr>
              <w:rFonts w:hint="eastAsia" w:ascii="Times New Roman" w:hAnsi="Times New Roman"/>
            </w:rPr>
            <w:t>1</w:t>
          </w:r>
          <w:r>
            <w:rPr>
              <w:rFonts w:ascii="Times New Roman" w:hAnsi="Times New Roman"/>
            </w:rPr>
            <w:t>.</w:t>
          </w:r>
          <w:r>
            <w:rPr>
              <w:rFonts w:hint="eastAsia" w:ascii="Times New Roman" w:hAnsi="Times New Roman"/>
            </w:rPr>
            <w:t>评价原则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_Toc14937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79E89CA5">
          <w:pPr>
            <w:pStyle w:val="6"/>
            <w:tabs>
              <w:tab w:val="right" w:leader="dot" w:pos="8306"/>
            </w:tabs>
            <w:ind w:left="1120" w:firstLine="560"/>
            <w:rPr>
              <w:rFonts w:ascii="Times New Roman" w:hAnsi="Times New Roman"/>
            </w:rPr>
          </w:pPr>
          <w:r>
            <w:fldChar w:fldCharType="begin"/>
          </w:r>
          <w:r>
            <w:instrText xml:space="preserve"> HYPERLINK \l "_Toc8010" </w:instrText>
          </w:r>
          <w:r>
            <w:fldChar w:fldCharType="separate"/>
          </w:r>
          <w:r>
            <w:rPr>
              <w:rFonts w:ascii="Times New Roman" w:hAnsi="Times New Roman"/>
            </w:rPr>
            <w:t>2.</w:t>
          </w:r>
          <w:r>
            <w:rPr>
              <w:rFonts w:hint="eastAsia" w:ascii="Times New Roman" w:hAnsi="Times New Roman"/>
            </w:rPr>
            <w:t>评价指标体系</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_Toc8010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255D2233">
          <w:pPr>
            <w:pStyle w:val="6"/>
            <w:tabs>
              <w:tab w:val="right" w:leader="dot" w:pos="8306"/>
            </w:tabs>
            <w:ind w:left="1120" w:firstLine="560"/>
            <w:rPr>
              <w:rFonts w:ascii="Times New Roman" w:hAnsi="Times New Roman"/>
            </w:rPr>
          </w:pPr>
          <w:r>
            <w:fldChar w:fldCharType="begin"/>
          </w:r>
          <w:r>
            <w:instrText xml:space="preserve"> HYPERLINK \l "_Toc13020" </w:instrText>
          </w:r>
          <w:r>
            <w:fldChar w:fldCharType="separate"/>
          </w:r>
          <w:r>
            <w:rPr>
              <w:rFonts w:ascii="Times New Roman" w:hAnsi="Times New Roman"/>
            </w:rPr>
            <w:t>3.</w:t>
          </w:r>
          <w:r>
            <w:rPr>
              <w:rFonts w:hint="eastAsia" w:ascii="Times New Roman" w:hAnsi="Times New Roman"/>
            </w:rPr>
            <w:t>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_Toc13020 \h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14:paraId="0441F5D5">
          <w:pPr>
            <w:pStyle w:val="6"/>
            <w:tabs>
              <w:tab w:val="right" w:leader="dot" w:pos="8306"/>
            </w:tabs>
            <w:ind w:left="1120" w:firstLine="560"/>
            <w:rPr>
              <w:rFonts w:ascii="Times New Roman" w:hAnsi="Times New Roman"/>
            </w:rPr>
          </w:pPr>
          <w:r>
            <w:fldChar w:fldCharType="begin"/>
          </w:r>
          <w:r>
            <w:instrText xml:space="preserve"> HYPERLINK \l "_Toc26722" </w:instrText>
          </w:r>
          <w:r>
            <w:fldChar w:fldCharType="separate"/>
          </w:r>
          <w:r>
            <w:rPr>
              <w:rFonts w:ascii="Times New Roman" w:hAnsi="Times New Roman"/>
            </w:rPr>
            <w:t>4.</w:t>
          </w:r>
          <w:r>
            <w:rPr>
              <w:rFonts w:hint="eastAsia" w:ascii="Times New Roman" w:hAnsi="Times New Roman"/>
            </w:rPr>
            <w:t>评价标准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_Toc26722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14:paraId="6AE6CE09">
          <w:pPr>
            <w:pStyle w:val="13"/>
            <w:tabs>
              <w:tab w:val="right" w:leader="dot" w:pos="8306"/>
            </w:tabs>
            <w:ind w:left="560" w:firstLine="560"/>
            <w:rPr>
              <w:rFonts w:ascii="Times New Roman" w:hAnsi="Times New Roman"/>
            </w:rPr>
          </w:pPr>
          <w:r>
            <w:fldChar w:fldCharType="begin"/>
          </w:r>
          <w:r>
            <w:instrText xml:space="preserve"> HYPERLINK \l "_Toc4304" </w:instrText>
          </w:r>
          <w:r>
            <w:fldChar w:fldCharType="separate"/>
          </w:r>
          <w:r>
            <w:rPr>
              <w:rFonts w:hint="eastAsia" w:ascii="Times New Roman" w:hAnsi="Times New Roman" w:eastAsia="仿宋"/>
              <w:lang w:bidi="en-US"/>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_Toc4304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14:paraId="68845C91">
          <w:pPr>
            <w:pStyle w:val="11"/>
            <w:tabs>
              <w:tab w:val="right" w:leader="dot" w:pos="8306"/>
            </w:tabs>
            <w:ind w:firstLine="560"/>
            <w:rPr>
              <w:rFonts w:ascii="Times New Roman" w:hAnsi="Times New Roman"/>
            </w:rPr>
          </w:pPr>
          <w:r>
            <w:fldChar w:fldCharType="begin"/>
          </w:r>
          <w:r>
            <w:instrText xml:space="preserve"> HYPERLINK \l "_Toc12149" </w:instrText>
          </w:r>
          <w:r>
            <w:fldChar w:fldCharType="separate"/>
          </w:r>
          <w:r>
            <w:rPr>
              <w:rFonts w:hint="eastAsia" w:ascii="Times New Roman" w:hAnsi="Times New Roman" w:eastAsia="仿宋"/>
              <w:szCs w:val="36"/>
              <w:lang w:bidi="en-US"/>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_Toc12149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14:paraId="0780BF99">
          <w:pPr>
            <w:pStyle w:val="13"/>
            <w:tabs>
              <w:tab w:val="right" w:leader="dot" w:pos="8306"/>
            </w:tabs>
            <w:ind w:left="560" w:firstLine="560"/>
            <w:rPr>
              <w:rFonts w:ascii="Times New Roman" w:hAnsi="Times New Roman"/>
            </w:rPr>
          </w:pPr>
          <w:r>
            <w:fldChar w:fldCharType="begin"/>
          </w:r>
          <w:r>
            <w:instrText xml:space="preserve"> HYPERLINK \l "_Toc29414" </w:instrText>
          </w:r>
          <w:r>
            <w:fldChar w:fldCharType="separate"/>
          </w:r>
          <w:r>
            <w:rPr>
              <w:rFonts w:hint="eastAsia" w:ascii="Times New Roman" w:hAnsi="Times New Roman" w:eastAsia="仿宋"/>
              <w:lang w:bidi="en-US"/>
            </w:rPr>
            <w:t>（一）评价结论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_Toc29414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14:paraId="77F0CA15">
          <w:pPr>
            <w:pStyle w:val="13"/>
            <w:tabs>
              <w:tab w:val="right" w:leader="dot" w:pos="8306"/>
            </w:tabs>
            <w:ind w:left="560" w:firstLine="560"/>
            <w:rPr>
              <w:rFonts w:ascii="Times New Roman" w:hAnsi="Times New Roman"/>
            </w:rPr>
          </w:pPr>
          <w:r>
            <w:fldChar w:fldCharType="begin"/>
          </w:r>
          <w:r>
            <w:instrText xml:space="preserve"> HYPERLINK \l "_Toc21734" </w:instrText>
          </w:r>
          <w:r>
            <w:fldChar w:fldCharType="separate"/>
          </w:r>
          <w:r>
            <w:rPr>
              <w:rFonts w:hint="eastAsia" w:ascii="Times New Roman" w:hAnsi="Times New Roman" w:eastAsia="仿宋"/>
              <w:lang w:bidi="en-US"/>
            </w:rPr>
            <w:t>（二）主要绩效</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_Toc21734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14:paraId="246D3698">
          <w:pPr>
            <w:pStyle w:val="11"/>
            <w:tabs>
              <w:tab w:val="right" w:leader="dot" w:pos="8306"/>
            </w:tabs>
            <w:ind w:firstLine="560"/>
            <w:rPr>
              <w:rFonts w:ascii="Times New Roman" w:hAnsi="Times New Roman"/>
            </w:rPr>
          </w:pPr>
          <w:r>
            <w:fldChar w:fldCharType="begin"/>
          </w:r>
          <w:r>
            <w:instrText xml:space="preserve"> HYPERLINK \l "_Toc19108" </w:instrText>
          </w:r>
          <w:r>
            <w:fldChar w:fldCharType="separate"/>
          </w:r>
          <w:r>
            <w:rPr>
              <w:rFonts w:hint="eastAsia" w:ascii="Times New Roman" w:hAnsi="Times New Roman" w:eastAsia="仿宋"/>
              <w:szCs w:val="36"/>
              <w:lang w:bidi="en-US"/>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_Toc19108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14:paraId="30BDFE33">
          <w:pPr>
            <w:pStyle w:val="13"/>
            <w:tabs>
              <w:tab w:val="right" w:leader="dot" w:pos="8306"/>
            </w:tabs>
            <w:ind w:left="560" w:firstLine="560"/>
            <w:rPr>
              <w:rFonts w:ascii="Times New Roman" w:hAnsi="Times New Roman"/>
            </w:rPr>
          </w:pPr>
          <w:r>
            <w:fldChar w:fldCharType="begin"/>
          </w:r>
          <w:r>
            <w:instrText xml:space="preserve"> HYPERLINK \l "_Toc29724" </w:instrText>
          </w:r>
          <w:r>
            <w:fldChar w:fldCharType="separate"/>
          </w:r>
          <w:r>
            <w:rPr>
              <w:rFonts w:hint="eastAsia" w:ascii="Times New Roman" w:hAnsi="Times New Roman" w:eastAsia="仿宋"/>
              <w:lang w:bidi="en-US"/>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_Toc29724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14:paraId="1FBA656F">
          <w:pPr>
            <w:pStyle w:val="6"/>
            <w:tabs>
              <w:tab w:val="right" w:leader="dot" w:pos="8306"/>
            </w:tabs>
            <w:ind w:left="1120" w:firstLine="560"/>
            <w:rPr>
              <w:rFonts w:ascii="Times New Roman" w:hAnsi="Times New Roman"/>
            </w:rPr>
          </w:pPr>
          <w:r>
            <w:fldChar w:fldCharType="begin"/>
          </w:r>
          <w:r>
            <w:instrText xml:space="preserve"> HYPERLINK \l "_Toc32201" </w:instrText>
          </w:r>
          <w:r>
            <w:fldChar w:fldCharType="separate"/>
          </w:r>
          <w:r>
            <w:rPr>
              <w:rFonts w:ascii="Times New Roman" w:hAnsi="Times New Roman"/>
            </w:rPr>
            <w:t>1.</w:t>
          </w:r>
          <w:r>
            <w:rPr>
              <w:rFonts w:hint="eastAsia" w:ascii="Times New Roman" w:hAnsi="Times New Roman"/>
            </w:rPr>
            <w:t>项目立项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_Toc32201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14:paraId="3E2559D9">
          <w:pPr>
            <w:pStyle w:val="6"/>
            <w:tabs>
              <w:tab w:val="right" w:leader="dot" w:pos="8306"/>
            </w:tabs>
            <w:ind w:left="1120" w:firstLine="560"/>
            <w:rPr>
              <w:rFonts w:ascii="Times New Roman" w:hAnsi="Times New Roman"/>
            </w:rPr>
          </w:pPr>
          <w:r>
            <w:fldChar w:fldCharType="begin"/>
          </w:r>
          <w:r>
            <w:instrText xml:space="preserve"> HYPERLINK \l "_Toc7156" </w:instrText>
          </w:r>
          <w:r>
            <w:fldChar w:fldCharType="separate"/>
          </w:r>
          <w:r>
            <w:rPr>
              <w:rFonts w:hint="eastAsia" w:ascii="Times New Roman" w:hAnsi="Times New Roman"/>
            </w:rPr>
            <w:t>2</w:t>
          </w:r>
          <w:r>
            <w:rPr>
              <w:rFonts w:ascii="Times New Roman" w:hAnsi="Times New Roman"/>
            </w:rPr>
            <w:t>.</w:t>
          </w:r>
          <w:r>
            <w:rPr>
              <w:rFonts w:hint="eastAsia" w:ascii="Times New Roman" w:hAnsi="Times New Roman"/>
            </w:rPr>
            <w:t>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_Toc7156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14:paraId="7937CF17">
          <w:pPr>
            <w:pStyle w:val="6"/>
            <w:tabs>
              <w:tab w:val="right" w:leader="dot" w:pos="8306"/>
            </w:tabs>
            <w:ind w:left="1120" w:firstLine="560"/>
            <w:rPr>
              <w:rFonts w:ascii="Times New Roman" w:hAnsi="Times New Roman"/>
            </w:rPr>
          </w:pPr>
          <w:r>
            <w:fldChar w:fldCharType="begin"/>
          </w:r>
          <w:r>
            <w:instrText xml:space="preserve"> HYPERLINK \l "_Toc26508" </w:instrText>
          </w:r>
          <w:r>
            <w:fldChar w:fldCharType="separate"/>
          </w:r>
          <w:r>
            <w:rPr>
              <w:rFonts w:hint="eastAsia" w:ascii="Times New Roman" w:hAnsi="Times New Roman"/>
            </w:rPr>
            <w:t>3.资金投入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_Toc26508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14:paraId="52A4E8E0">
          <w:pPr>
            <w:pStyle w:val="13"/>
            <w:tabs>
              <w:tab w:val="right" w:leader="dot" w:pos="8306"/>
            </w:tabs>
            <w:ind w:left="560" w:firstLine="560"/>
            <w:rPr>
              <w:rFonts w:ascii="Times New Roman" w:hAnsi="Times New Roman"/>
            </w:rPr>
          </w:pPr>
          <w:r>
            <w:fldChar w:fldCharType="begin"/>
          </w:r>
          <w:r>
            <w:instrText xml:space="preserve"> HYPERLINK \l "_Toc19305" </w:instrText>
          </w:r>
          <w:r>
            <w:fldChar w:fldCharType="separate"/>
          </w:r>
          <w:r>
            <w:rPr>
              <w:rFonts w:hint="eastAsia" w:ascii="Times New Roman" w:hAnsi="Times New Roman" w:eastAsia="仿宋"/>
              <w:lang w:bidi="en-US"/>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_Toc19305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14:paraId="3E306E76">
          <w:pPr>
            <w:pStyle w:val="6"/>
            <w:tabs>
              <w:tab w:val="right" w:leader="dot" w:pos="8306"/>
            </w:tabs>
            <w:ind w:left="1120" w:firstLine="560"/>
            <w:rPr>
              <w:rFonts w:ascii="Times New Roman" w:hAnsi="Times New Roman"/>
            </w:rPr>
          </w:pPr>
          <w:r>
            <w:fldChar w:fldCharType="begin"/>
          </w:r>
          <w:r>
            <w:instrText xml:space="preserve"> HYPERLINK \l "_Toc24854" </w:instrText>
          </w:r>
          <w:r>
            <w:fldChar w:fldCharType="separate"/>
          </w:r>
          <w:r>
            <w:rPr>
              <w:rFonts w:ascii="Times New Roman" w:hAnsi="Times New Roman"/>
            </w:rPr>
            <w:t>1.</w:t>
          </w:r>
          <w:r>
            <w:rPr>
              <w:rFonts w:hint="eastAsia" w:ascii="Times New Roman" w:hAnsi="Times New Roman"/>
            </w:rPr>
            <w:t>资金管理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_Toc24854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14:paraId="698C982D">
          <w:pPr>
            <w:pStyle w:val="6"/>
            <w:tabs>
              <w:tab w:val="right" w:leader="dot" w:pos="8306"/>
            </w:tabs>
            <w:ind w:left="1120" w:firstLine="560"/>
            <w:rPr>
              <w:rFonts w:ascii="Times New Roman" w:hAnsi="Times New Roman"/>
            </w:rPr>
          </w:pPr>
          <w:r>
            <w:fldChar w:fldCharType="begin"/>
          </w:r>
          <w:r>
            <w:instrText xml:space="preserve"> HYPERLINK \l "_Toc23727" </w:instrText>
          </w:r>
          <w:r>
            <w:fldChar w:fldCharType="separate"/>
          </w:r>
          <w:r>
            <w:rPr>
              <w:rFonts w:ascii="Times New Roman" w:hAnsi="Times New Roman"/>
            </w:rPr>
            <w:t>2.</w:t>
          </w:r>
          <w:r>
            <w:rPr>
              <w:rFonts w:hint="eastAsia" w:ascii="Times New Roman" w:hAnsi="Times New Roman"/>
            </w:rPr>
            <w:t>组织实施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_Toc23727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14:paraId="3C59A1FD">
          <w:pPr>
            <w:pStyle w:val="13"/>
            <w:tabs>
              <w:tab w:val="right" w:leader="dot" w:pos="8306"/>
            </w:tabs>
            <w:ind w:left="560" w:firstLine="560"/>
            <w:rPr>
              <w:rFonts w:ascii="Times New Roman" w:hAnsi="Times New Roman"/>
            </w:rPr>
          </w:pPr>
          <w:r>
            <w:fldChar w:fldCharType="begin"/>
          </w:r>
          <w:r>
            <w:instrText xml:space="preserve"> HYPERLINK \l "_Toc29364" </w:instrText>
          </w:r>
          <w:r>
            <w:fldChar w:fldCharType="separate"/>
          </w:r>
          <w:r>
            <w:rPr>
              <w:rFonts w:hint="eastAsia" w:ascii="Times New Roman" w:hAnsi="Times New Roman" w:eastAsia="仿宋"/>
              <w:lang w:bidi="en-US"/>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_Toc29364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14:paraId="43FE85BF">
          <w:pPr>
            <w:pStyle w:val="6"/>
            <w:tabs>
              <w:tab w:val="right" w:leader="dot" w:pos="8306"/>
            </w:tabs>
            <w:ind w:left="1120" w:firstLine="560"/>
            <w:rPr>
              <w:rFonts w:ascii="Times New Roman" w:hAnsi="Times New Roman"/>
            </w:rPr>
          </w:pPr>
          <w:r>
            <w:fldChar w:fldCharType="begin"/>
          </w:r>
          <w:r>
            <w:instrText xml:space="preserve"> HYPERLINK \l "_Toc6693" </w:instrText>
          </w:r>
          <w:r>
            <w:fldChar w:fldCharType="separate"/>
          </w:r>
          <w:r>
            <w:rPr>
              <w:rFonts w:hint="eastAsia" w:ascii="Times New Roman" w:hAnsi="Times New Roman"/>
            </w:rPr>
            <w:t>1</w:t>
          </w:r>
          <w:r>
            <w:rPr>
              <w:rFonts w:ascii="Times New Roman" w:hAnsi="Times New Roman"/>
            </w:rPr>
            <w:t>.</w:t>
          </w:r>
          <w:r>
            <w:rPr>
              <w:rFonts w:hint="eastAsia" w:ascii="Times New Roman" w:hAnsi="Times New Roman"/>
            </w:rPr>
            <w:t>产出数量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_Toc6693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14:paraId="06539804">
          <w:pPr>
            <w:pStyle w:val="6"/>
            <w:tabs>
              <w:tab w:val="right" w:leader="dot" w:pos="8306"/>
            </w:tabs>
            <w:ind w:left="1120" w:firstLine="560"/>
            <w:rPr>
              <w:rFonts w:ascii="Times New Roman" w:hAnsi="Times New Roman"/>
            </w:rPr>
          </w:pPr>
          <w:r>
            <w:fldChar w:fldCharType="begin"/>
          </w:r>
          <w:r>
            <w:instrText xml:space="preserve"> HYPERLINK \l "_Toc7045" </w:instrText>
          </w:r>
          <w:r>
            <w:fldChar w:fldCharType="separate"/>
          </w:r>
          <w:r>
            <w:rPr>
              <w:rFonts w:hint="eastAsia" w:ascii="Times New Roman" w:hAnsi="Times New Roman"/>
            </w:rPr>
            <w:t>2</w:t>
          </w:r>
          <w:r>
            <w:rPr>
              <w:rFonts w:ascii="Times New Roman" w:hAnsi="Times New Roman"/>
            </w:rPr>
            <w:t>.</w:t>
          </w:r>
          <w:r>
            <w:rPr>
              <w:rFonts w:hint="eastAsia" w:ascii="Times New Roman" w:hAnsi="Times New Roman"/>
            </w:rPr>
            <w:t>产出质量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_Toc7045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14:paraId="6156BC44">
          <w:pPr>
            <w:pStyle w:val="6"/>
            <w:tabs>
              <w:tab w:val="right" w:leader="dot" w:pos="8306"/>
            </w:tabs>
            <w:ind w:left="1120" w:firstLine="560"/>
            <w:rPr>
              <w:rFonts w:ascii="Times New Roman" w:hAnsi="Times New Roman"/>
            </w:rPr>
          </w:pPr>
          <w:r>
            <w:fldChar w:fldCharType="begin"/>
          </w:r>
          <w:r>
            <w:instrText xml:space="preserve"> HYPERLINK \l "_Toc21438" </w:instrText>
          </w:r>
          <w:r>
            <w:fldChar w:fldCharType="separate"/>
          </w:r>
          <w:r>
            <w:rPr>
              <w:rFonts w:hint="eastAsia" w:ascii="Times New Roman" w:hAnsi="Times New Roman"/>
            </w:rPr>
            <w:t>3</w:t>
          </w:r>
          <w:r>
            <w:rPr>
              <w:rFonts w:ascii="Times New Roman" w:hAnsi="Times New Roman"/>
            </w:rPr>
            <w:t>.</w:t>
          </w:r>
          <w:r>
            <w:rPr>
              <w:rFonts w:hint="eastAsia" w:ascii="Times New Roman" w:hAnsi="Times New Roman"/>
            </w:rPr>
            <w:t>产出时效</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_Toc21438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14:paraId="0FF9F503">
          <w:pPr>
            <w:pStyle w:val="6"/>
            <w:tabs>
              <w:tab w:val="right" w:leader="dot" w:pos="8306"/>
            </w:tabs>
            <w:ind w:left="1120" w:firstLine="560"/>
            <w:rPr>
              <w:rFonts w:ascii="Times New Roman" w:hAnsi="Times New Roman"/>
            </w:rPr>
          </w:pPr>
          <w:r>
            <w:fldChar w:fldCharType="begin"/>
          </w:r>
          <w:r>
            <w:instrText xml:space="preserve"> HYPERLINK \l "_Toc19381" </w:instrText>
          </w:r>
          <w:r>
            <w:fldChar w:fldCharType="separate"/>
          </w:r>
          <w:r>
            <w:rPr>
              <w:rFonts w:hint="eastAsia" w:ascii="Times New Roman" w:hAnsi="Times New Roman"/>
            </w:rPr>
            <w:t>4</w:t>
          </w:r>
          <w:r>
            <w:rPr>
              <w:rFonts w:ascii="Times New Roman" w:hAnsi="Times New Roman"/>
            </w:rPr>
            <w:t>.</w:t>
          </w:r>
          <w:r>
            <w:rPr>
              <w:rFonts w:hint="eastAsia" w:ascii="Times New Roman" w:hAnsi="Times New Roman"/>
            </w:rPr>
            <w:t>产出成本</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_Toc19381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rPr>
            <w:fldChar w:fldCharType="end"/>
          </w:r>
        </w:p>
        <w:p w14:paraId="58D9A520">
          <w:pPr>
            <w:pStyle w:val="13"/>
            <w:tabs>
              <w:tab w:val="right" w:leader="dot" w:pos="8306"/>
            </w:tabs>
            <w:ind w:left="560" w:firstLine="560"/>
            <w:rPr>
              <w:rFonts w:ascii="Times New Roman" w:hAnsi="Times New Roman"/>
            </w:rPr>
          </w:pPr>
          <w:r>
            <w:fldChar w:fldCharType="begin"/>
          </w:r>
          <w:r>
            <w:instrText xml:space="preserve"> HYPERLINK \l "_Toc16600" </w:instrText>
          </w:r>
          <w:r>
            <w:fldChar w:fldCharType="separate"/>
          </w:r>
          <w:r>
            <w:rPr>
              <w:rFonts w:ascii="Times New Roman" w:hAnsi="Times New Roman" w:eastAsia="仿宋"/>
              <w:lang w:bidi="en-US"/>
            </w:rPr>
            <w:t>（四）项目效益</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_Toc16600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rPr>
            <w:fldChar w:fldCharType="end"/>
          </w:r>
        </w:p>
        <w:p w14:paraId="738DAF6B">
          <w:pPr>
            <w:pStyle w:val="13"/>
            <w:tabs>
              <w:tab w:val="right" w:leader="dot" w:pos="8306"/>
            </w:tabs>
            <w:ind w:left="560" w:firstLine="560"/>
            <w:rPr>
              <w:rFonts w:ascii="Times New Roman" w:hAnsi="Times New Roman"/>
            </w:rPr>
          </w:pPr>
          <w:r>
            <w:fldChar w:fldCharType="begin"/>
          </w:r>
          <w:r>
            <w:instrText xml:space="preserve"> HYPERLINK \l "_Toc19849" </w:instrText>
          </w:r>
          <w:r>
            <w:fldChar w:fldCharType="separate"/>
          </w:r>
          <w:r>
            <w:rPr>
              <w:rFonts w:hint="eastAsia" w:ascii="Times New Roman" w:hAnsi="Times New Roman" w:eastAsia="仿宋"/>
              <w:lang w:bidi="en-US"/>
            </w:rPr>
            <w:t>（五）</w:t>
          </w:r>
          <w:r>
            <w:rPr>
              <w:rFonts w:ascii="Times New Roman" w:hAnsi="Times New Roman" w:eastAsia="仿宋"/>
              <w:lang w:bidi="en-US"/>
            </w:rPr>
            <w:t>满意度指标完成情况分析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_Toc19849 \h </w:instrText>
          </w:r>
          <w:r>
            <w:rPr>
              <w:rFonts w:ascii="Times New Roman" w:hAnsi="Times New Roman"/>
            </w:rPr>
            <w:fldChar w:fldCharType="separate"/>
          </w:r>
          <w:r>
            <w:rPr>
              <w:rFonts w:ascii="Times New Roman" w:hAnsi="Times New Roman"/>
            </w:rPr>
            <w:t>28</w:t>
          </w:r>
          <w:r>
            <w:rPr>
              <w:rFonts w:ascii="Times New Roman" w:hAnsi="Times New Roman"/>
            </w:rPr>
            <w:fldChar w:fldCharType="end"/>
          </w:r>
          <w:r>
            <w:rPr>
              <w:rFonts w:ascii="Times New Roman" w:hAnsi="Times New Roman"/>
            </w:rPr>
            <w:fldChar w:fldCharType="end"/>
          </w:r>
        </w:p>
        <w:p w14:paraId="6311FD64">
          <w:pPr>
            <w:pStyle w:val="11"/>
            <w:tabs>
              <w:tab w:val="right" w:leader="dot" w:pos="8306"/>
            </w:tabs>
            <w:ind w:firstLine="560"/>
            <w:rPr>
              <w:rFonts w:ascii="Times New Roman" w:hAnsi="Times New Roman"/>
            </w:rPr>
          </w:pPr>
          <w:r>
            <w:fldChar w:fldCharType="begin"/>
          </w:r>
          <w:r>
            <w:instrText xml:space="preserve"> HYPERLINK \l "_Toc6549" </w:instrText>
          </w:r>
          <w:r>
            <w:fldChar w:fldCharType="separate"/>
          </w:r>
          <w:r>
            <w:rPr>
              <w:rFonts w:hint="eastAsia" w:ascii="Times New Roman" w:hAnsi="Times New Roman" w:eastAsia="仿宋"/>
              <w:szCs w:val="36"/>
              <w:lang w:bidi="en-US"/>
            </w:rPr>
            <w:t>五、主要经验及做法、存在的问题及原因分析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_Toc6549 \h </w:instrText>
          </w:r>
          <w:r>
            <w:rPr>
              <w:rFonts w:ascii="Times New Roman" w:hAnsi="Times New Roman"/>
            </w:rPr>
            <w:fldChar w:fldCharType="separate"/>
          </w:r>
          <w:r>
            <w:rPr>
              <w:rFonts w:ascii="Times New Roman" w:hAnsi="Times New Roman"/>
            </w:rPr>
            <w:t>28</w:t>
          </w:r>
          <w:r>
            <w:rPr>
              <w:rFonts w:ascii="Times New Roman" w:hAnsi="Times New Roman"/>
            </w:rPr>
            <w:fldChar w:fldCharType="end"/>
          </w:r>
          <w:r>
            <w:rPr>
              <w:rFonts w:ascii="Times New Roman" w:hAnsi="Times New Roman"/>
            </w:rPr>
            <w:fldChar w:fldCharType="end"/>
          </w:r>
        </w:p>
        <w:p w14:paraId="5EC018D7">
          <w:pPr>
            <w:pStyle w:val="13"/>
            <w:tabs>
              <w:tab w:val="right" w:leader="dot" w:pos="8306"/>
            </w:tabs>
            <w:ind w:left="560" w:firstLine="560"/>
            <w:rPr>
              <w:rFonts w:ascii="Times New Roman" w:hAnsi="Times New Roman"/>
            </w:rPr>
          </w:pPr>
          <w:r>
            <w:fldChar w:fldCharType="begin"/>
          </w:r>
          <w:r>
            <w:instrText xml:space="preserve"> HYPERLINK \l "_Toc31684" </w:instrText>
          </w:r>
          <w:r>
            <w:fldChar w:fldCharType="separate"/>
          </w:r>
          <w:r>
            <w:rPr>
              <w:rFonts w:hint="eastAsia" w:ascii="Times New Roman" w:hAnsi="Times New Roman" w:eastAsia="仿宋"/>
              <w:lang w:bidi="en-US"/>
            </w:rPr>
            <w:t>（一）主要经验及做法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_Toc31684 \h </w:instrText>
          </w:r>
          <w:r>
            <w:rPr>
              <w:rFonts w:ascii="Times New Roman" w:hAnsi="Times New Roman"/>
            </w:rPr>
            <w:fldChar w:fldCharType="separate"/>
          </w:r>
          <w:r>
            <w:rPr>
              <w:rFonts w:ascii="Times New Roman" w:hAnsi="Times New Roman"/>
            </w:rPr>
            <w:t>28</w:t>
          </w:r>
          <w:r>
            <w:rPr>
              <w:rFonts w:ascii="Times New Roman" w:hAnsi="Times New Roman"/>
            </w:rPr>
            <w:fldChar w:fldCharType="end"/>
          </w:r>
          <w:r>
            <w:rPr>
              <w:rFonts w:ascii="Times New Roman" w:hAnsi="Times New Roman"/>
            </w:rPr>
            <w:fldChar w:fldCharType="end"/>
          </w:r>
        </w:p>
        <w:p w14:paraId="6DFE81C1">
          <w:pPr>
            <w:pStyle w:val="13"/>
            <w:tabs>
              <w:tab w:val="right" w:leader="dot" w:pos="8306"/>
            </w:tabs>
            <w:ind w:left="560" w:firstLine="560"/>
            <w:rPr>
              <w:rFonts w:ascii="Times New Roman" w:hAnsi="Times New Roman"/>
            </w:rPr>
          </w:pPr>
          <w:r>
            <w:fldChar w:fldCharType="begin"/>
          </w:r>
          <w:r>
            <w:instrText xml:space="preserve"> HYPERLINK \l "_Toc27698" </w:instrText>
          </w:r>
          <w:r>
            <w:fldChar w:fldCharType="separate"/>
          </w:r>
          <w:r>
            <w:rPr>
              <w:rFonts w:hint="eastAsia" w:ascii="Times New Roman" w:hAnsi="Times New Roman" w:eastAsia="仿宋"/>
              <w:lang w:bidi="en-US"/>
            </w:rPr>
            <w:t>（二）存在的问题及原因分析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_Toc27698 \h </w:instrText>
          </w:r>
          <w:r>
            <w:rPr>
              <w:rFonts w:ascii="Times New Roman" w:hAnsi="Times New Roman"/>
            </w:rPr>
            <w:fldChar w:fldCharType="separate"/>
          </w:r>
          <w:r>
            <w:rPr>
              <w:rFonts w:ascii="Times New Roman" w:hAnsi="Times New Roman"/>
            </w:rPr>
            <w:t>29</w:t>
          </w:r>
          <w:r>
            <w:rPr>
              <w:rFonts w:ascii="Times New Roman" w:hAnsi="Times New Roman"/>
            </w:rPr>
            <w:fldChar w:fldCharType="end"/>
          </w:r>
          <w:r>
            <w:rPr>
              <w:rFonts w:ascii="Times New Roman" w:hAnsi="Times New Roman"/>
            </w:rPr>
            <w:fldChar w:fldCharType="end"/>
          </w:r>
        </w:p>
        <w:p w14:paraId="2E96FE27">
          <w:pPr>
            <w:pStyle w:val="11"/>
            <w:tabs>
              <w:tab w:val="right" w:leader="dot" w:pos="8306"/>
            </w:tabs>
            <w:ind w:firstLine="560"/>
            <w:rPr>
              <w:rFonts w:ascii="Times New Roman" w:hAnsi="Times New Roman"/>
            </w:rPr>
          </w:pPr>
          <w:r>
            <w:fldChar w:fldCharType="begin"/>
          </w:r>
          <w:r>
            <w:instrText xml:space="preserve"> HYPERLINK \l "_Toc22568" </w:instrText>
          </w:r>
          <w:r>
            <w:fldChar w:fldCharType="separate"/>
          </w:r>
          <w:r>
            <w:rPr>
              <w:rFonts w:hint="eastAsia" w:ascii="Times New Roman" w:hAnsi="Times New Roman" w:eastAsia="仿宋"/>
              <w:szCs w:val="36"/>
              <w:lang w:bidi="en-US"/>
            </w:rPr>
            <w:t>六、有关建议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_Toc22568 \h </w:instrText>
          </w:r>
          <w:r>
            <w:rPr>
              <w:rFonts w:ascii="Times New Roman" w:hAnsi="Times New Roman"/>
            </w:rPr>
            <w:fldChar w:fldCharType="separate"/>
          </w:r>
          <w:r>
            <w:rPr>
              <w:rFonts w:ascii="Times New Roman" w:hAnsi="Times New Roman"/>
            </w:rPr>
            <w:t>30</w:t>
          </w:r>
          <w:r>
            <w:rPr>
              <w:rFonts w:ascii="Times New Roman" w:hAnsi="Times New Roman"/>
            </w:rPr>
            <w:fldChar w:fldCharType="end"/>
          </w:r>
          <w:r>
            <w:rPr>
              <w:rFonts w:ascii="Times New Roman" w:hAnsi="Times New Roman"/>
            </w:rPr>
            <w:fldChar w:fldCharType="end"/>
          </w:r>
        </w:p>
        <w:p w14:paraId="4F29AEF7">
          <w:pPr>
            <w:pStyle w:val="11"/>
            <w:tabs>
              <w:tab w:val="right" w:leader="dot" w:pos="8306"/>
            </w:tabs>
            <w:ind w:firstLine="560"/>
            <w:rPr>
              <w:rFonts w:ascii="Times New Roman" w:hAnsi="Times New Roman"/>
            </w:rPr>
          </w:pPr>
          <w:r>
            <w:fldChar w:fldCharType="begin"/>
          </w:r>
          <w:r>
            <w:instrText xml:space="preserve"> HYPERLINK \l "_Toc27433" </w:instrText>
          </w:r>
          <w:r>
            <w:fldChar w:fldCharType="separate"/>
          </w:r>
          <w:r>
            <w:rPr>
              <w:rFonts w:hint="eastAsia" w:ascii="Times New Roman" w:hAnsi="Times New Roman" w:eastAsia="仿宋"/>
              <w:szCs w:val="36"/>
              <w:lang w:bidi="en-US"/>
            </w:rPr>
            <w:t>七、其他需要说明的问题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_Toc27433 \h </w:instrText>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fldChar w:fldCharType="end"/>
          </w:r>
        </w:p>
        <w:p w14:paraId="021B8983">
          <w:pPr>
            <w:ind w:firstLine="560"/>
            <w:rPr>
              <w:rFonts w:ascii="Times New Roman" w:hAnsi="Times New Roman"/>
            </w:rPr>
          </w:pPr>
          <w:r>
            <w:rPr>
              <w:rFonts w:ascii="Times New Roman" w:hAnsi="Times New Roman"/>
              <w:bCs/>
              <w:lang w:val="zh-CN"/>
            </w:rPr>
            <w:fldChar w:fldCharType="end"/>
          </w:r>
        </w:p>
      </w:sdtContent>
    </w:sdt>
    <w:p w14:paraId="27616B73">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4ECD9086">
      <w:pPr>
        <w:pStyle w:val="2"/>
        <w:ind w:firstLine="0" w:firstLineChars="0"/>
        <w:jc w:val="left"/>
        <w:rPr>
          <w:rFonts w:ascii="Times New Roman" w:hAnsi="Times New Roman" w:eastAsia="仿宋"/>
          <w:sz w:val="36"/>
          <w:szCs w:val="36"/>
          <w:lang w:bidi="en-US"/>
        </w:rPr>
      </w:pPr>
      <w:bookmarkStart w:id="0" w:name="_Toc1247"/>
      <w:bookmarkStart w:id="1" w:name="_Toc67911601"/>
      <w:r>
        <w:rPr>
          <w:rFonts w:hint="eastAsia" w:ascii="Times New Roman" w:hAnsi="Times New Roman" w:eastAsia="仿宋"/>
          <w:sz w:val="36"/>
          <w:szCs w:val="36"/>
          <w:lang w:bidi="en-US"/>
        </w:rPr>
        <w:t>一、基本情况</w:t>
      </w:r>
      <w:bookmarkEnd w:id="0"/>
      <w:bookmarkEnd w:id="1"/>
    </w:p>
    <w:p w14:paraId="5CEC7778">
      <w:pPr>
        <w:pStyle w:val="3"/>
        <w:ind w:firstLine="643"/>
        <w:rPr>
          <w:rFonts w:ascii="Times New Roman" w:hAnsi="Times New Roman" w:eastAsia="仿宋"/>
          <w:lang w:bidi="en-US"/>
        </w:rPr>
      </w:pPr>
      <w:bookmarkStart w:id="2" w:name="_Toc28231"/>
      <w:bookmarkStart w:id="3" w:name="_Toc67911602"/>
      <w:r>
        <w:rPr>
          <w:rFonts w:hint="eastAsia" w:ascii="Times New Roman" w:hAnsi="Times New Roman" w:eastAsia="仿宋"/>
          <w:lang w:bidi="en-US"/>
        </w:rPr>
        <w:t>（一）项目概况：</w:t>
      </w:r>
      <w:bookmarkEnd w:id="2"/>
      <w:bookmarkEnd w:id="3"/>
    </w:p>
    <w:p w14:paraId="31B112EC">
      <w:pPr>
        <w:pStyle w:val="4"/>
        <w:ind w:firstLine="643"/>
        <w:rPr>
          <w:rFonts w:ascii="Times New Roman" w:hAnsi="Times New Roman"/>
        </w:rPr>
      </w:pPr>
      <w:bookmarkStart w:id="4" w:name="_Toc20598"/>
      <w:r>
        <w:rPr>
          <w:rFonts w:hint="eastAsia" w:ascii="Times New Roman" w:hAnsi="Times New Roman"/>
        </w:rPr>
        <w:t>1．项目背景、主要内容及实施情况</w:t>
      </w:r>
      <w:bookmarkEnd w:id="4"/>
    </w:p>
    <w:p w14:paraId="4E8CFFE4">
      <w:pPr>
        <w:spacing w:line="360" w:lineRule="auto"/>
        <w:ind w:firstLine="562"/>
        <w:rPr>
          <w:rFonts w:hint="eastAsia" w:ascii="Times New Roman" w:hAnsi="Times New Roman"/>
        </w:rPr>
      </w:pPr>
      <w:r>
        <w:rPr>
          <w:rFonts w:hint="eastAsia" w:ascii="Times New Roman" w:hAnsi="Times New Roman"/>
          <w:b/>
          <w:highlight w:val="none"/>
        </w:rPr>
        <w:t>该项目实施背景</w:t>
      </w:r>
      <w:r>
        <w:rPr>
          <w:rFonts w:hint="eastAsia" w:ascii="Times New Roman" w:hAnsi="Times New Roman"/>
          <w:highlight w:val="none"/>
        </w:rPr>
        <w:t>：</w:t>
      </w:r>
      <w:r>
        <w:rPr>
          <w:rFonts w:hint="eastAsia" w:ascii="Times New Roman" w:hAnsi="Times New Roman"/>
        </w:rPr>
        <w:t>20世纪90年代，我国中部地区因非法采供血导致的艾滋病集中爆发，经血传播一度成为疫情扩散的主要途径，引发社会对血液安全的强烈关注。1998年《献血法》实施后，国家全面推进无偿献血制度，但部分地区仍存在检测技术落后、窗口期漏检等风险。血液中心作为采供血的核心机构，亟需通过资金支持升级核酸检测技术、缩短HIV检测窗口期，从源头降低经血传播风险；血站检测数据纳入国家艾滋病综合防治信息系统，为疫情动态分析提供关键依据。资金投入推动血站信息化建设，实现跨区域感染者信息互联互通，助力精准防控；血液中心通过献血宣传普及艾滋病防治知识，引导高危人群主动检测，减少非正规渠道采血行为。</w:t>
      </w:r>
    </w:p>
    <w:p w14:paraId="5C842DB6">
      <w:pPr>
        <w:spacing w:line="360" w:lineRule="auto"/>
        <w:ind w:firstLine="560"/>
        <w:rPr>
          <w:rFonts w:ascii="Times New Roman" w:hAnsi="Times New Roman"/>
        </w:rPr>
      </w:pPr>
      <w:r>
        <w:rPr>
          <w:rFonts w:ascii="Times New Roman" w:hAnsi="Times New Roman"/>
        </w:rPr>
        <w:t>我国艾滋病防治工作始终将血液安全作为核心环节，血液中心在此过程中承担着阻断病毒经血传播的关键职责。血液中心承担献血者HIV筛查、阳性样本追踪及信息上报，是发现感染者、阻断传播链的“第一道防线”。</w:t>
      </w:r>
    </w:p>
    <w:p w14:paraId="639F04B1">
      <w:pPr>
        <w:spacing w:line="360" w:lineRule="auto"/>
        <w:ind w:firstLine="560"/>
        <w:rPr>
          <w:rFonts w:ascii="Times New Roman" w:hAnsi="Times New Roman"/>
        </w:rPr>
      </w:pPr>
      <w:r>
        <w:rPr>
          <w:rFonts w:ascii="Times New Roman" w:hAnsi="Times New Roman"/>
        </w:rPr>
        <w:t>项目</w:t>
      </w:r>
      <w:r>
        <w:rPr>
          <w:rFonts w:hint="eastAsia" w:ascii="Times New Roman" w:hAnsi="Times New Roman"/>
        </w:rPr>
        <w:t>2024</w:t>
      </w:r>
      <w:r>
        <w:rPr>
          <w:rFonts w:ascii="Times New Roman" w:hAnsi="Times New Roman"/>
        </w:rPr>
        <w:t>年的主要实施内容：</w:t>
      </w:r>
      <w:r>
        <w:rPr>
          <w:rFonts w:hint="eastAsia" w:ascii="Times New Roman" w:hAnsi="Times New Roman"/>
        </w:rPr>
        <w:t>①让更多的人加入到无偿献血的队伍当中，进行无偿献血宣传和献血者的招募活动；②保障我单位采供血职能，保障全区临床用血供应，对中心及各点位储血点（库）设备、采血车、仪器设备进行更新维护（含信息系统）；③保障临床用血质量安全，对采集的血液进行血液筛查、核酸检测和哨点监测。</w:t>
      </w:r>
    </w:p>
    <w:p w14:paraId="7D03EA09">
      <w:pPr>
        <w:spacing w:line="360" w:lineRule="auto"/>
        <w:ind w:firstLine="560"/>
        <w:rPr>
          <w:rFonts w:ascii="Times New Roman" w:hAnsi="Times New Roman"/>
        </w:rPr>
      </w:pPr>
      <w:r>
        <w:rPr>
          <w:rFonts w:ascii="Times New Roman" w:hAnsi="Times New Roman"/>
        </w:rPr>
        <w:t>实际完成情况为：</w:t>
      </w:r>
      <w:r>
        <w:rPr>
          <w:rFonts w:hint="eastAsia" w:ascii="Times New Roman" w:hAnsi="Times New Roman"/>
        </w:rPr>
        <w:t>①举行2次大型无偿献血宣传活动，与三家媒体合作进行无偿献血宣传，提升了公众无偿献血知晓率与参与度，推动更多人加入无偿献血队伍</w:t>
      </w:r>
      <w:r>
        <w:rPr>
          <w:rFonts w:hint="eastAsia" w:ascii="Times New Roman" w:hAnsi="Times New Roman"/>
          <w:lang w:eastAsia="zh-CN"/>
        </w:rPr>
        <w:t>；</w:t>
      </w:r>
      <w:r>
        <w:rPr>
          <w:rFonts w:hint="eastAsia" w:ascii="Times New Roman" w:hAnsi="Times New Roman"/>
        </w:rPr>
        <w:t>②对我单位储血点（库）设备、各点位采血车、各业务科室仪器设备（含信息系统）进行更新维护，保障我单位采供血职能</w:t>
      </w:r>
      <w:r>
        <w:rPr>
          <w:rFonts w:hint="eastAsia" w:ascii="Times New Roman" w:hAnsi="Times New Roman"/>
          <w:lang w:eastAsia="zh-CN"/>
        </w:rPr>
        <w:t>；</w:t>
      </w:r>
      <w:r>
        <w:rPr>
          <w:rFonts w:hint="eastAsia" w:ascii="Times New Roman" w:hAnsi="Times New Roman"/>
        </w:rPr>
        <w:t>③购买哨点监测试剂61盒、核酸检测试剂204盒，临床用血核酸检测全覆盖。对采集的血液进行血液筛查、核酸检测及哨点监测，保障血液安全，为用血者筑起健康屏障，保障临床用血安全。</w:t>
      </w:r>
    </w:p>
    <w:p w14:paraId="63846D0A">
      <w:pPr>
        <w:pStyle w:val="4"/>
        <w:ind w:firstLine="643"/>
        <w:rPr>
          <w:rFonts w:ascii="Times New Roman" w:hAnsi="Times New Roman"/>
        </w:rPr>
      </w:pPr>
      <w:bookmarkStart w:id="5" w:name="_Toc11562"/>
      <w:r>
        <w:rPr>
          <w:rFonts w:hint="eastAsia" w:ascii="Times New Roman" w:hAnsi="Times New Roman"/>
        </w:rPr>
        <w:t>2</w:t>
      </w:r>
      <w:r>
        <w:rPr>
          <w:rFonts w:ascii="Times New Roman" w:hAnsi="Times New Roman"/>
        </w:rPr>
        <w:t>.资金投入和使用情况</w:t>
      </w:r>
      <w:bookmarkEnd w:id="5"/>
    </w:p>
    <w:p w14:paraId="37B96E3E">
      <w:pPr>
        <w:spacing w:line="360" w:lineRule="auto"/>
        <w:ind w:firstLine="560"/>
        <w:rPr>
          <w:rFonts w:hint="eastAsia" w:ascii="Times New Roman" w:hAnsi="Times New Roman"/>
        </w:rPr>
      </w:pPr>
      <w:r>
        <w:rPr>
          <w:rFonts w:hint="eastAsia" w:ascii="Times New Roman" w:hAnsi="Times New Roman"/>
        </w:rPr>
        <w:t>该项目资金投入情况：经乌财社〔2024〕1号文件批准，项目系</w:t>
      </w:r>
      <w:r>
        <w:rPr>
          <w:rFonts w:ascii="Times New Roman" w:hAnsi="Times New Roman"/>
        </w:rPr>
        <w:t>2024</w:t>
      </w:r>
      <w:r>
        <w:rPr>
          <w:rFonts w:hint="eastAsia" w:ascii="Times New Roman" w:hAnsi="Times New Roman"/>
        </w:rPr>
        <w:t>年中央资金，共安排预算461.50万元，于2024年1月22日批复年初项目预算资金461.50万元。实际执行4</w:t>
      </w:r>
      <w:r>
        <w:rPr>
          <w:rFonts w:ascii="Times New Roman" w:hAnsi="Times New Roman"/>
        </w:rPr>
        <w:t>44.53万元，未使用16.97万元，其中</w:t>
      </w:r>
      <w:r>
        <w:rPr>
          <w:rFonts w:hint="eastAsia" w:ascii="Times New Roman" w:hAnsi="Times New Roman"/>
        </w:rPr>
        <w:t>1</w:t>
      </w:r>
      <w:r>
        <w:rPr>
          <w:rFonts w:ascii="Times New Roman" w:hAnsi="Times New Roman"/>
        </w:rPr>
        <w:t>5.5万元结转至</w:t>
      </w:r>
      <w:r>
        <w:rPr>
          <w:rFonts w:hint="eastAsia" w:ascii="Times New Roman" w:hAnsi="Times New Roman"/>
          <w:lang w:val="en-US" w:eastAsia="zh-CN"/>
        </w:rPr>
        <w:t>20</w:t>
      </w:r>
      <w:r>
        <w:rPr>
          <w:rFonts w:hint="eastAsia" w:ascii="Times New Roman" w:hAnsi="Times New Roman"/>
        </w:rPr>
        <w:t>2</w:t>
      </w:r>
      <w:r>
        <w:rPr>
          <w:rFonts w:ascii="Times New Roman" w:hAnsi="Times New Roman"/>
        </w:rPr>
        <w:t>5年继续使用</w:t>
      </w:r>
      <w:r>
        <w:rPr>
          <w:rFonts w:hint="eastAsia" w:ascii="Times New Roman" w:hAnsi="Times New Roman"/>
          <w:lang w:eastAsia="zh-CN"/>
        </w:rPr>
        <w:t>，</w:t>
      </w:r>
      <w:r>
        <w:rPr>
          <w:rFonts w:hint="eastAsia" w:ascii="Times New Roman" w:hAnsi="Times New Roman"/>
        </w:rPr>
        <w:t>1</w:t>
      </w:r>
      <w:r>
        <w:rPr>
          <w:rFonts w:ascii="Times New Roman" w:hAnsi="Times New Roman"/>
        </w:rPr>
        <w:t>.47万元属于试剂耗材</w:t>
      </w:r>
      <w:r>
        <w:rPr>
          <w:rFonts w:hint="eastAsia" w:ascii="Times New Roman" w:hAnsi="Times New Roman"/>
          <w:lang w:val="en-US" w:eastAsia="zh-CN"/>
        </w:rPr>
        <w:t>招标</w:t>
      </w:r>
      <w:r>
        <w:rPr>
          <w:rFonts w:ascii="Times New Roman" w:hAnsi="Times New Roman"/>
        </w:rPr>
        <w:t>采购差额，年底前予以收回。</w:t>
      </w:r>
    </w:p>
    <w:p w14:paraId="5C7BE33C">
      <w:pPr>
        <w:spacing w:line="360" w:lineRule="auto"/>
        <w:ind w:firstLine="560"/>
        <w:rPr>
          <w:rStyle w:val="22"/>
          <w:rFonts w:hint="eastAsia" w:ascii="Times New Roman" w:hAnsi="Times New Roman" w:eastAsia="仿宋_GB2312"/>
          <w:sz w:val="28"/>
          <w:szCs w:val="28"/>
          <w:lang w:eastAsia="zh-CN"/>
        </w:rPr>
      </w:pPr>
      <w:r>
        <w:rPr>
          <w:rFonts w:hint="eastAsia" w:ascii="Times New Roman" w:hAnsi="Times New Roman"/>
        </w:rPr>
        <w:t>该项目资金使用情况：总预算安排461.50万元，实际执行数444.53万元，其中:①</w:t>
      </w:r>
      <w:r>
        <w:rPr>
          <w:rStyle w:val="22"/>
          <w:rFonts w:hint="eastAsia" w:ascii="Times New Roman" w:hAnsi="Times New Roman"/>
          <w:sz w:val="28"/>
          <w:szCs w:val="28"/>
        </w:rPr>
        <w:t>委托业务费投入资金：20万元。实际执行情况：20万元，预算执行率100%；②信息网络及软件购置更新投入资金：50万元。实际执行情况：34.50万元，预算执行率69%；③专用材料费投入资金391.50万元。实际执行情况：390.03万元，预算执行率99.62%</w:t>
      </w:r>
      <w:r>
        <w:rPr>
          <w:rStyle w:val="22"/>
          <w:rFonts w:hint="eastAsia" w:ascii="Times New Roman" w:hAnsi="Times New Roman"/>
          <w:sz w:val="28"/>
          <w:szCs w:val="28"/>
          <w:lang w:eastAsia="zh-CN"/>
        </w:rPr>
        <w:t>。</w:t>
      </w:r>
    </w:p>
    <w:p w14:paraId="45CFA352">
      <w:pPr>
        <w:pStyle w:val="3"/>
        <w:ind w:firstLine="643"/>
        <w:rPr>
          <w:rFonts w:ascii="Times New Roman" w:hAnsi="Times New Roman" w:eastAsia="仿宋"/>
          <w:lang w:bidi="en-US"/>
        </w:rPr>
      </w:pPr>
      <w:bookmarkStart w:id="6" w:name="_Toc12794"/>
      <w:bookmarkStart w:id="7" w:name="_Toc67911603"/>
      <w:r>
        <w:rPr>
          <w:rFonts w:hint="eastAsia" w:ascii="Times New Roman" w:hAnsi="Times New Roman" w:eastAsia="仿宋"/>
          <w:lang w:bidi="en-US"/>
        </w:rPr>
        <w:t>（二）项目绩效目标：</w:t>
      </w:r>
      <w:bookmarkEnd w:id="6"/>
      <w:bookmarkEnd w:id="7"/>
    </w:p>
    <w:p w14:paraId="53DED36A">
      <w:pPr>
        <w:spacing w:line="360" w:lineRule="auto"/>
        <w:ind w:firstLine="560"/>
        <w:rPr>
          <w:rFonts w:ascii="Times New Roman" w:hAnsi="Times New Roman"/>
          <w:szCs w:val="28"/>
        </w:rPr>
      </w:pPr>
      <w:r>
        <w:rPr>
          <w:rFonts w:hint="eastAsia" w:ascii="Times New Roman" w:hAnsi="Times New Roman"/>
          <w:szCs w:val="28"/>
        </w:rPr>
        <w:t>本项目依据《中共中央 国务院关于全面实施预算绩效管理的意见》（中发〔2018〕</w:t>
      </w:r>
      <w:r>
        <w:rPr>
          <w:rFonts w:ascii="Times New Roman" w:hAnsi="Times New Roman"/>
          <w:szCs w:val="28"/>
        </w:rPr>
        <w:t>34</w:t>
      </w:r>
      <w:r>
        <w:rPr>
          <w:rFonts w:hint="eastAsia" w:ascii="Times New Roman" w:hAnsi="Times New Roman"/>
          <w:szCs w:val="28"/>
        </w:rPr>
        <w:t>号）、《关于印发&lt;乌鲁木齐市本级部门预算绩效目标管理暂行办法</w:t>
      </w:r>
      <w:r>
        <w:rPr>
          <w:rFonts w:ascii="Times New Roman" w:hAnsi="Times New Roman"/>
          <w:szCs w:val="28"/>
        </w:rPr>
        <w:t>&gt;</w:t>
      </w:r>
      <w:r>
        <w:rPr>
          <w:rFonts w:hint="eastAsia" w:ascii="Times New Roman" w:hAnsi="Times New Roman"/>
          <w:szCs w:val="28"/>
        </w:rPr>
        <w:t>的通知》（乌财预</w:t>
      </w:r>
      <w:bookmarkStart w:id="8" w:name="_Hlk67566397"/>
      <w:r>
        <w:rPr>
          <w:rFonts w:hint="eastAsia" w:ascii="Times New Roman" w:hAnsi="Times New Roman"/>
          <w:szCs w:val="28"/>
        </w:rPr>
        <w:t>〔2018〕</w:t>
      </w:r>
      <w:r>
        <w:rPr>
          <w:rFonts w:ascii="Times New Roman" w:hAnsi="Times New Roman"/>
          <w:szCs w:val="28"/>
        </w:rPr>
        <w:t>5</w:t>
      </w:r>
      <w:r>
        <w:rPr>
          <w:rFonts w:hint="eastAsia" w:ascii="Times New Roman" w:hAnsi="Times New Roman"/>
          <w:szCs w:val="28"/>
        </w:rPr>
        <w:t>6号</w:t>
      </w:r>
      <w:bookmarkEnd w:id="8"/>
      <w:r>
        <w:rPr>
          <w:rFonts w:hint="eastAsia" w:ascii="Times New Roman" w:hAnsi="Times New Roman"/>
          <w:szCs w:val="28"/>
        </w:rPr>
        <w:t>）、《关于做好2</w:t>
      </w:r>
      <w:r>
        <w:rPr>
          <w:rFonts w:ascii="Times New Roman" w:hAnsi="Times New Roman"/>
          <w:szCs w:val="28"/>
        </w:rPr>
        <w:t>019</w:t>
      </w:r>
      <w:r>
        <w:rPr>
          <w:rFonts w:hint="eastAsia" w:ascii="Times New Roman" w:hAnsi="Times New Roman"/>
          <w:szCs w:val="28"/>
        </w:rPr>
        <w:t>年部门预算项目支出绩效目标管理有关事宜的通知》（乌财预〔20</w:t>
      </w:r>
      <w:r>
        <w:rPr>
          <w:rFonts w:ascii="Times New Roman" w:hAnsi="Times New Roman"/>
          <w:szCs w:val="28"/>
        </w:rPr>
        <w:t>18</w:t>
      </w:r>
      <w:r>
        <w:rPr>
          <w:rFonts w:hint="eastAsia" w:ascii="Times New Roman" w:hAnsi="Times New Roman"/>
          <w:szCs w:val="28"/>
        </w:rPr>
        <w:t>〕</w:t>
      </w:r>
      <w:r>
        <w:rPr>
          <w:rFonts w:ascii="Times New Roman" w:hAnsi="Times New Roman"/>
          <w:szCs w:val="28"/>
        </w:rPr>
        <w:t>76</w:t>
      </w:r>
      <w:r>
        <w:rPr>
          <w:rFonts w:hint="eastAsia" w:ascii="Times New Roman" w:hAnsi="Times New Roman"/>
          <w:szCs w:val="28"/>
        </w:rPr>
        <w:t>号）和《项目支出绩效评价管理办法》（财预〔20</w:t>
      </w:r>
      <w:r>
        <w:rPr>
          <w:rFonts w:ascii="Times New Roman" w:hAnsi="Times New Roman"/>
          <w:szCs w:val="28"/>
        </w:rPr>
        <w:t>20</w:t>
      </w:r>
      <w:r>
        <w:rPr>
          <w:rFonts w:hint="eastAsia" w:ascii="Times New Roman" w:hAnsi="Times New Roman"/>
          <w:szCs w:val="28"/>
        </w:rPr>
        <w:t>〕</w:t>
      </w:r>
      <w:r>
        <w:rPr>
          <w:rFonts w:ascii="Times New Roman" w:hAnsi="Times New Roman"/>
          <w:szCs w:val="28"/>
        </w:rPr>
        <w:t>10</w:t>
      </w:r>
      <w:r>
        <w:rPr>
          <w:rFonts w:hint="eastAsia" w:ascii="Times New Roman" w:hAnsi="Times New Roman"/>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成本指标、效益指标、满意度指标），以准确、清晰地反映财政资金在使用期所能达到的预期产出和效果。</w:t>
      </w:r>
    </w:p>
    <w:p w14:paraId="30A1893D">
      <w:pPr>
        <w:spacing w:line="360" w:lineRule="auto"/>
        <w:ind w:firstLine="560"/>
        <w:rPr>
          <w:rFonts w:ascii="Times New Roman" w:hAnsi="Times New Roman"/>
          <w:szCs w:val="28"/>
        </w:rPr>
      </w:pPr>
      <w:r>
        <w:rPr>
          <w:rFonts w:hint="eastAsia" w:ascii="Times New Roman" w:hAnsi="Times New Roman"/>
          <w:szCs w:val="28"/>
        </w:rPr>
        <w:t>该项目</w:t>
      </w:r>
      <w:r>
        <w:rPr>
          <w:rFonts w:ascii="Times New Roman" w:hAnsi="Times New Roman"/>
          <w:szCs w:val="28"/>
        </w:rPr>
        <w:t>为经常性项目。</w:t>
      </w:r>
    </w:p>
    <w:p w14:paraId="0899EB46">
      <w:pPr>
        <w:spacing w:line="360" w:lineRule="auto"/>
        <w:ind w:firstLine="560"/>
        <w:rPr>
          <w:rFonts w:ascii="Times New Roman" w:hAnsi="Times New Roman"/>
          <w:szCs w:val="28"/>
        </w:rPr>
      </w:pPr>
      <w:r>
        <w:rPr>
          <w:rFonts w:hint="eastAsia" w:ascii="Times New Roman" w:hAnsi="Times New Roman"/>
          <w:szCs w:val="28"/>
        </w:rPr>
        <w:t>该项目总体绩效目标：完成国家卫生行政部门要求完成血液的采集、制备、储存，提高血液安全，完成相关检测，提高血液安全。扩大无偿献血队伍，确保临床用血需求。</w:t>
      </w:r>
    </w:p>
    <w:p w14:paraId="621C8C3B">
      <w:pPr>
        <w:spacing w:line="360" w:lineRule="auto"/>
        <w:ind w:firstLine="560"/>
        <w:rPr>
          <w:rFonts w:ascii="Times New Roman" w:hAnsi="Times New Roman"/>
          <w:szCs w:val="28"/>
        </w:rPr>
      </w:pPr>
      <w:r>
        <w:rPr>
          <w:rFonts w:ascii="Times New Roman" w:hAnsi="Times New Roman"/>
          <w:szCs w:val="28"/>
        </w:rPr>
        <w:t>该项目阶段性目标为：</w:t>
      </w:r>
      <w:r>
        <w:rPr>
          <w:rFonts w:hint="eastAsia" w:ascii="Times New Roman" w:hAnsi="Times New Roman"/>
          <w:szCs w:val="28"/>
        </w:rPr>
        <w:t>完成乌鲁木齐市血液中心2024年度艾滋病防治项目血液质量安全中的无偿献血宣传活动、招募献血者活动；完成中心业务科室及点位的储血点（库）设备、采血车、仪器设备的更新维护（含信息系统）；对采集的血液进行血液筛查、核酸检测和哨点监测。</w:t>
      </w:r>
    </w:p>
    <w:p w14:paraId="627520AA">
      <w:pPr>
        <w:pStyle w:val="2"/>
        <w:ind w:firstLine="0" w:firstLineChars="0"/>
        <w:jc w:val="left"/>
        <w:rPr>
          <w:rFonts w:ascii="Times New Roman" w:hAnsi="Times New Roman" w:eastAsia="仿宋"/>
          <w:sz w:val="36"/>
          <w:szCs w:val="36"/>
          <w:lang w:bidi="en-US"/>
        </w:rPr>
      </w:pPr>
      <w:bookmarkStart w:id="9" w:name="_Toc9399"/>
      <w:bookmarkStart w:id="10" w:name="_Toc67911604"/>
      <w:r>
        <w:rPr>
          <w:rFonts w:hint="eastAsia" w:ascii="Times New Roman" w:hAnsi="Times New Roman" w:eastAsia="仿宋"/>
          <w:sz w:val="36"/>
          <w:szCs w:val="36"/>
          <w:lang w:bidi="en-US"/>
        </w:rPr>
        <w:t>二、绩效评价工作开展情况</w:t>
      </w:r>
      <w:bookmarkEnd w:id="9"/>
      <w:bookmarkEnd w:id="10"/>
    </w:p>
    <w:p w14:paraId="461D127A">
      <w:pPr>
        <w:pStyle w:val="3"/>
        <w:ind w:firstLine="643"/>
        <w:rPr>
          <w:rFonts w:ascii="Times New Roman" w:hAnsi="Times New Roman" w:eastAsia="仿宋"/>
          <w:lang w:bidi="en-US"/>
        </w:rPr>
      </w:pPr>
      <w:bookmarkStart w:id="11" w:name="_Toc4905"/>
      <w:bookmarkStart w:id="12" w:name="_Toc67911605"/>
      <w:r>
        <w:rPr>
          <w:rFonts w:hint="eastAsia" w:ascii="Times New Roman" w:hAnsi="Times New Roman" w:eastAsia="仿宋"/>
          <w:lang w:bidi="en-US"/>
        </w:rPr>
        <w:t>（一）绩效评价目的、对象和范围</w:t>
      </w:r>
      <w:bookmarkEnd w:id="11"/>
      <w:bookmarkEnd w:id="12"/>
    </w:p>
    <w:p w14:paraId="2D5EBBB7">
      <w:pPr>
        <w:pStyle w:val="4"/>
        <w:ind w:firstLine="643"/>
        <w:rPr>
          <w:rFonts w:ascii="Times New Roman" w:hAnsi="Times New Roman"/>
        </w:rPr>
      </w:pPr>
      <w:bookmarkStart w:id="13" w:name="_Toc21829"/>
      <w:r>
        <w:rPr>
          <w:rFonts w:hint="eastAsia" w:ascii="Times New Roman" w:hAnsi="Times New Roman"/>
        </w:rPr>
        <w:t>1</w:t>
      </w:r>
      <w:r>
        <w:rPr>
          <w:rFonts w:ascii="Times New Roman" w:hAnsi="Times New Roman"/>
        </w:rPr>
        <w:t>.绩效评价完整性</w:t>
      </w:r>
      <w:bookmarkEnd w:id="13"/>
    </w:p>
    <w:p w14:paraId="5114EF23">
      <w:pPr>
        <w:spacing w:line="360" w:lineRule="auto"/>
        <w:ind w:firstLine="560"/>
        <w:rPr>
          <w:rFonts w:ascii="Times New Roman" w:hAnsi="Times New Roman"/>
          <w:szCs w:val="28"/>
        </w:rPr>
      </w:pPr>
      <w:r>
        <w:rPr>
          <w:rFonts w:hint="eastAsia" w:ascii="Times New Roman" w:hAnsi="Times New Roman"/>
          <w:szCs w:val="28"/>
        </w:rPr>
        <w:t>提前下达2024年重大传染病防控经费项目为我单位的经常性项目，主要目标为完成国家卫生行政部门要求完成血液的采集、制备、储存，提高血液安全，完成相关检测，提高血液安全。扩大无偿献血队伍，确保临床用血需求。根据项目的目标，我单位设置了完整的绩效评价体系，从决策、过程、产出、效益和社会满意度五个角度对项目绩效进行评价，构建了由2个项目立项指标、2个绩效目标指标、2个资金投入指标、3个资金管理指标、2个组织实施指标、5个数量指标、3个质量指标、4个经济成本指标、1个社会效益指标和1个满意度指标组成的绩效评价体系，完整体现项目绩效成果及项目绩效执行情况。</w:t>
      </w:r>
    </w:p>
    <w:p w14:paraId="23D0D3DF">
      <w:pPr>
        <w:spacing w:line="360" w:lineRule="auto"/>
        <w:ind w:firstLine="560"/>
        <w:rPr>
          <w:rFonts w:ascii="Times New Roman" w:hAnsi="Times New Roman"/>
          <w:szCs w:val="28"/>
        </w:rPr>
      </w:pPr>
      <w:r>
        <w:rPr>
          <w:rFonts w:hint="eastAsia" w:ascii="Times New Roman" w:hAnsi="Times New Roman"/>
          <w:szCs w:val="28"/>
        </w:rPr>
        <w:t>提前下达2024年重大传染病防控经费项目主要由我单位献血服务科、检验科、办公室、信息设备科和财务科参与执行，于当年5月、8月分别进行项目绩效监控，阶段性检查项目执行进度。2024年项目整体完成情况为优秀，全年</w:t>
      </w:r>
      <w:r>
        <w:rPr>
          <w:rFonts w:hint="eastAsia" w:ascii="Times New Roman" w:hAnsi="Times New Roman"/>
        </w:rPr>
        <w:t>举行2次大型无偿献血宣传活动，与三家媒体合作进行无偿献血宣传，提升了公众无偿献血知晓率与参与度，推动更多人加入无偿献血队伍；对我单位业务科室储血点（库）设备、各点位采血车、各业务科室仪器设备（含信息系统）进行更新维护，保障我单位采供血职能；购买哨点检测试剂61盒、核酸检测试剂204盒，保障临床用血核酸检测全覆盖。对采集的血液进行血液筛查、核酸检测及哨点监测，保障血液安全，为用血者筑起健康屏障，保障临床用血安全。</w:t>
      </w:r>
    </w:p>
    <w:p w14:paraId="49E3C112">
      <w:pPr>
        <w:spacing w:line="360" w:lineRule="auto"/>
        <w:ind w:firstLine="560"/>
        <w:rPr>
          <w:rFonts w:ascii="Times New Roman" w:hAnsi="Times New Roman"/>
          <w:szCs w:val="28"/>
        </w:rPr>
      </w:pPr>
      <w:r>
        <w:rPr>
          <w:rFonts w:hint="eastAsia" w:ascii="Times New Roman" w:hAnsi="Times New Roman"/>
          <w:szCs w:val="28"/>
        </w:rPr>
        <w:t>由各业务执行科室提供监控节点的实际完成情况的数值和佐证材料，如采购合同、工作资料、情况说明及原始凭证等</w:t>
      </w:r>
      <w:r>
        <w:rPr>
          <w:rFonts w:hint="eastAsia" w:ascii="Times New Roman" w:hAnsi="Times New Roman"/>
          <w:szCs w:val="28"/>
          <w:lang w:eastAsia="zh-CN"/>
        </w:rPr>
        <w:t>，</w:t>
      </w:r>
      <w:r>
        <w:rPr>
          <w:rFonts w:hint="eastAsia" w:ascii="Times New Roman" w:hAnsi="Times New Roman"/>
          <w:szCs w:val="28"/>
        </w:rPr>
        <w:t>保证了数据的准确性和完整性。</w:t>
      </w:r>
    </w:p>
    <w:p w14:paraId="744875C8">
      <w:pPr>
        <w:pStyle w:val="4"/>
        <w:ind w:firstLine="643"/>
        <w:rPr>
          <w:rFonts w:ascii="Times New Roman" w:hAnsi="Times New Roman"/>
        </w:rPr>
      </w:pPr>
      <w:bookmarkStart w:id="14" w:name="_Toc585"/>
      <w:r>
        <w:rPr>
          <w:rFonts w:ascii="Times New Roman" w:hAnsi="Times New Roman"/>
        </w:rPr>
        <w:t>2</w:t>
      </w:r>
      <w:r>
        <w:rPr>
          <w:rFonts w:hint="eastAsia" w:ascii="Times New Roman" w:hAnsi="Times New Roman"/>
        </w:rPr>
        <w:t>.评价目的</w:t>
      </w:r>
      <w:bookmarkEnd w:id="14"/>
    </w:p>
    <w:p w14:paraId="11B6E9FF">
      <w:pPr>
        <w:spacing w:line="360" w:lineRule="auto"/>
        <w:ind w:firstLine="560"/>
        <w:rPr>
          <w:rFonts w:ascii="Times New Roman" w:hAnsi="Times New Roman"/>
        </w:rPr>
      </w:pPr>
      <w:r>
        <w:rPr>
          <w:rFonts w:hint="eastAsia" w:ascii="Times New Roman" w:hAnsi="Times New Roman"/>
        </w:rPr>
        <w:t>本项工作旨在落实《中共中央 国务院关于全面实施预算绩效管理的意见》（中发〔2018〕34号）文件精神，全面推进预算绩效管理工作，落实预算执行及绩效管理主体责任。具体而言包括以下两点</w:t>
      </w:r>
    </w:p>
    <w:p w14:paraId="4F20685D">
      <w:pPr>
        <w:spacing w:line="360" w:lineRule="auto"/>
        <w:ind w:firstLine="560"/>
        <w:rPr>
          <w:rFonts w:ascii="Times New Roman" w:hAnsi="Times New Roman"/>
        </w:rPr>
      </w:pPr>
      <w:r>
        <w:rPr>
          <w:rFonts w:hint="eastAsia" w:ascii="Times New Roman" w:hAnsi="Times New Roman"/>
        </w:rPr>
        <w:t>（1）通过对项目设立的背景、意义、项目内容、项目现状及绩效目标、资金投入、资金管理、组织实施、产出指标、成本指标和效益指标等进行深入调研和分析，进一步了解</w:t>
      </w:r>
      <w:r>
        <w:rPr>
          <w:rFonts w:hint="eastAsia" w:ascii="Times New Roman" w:hAnsi="Times New Roman"/>
          <w:szCs w:val="28"/>
        </w:rPr>
        <w:t>提前下达2024年重大传染病防控经费</w:t>
      </w:r>
      <w:r>
        <w:rPr>
          <w:rFonts w:ascii="Times New Roman" w:hAnsi="Times New Roman"/>
        </w:rPr>
        <w:t>项目的</w:t>
      </w:r>
      <w:r>
        <w:rPr>
          <w:rFonts w:hint="eastAsia" w:ascii="Times New Roman" w:hAnsi="Times New Roman"/>
        </w:rPr>
        <w:t>实施情况，并考察项目实施过程和效果。</w:t>
      </w:r>
    </w:p>
    <w:p w14:paraId="66F51117">
      <w:pPr>
        <w:spacing w:line="360" w:lineRule="auto"/>
        <w:ind w:firstLine="560"/>
        <w:rPr>
          <w:rFonts w:ascii="Times New Roman" w:hAnsi="Times New Roman"/>
          <w:b/>
          <w:bCs/>
        </w:rPr>
      </w:pPr>
      <w:r>
        <w:rPr>
          <w:rFonts w:hint="eastAsia" w:ascii="Times New Roman" w:hAnsi="Times New Roman"/>
        </w:rPr>
        <w:t>（2）通过评价，客观公正反映项目立项科学性、项目管理规范性、项目实施有效性和项目效果，总结项目实施的经验，发现项目实施过程中存在的问题，提高财政资金使用效益。</w:t>
      </w:r>
    </w:p>
    <w:p w14:paraId="118BDB48">
      <w:pPr>
        <w:pStyle w:val="4"/>
        <w:ind w:firstLine="643"/>
        <w:rPr>
          <w:rFonts w:ascii="Times New Roman" w:hAnsi="Times New Roman"/>
        </w:rPr>
      </w:pPr>
      <w:bookmarkStart w:id="15" w:name="_Toc3626"/>
      <w:r>
        <w:rPr>
          <w:rFonts w:ascii="Times New Roman" w:hAnsi="Times New Roman"/>
        </w:rPr>
        <w:t>3</w:t>
      </w:r>
      <w:r>
        <w:rPr>
          <w:rFonts w:hint="eastAsia" w:ascii="Times New Roman" w:hAnsi="Times New Roman"/>
        </w:rPr>
        <w:t>.评价对象</w:t>
      </w:r>
      <w:bookmarkEnd w:id="15"/>
    </w:p>
    <w:p w14:paraId="3751590C">
      <w:pPr>
        <w:spacing w:line="360" w:lineRule="auto"/>
        <w:ind w:firstLine="560"/>
        <w:rPr>
          <w:rFonts w:ascii="Times New Roman" w:hAnsi="Times New Roman"/>
        </w:rPr>
      </w:pPr>
      <w:r>
        <w:rPr>
          <w:rFonts w:hint="eastAsia" w:ascii="Times New Roman" w:hAnsi="Times New Roman"/>
        </w:rPr>
        <w:t>（1）绩效评价的对象：</w:t>
      </w:r>
      <w:r>
        <w:rPr>
          <w:rFonts w:hint="eastAsia" w:ascii="Times New Roman" w:hAnsi="Times New Roman"/>
          <w:szCs w:val="28"/>
        </w:rPr>
        <w:t>提前下达2024年重大传染病防控经费项目</w:t>
      </w:r>
    </w:p>
    <w:p w14:paraId="28E4A540">
      <w:pPr>
        <w:pStyle w:val="4"/>
        <w:ind w:firstLine="643"/>
        <w:rPr>
          <w:rFonts w:ascii="Times New Roman" w:hAnsi="Times New Roman"/>
        </w:rPr>
      </w:pPr>
      <w:bookmarkStart w:id="16" w:name="_Toc10993"/>
      <w:r>
        <w:rPr>
          <w:rFonts w:hint="eastAsia" w:ascii="Times New Roman" w:hAnsi="Times New Roman"/>
        </w:rPr>
        <w:t>4</w:t>
      </w:r>
      <w:r>
        <w:rPr>
          <w:rFonts w:ascii="Times New Roman" w:hAnsi="Times New Roman"/>
        </w:rPr>
        <w:t>.</w:t>
      </w:r>
      <w:r>
        <w:rPr>
          <w:rFonts w:hint="eastAsia" w:ascii="Times New Roman" w:hAnsi="Times New Roman"/>
        </w:rPr>
        <w:t>绩效评价范围</w:t>
      </w:r>
      <w:bookmarkEnd w:id="16"/>
    </w:p>
    <w:p w14:paraId="392AC0A4">
      <w:pPr>
        <w:spacing w:line="360" w:lineRule="auto"/>
        <w:ind w:firstLine="560"/>
        <w:rPr>
          <w:rFonts w:ascii="Times New Roman" w:hAnsi="Times New Roman"/>
        </w:rPr>
      </w:pPr>
      <w:r>
        <w:rPr>
          <w:rFonts w:ascii="Times New Roman" w:hAnsi="Times New Roman"/>
        </w:rPr>
        <w:t>1.</w:t>
      </w:r>
      <w:r>
        <w:rPr>
          <w:rFonts w:hint="eastAsia" w:ascii="Times New Roman" w:hAnsi="Times New Roman"/>
        </w:rPr>
        <w:t>时间范围：2024年1月1日至2024年1</w:t>
      </w:r>
      <w:r>
        <w:rPr>
          <w:rFonts w:ascii="Times New Roman" w:hAnsi="Times New Roman"/>
        </w:rPr>
        <w:t>2</w:t>
      </w:r>
      <w:r>
        <w:rPr>
          <w:rFonts w:hint="eastAsia" w:ascii="Times New Roman" w:hAnsi="Times New Roman"/>
        </w:rPr>
        <w:t>月3</w:t>
      </w:r>
      <w:r>
        <w:rPr>
          <w:rFonts w:ascii="Times New Roman" w:hAnsi="Times New Roman"/>
        </w:rPr>
        <w:t>1</w:t>
      </w:r>
      <w:r>
        <w:rPr>
          <w:rFonts w:hint="eastAsia" w:ascii="Times New Roman" w:hAnsi="Times New Roman"/>
        </w:rPr>
        <w:t>日。</w:t>
      </w:r>
    </w:p>
    <w:p w14:paraId="7AA989C2">
      <w:pPr>
        <w:spacing w:line="360" w:lineRule="auto"/>
        <w:ind w:firstLine="560"/>
        <w:rPr>
          <w:rFonts w:ascii="Times New Roman" w:hAnsi="Times New Roman"/>
        </w:rPr>
      </w:pPr>
      <w:r>
        <w:rPr>
          <w:rFonts w:ascii="Times New Roman" w:hAnsi="Times New Roman"/>
        </w:rPr>
        <w:t>2.</w:t>
      </w:r>
      <w:r>
        <w:rPr>
          <w:rFonts w:hint="eastAsia" w:ascii="Times New Roman" w:hAnsi="Times New Roman"/>
        </w:rPr>
        <w:t>项目范围：</w:t>
      </w:r>
      <w:r>
        <w:rPr>
          <w:rFonts w:ascii="Times New Roman" w:hAnsi="Times New Roman"/>
        </w:rPr>
        <w:t>项目围绕血液安全核心目标，完成三大任务：一是通过2次大型活动、3家媒体合作，提升无偿献血知晓率与参与度；二是更新储血点设备及信息系统，保障采供血职能高效运行；三是采购核酸检测试剂204盒、哨点监测试剂61盒</w:t>
      </w:r>
      <w:r>
        <w:rPr>
          <w:rFonts w:hint="eastAsia" w:ascii="Times New Roman" w:hAnsi="Times New Roman"/>
        </w:rPr>
        <w:t>，</w:t>
      </w:r>
      <w:r>
        <w:rPr>
          <w:rFonts w:ascii="Times New Roman" w:hAnsi="Times New Roman"/>
        </w:rPr>
        <w:t>实现临床用血核酸检测全覆盖。项目有效达成“保障血液安全、扩大献血队伍”目标，献血者满意度达97%，获医疗机构高度认可，社会效益显著。</w:t>
      </w:r>
    </w:p>
    <w:p w14:paraId="6DB002C6">
      <w:pPr>
        <w:spacing w:line="360" w:lineRule="auto"/>
        <w:ind w:firstLine="560"/>
        <w:rPr>
          <w:rFonts w:ascii="Times New Roman" w:hAnsi="Times New Roman"/>
        </w:rPr>
      </w:pPr>
      <w:r>
        <w:rPr>
          <w:rFonts w:ascii="Times New Roman" w:hAnsi="Times New Roman"/>
        </w:rPr>
        <w:t>评价基于科学公正、统筹兼顾、激励约束、公开透明的原则，采用比较法、公众评判法，覆盖决策、过程、产出、效益四大维度，对项目进行整体评价。亮点包括：一是制度执行严格，以《血站质量管理规范》等为准则，建立全流程质量监控体系；二是财务与业务协同高效，动态监控资金使用。存在问题：一是信息设备更新维护执行率69%，因招标流程延迟导致资金结转；二是核酸检测试剂采购目标设定与实际需求匹配不足，未充分考虑试剂规格变化；三是绩效指标灵活性待提升，需细化月度进度跟踪。</w:t>
      </w:r>
    </w:p>
    <w:p w14:paraId="0C6DC2C1">
      <w:pPr>
        <w:spacing w:line="360" w:lineRule="auto"/>
        <w:ind w:firstLine="560"/>
        <w:rPr>
          <w:rFonts w:ascii="Times New Roman" w:hAnsi="Times New Roman"/>
        </w:rPr>
      </w:pPr>
      <w:r>
        <w:rPr>
          <w:rFonts w:ascii="Times New Roman" w:hAnsi="Times New Roman"/>
        </w:rPr>
        <w:t>项目成功构建血液安全管理体系，资金使用合规，社会效益突出。改进建议：一是优化预算编制，强化采购时效管控，缩短招标周期；二是动态调整绩效指标，结合业务实际设定弹性目标；三是加强过程监控，将执行节点细化至月度，避免年末集中支付。</w:t>
      </w:r>
    </w:p>
    <w:p w14:paraId="05AC1D62">
      <w:pPr>
        <w:pStyle w:val="3"/>
        <w:ind w:firstLine="643"/>
        <w:rPr>
          <w:rFonts w:ascii="Times New Roman" w:hAnsi="Times New Roman" w:eastAsia="仿宋"/>
          <w:lang w:bidi="en-US"/>
        </w:rPr>
      </w:pPr>
      <w:bookmarkStart w:id="17" w:name="_Toc67911606"/>
      <w:bookmarkStart w:id="18" w:name="_Hlk67586765"/>
      <w:bookmarkStart w:id="19" w:name="_Toc26572"/>
      <w:r>
        <w:rPr>
          <w:rFonts w:hint="eastAsia" w:ascii="Times New Roman" w:hAnsi="Times New Roman" w:eastAsia="仿宋"/>
          <w:lang w:bidi="en-US"/>
        </w:rPr>
        <w:t>（二）绩效评价原则、指标体系、方法及标准</w:t>
      </w:r>
      <w:bookmarkEnd w:id="17"/>
      <w:bookmarkEnd w:id="18"/>
      <w:bookmarkEnd w:id="19"/>
    </w:p>
    <w:p w14:paraId="070F6778">
      <w:pPr>
        <w:pStyle w:val="4"/>
        <w:ind w:firstLine="643"/>
        <w:rPr>
          <w:rFonts w:ascii="Times New Roman" w:hAnsi="Times New Roman"/>
        </w:rPr>
      </w:pPr>
      <w:bookmarkStart w:id="20" w:name="_Toc14937"/>
      <w:r>
        <w:rPr>
          <w:rFonts w:hint="eastAsia" w:ascii="Times New Roman" w:hAnsi="Times New Roman"/>
        </w:rPr>
        <w:t>1</w:t>
      </w:r>
      <w:r>
        <w:rPr>
          <w:rFonts w:ascii="Times New Roman" w:hAnsi="Times New Roman"/>
        </w:rPr>
        <w:t>.</w:t>
      </w:r>
      <w:r>
        <w:rPr>
          <w:rFonts w:hint="eastAsia" w:ascii="Times New Roman" w:hAnsi="Times New Roman"/>
        </w:rPr>
        <w:t>评价原则</w:t>
      </w:r>
      <w:bookmarkEnd w:id="20"/>
    </w:p>
    <w:p w14:paraId="5B4A5159">
      <w:pPr>
        <w:spacing w:line="360" w:lineRule="auto"/>
        <w:ind w:firstLine="560"/>
        <w:rPr>
          <w:rFonts w:ascii="Times New Roman" w:hAnsi="Times New Roman"/>
        </w:rPr>
      </w:pPr>
      <w:r>
        <w:rPr>
          <w:rFonts w:hint="eastAsia" w:ascii="Times New Roman" w:hAnsi="Times New Roman"/>
        </w:rPr>
        <w:t>（一）科学公正。绩效评价应当运用科学合理的方法，按照规范的程序，对项目绩效进行客观、公正的反映。</w:t>
      </w:r>
    </w:p>
    <w:p w14:paraId="6F5973D3">
      <w:pPr>
        <w:spacing w:line="360" w:lineRule="auto"/>
        <w:ind w:firstLine="560"/>
        <w:rPr>
          <w:rFonts w:ascii="Times New Roman" w:hAnsi="Times New Roman"/>
        </w:rPr>
      </w:pPr>
      <w:r>
        <w:rPr>
          <w:rFonts w:hint="eastAsia" w:ascii="Times New Roman" w:hAnsi="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0CCFDC97">
      <w:pPr>
        <w:spacing w:line="360" w:lineRule="auto"/>
        <w:ind w:firstLine="560"/>
        <w:rPr>
          <w:rFonts w:ascii="Times New Roman" w:hAnsi="Times New Roman"/>
        </w:rPr>
      </w:pPr>
      <w:r>
        <w:rPr>
          <w:rFonts w:hint="eastAsia" w:ascii="Times New Roman" w:hAnsi="Times New Roman"/>
        </w:rPr>
        <w:t>（三）激励约束。绩效评价结果应与预算安排、政策调整、改进管理实质性挂钩，体现奖优罚劣和激励相容导向，有效要安排、低效要压减、无效要问责。</w:t>
      </w:r>
    </w:p>
    <w:p w14:paraId="2D2D289F">
      <w:pPr>
        <w:spacing w:line="360" w:lineRule="auto"/>
        <w:ind w:firstLine="560"/>
        <w:rPr>
          <w:rFonts w:ascii="Times New Roman" w:hAnsi="Times New Roman"/>
        </w:rPr>
      </w:pPr>
      <w:r>
        <w:rPr>
          <w:rFonts w:hint="eastAsia" w:ascii="Times New Roman" w:hAnsi="Times New Roman"/>
        </w:rPr>
        <w:t>（四）公开透明。绩效评价结果应依法依规公开，并自觉接受社会监督。</w:t>
      </w:r>
    </w:p>
    <w:p w14:paraId="72596949">
      <w:pPr>
        <w:pStyle w:val="4"/>
        <w:ind w:firstLine="643"/>
        <w:rPr>
          <w:rFonts w:ascii="Times New Roman" w:hAnsi="Times New Roman"/>
        </w:rPr>
      </w:pPr>
      <w:bookmarkStart w:id="21" w:name="_Toc8010"/>
      <w:r>
        <w:rPr>
          <w:rFonts w:ascii="Times New Roman" w:hAnsi="Times New Roman"/>
        </w:rPr>
        <w:t>2.</w:t>
      </w:r>
      <w:r>
        <w:rPr>
          <w:rFonts w:hint="eastAsia" w:ascii="Times New Roman" w:hAnsi="Times New Roman"/>
        </w:rPr>
        <w:t>评价指标体系</w:t>
      </w:r>
      <w:bookmarkEnd w:id="21"/>
    </w:p>
    <w:p w14:paraId="2C17324C">
      <w:pPr>
        <w:spacing w:line="360" w:lineRule="auto"/>
        <w:ind w:firstLine="560"/>
        <w:rPr>
          <w:rFonts w:ascii="Times New Roman" w:hAnsi="Times New Roman"/>
        </w:rPr>
      </w:pPr>
      <w:r>
        <w:rPr>
          <w:rFonts w:hint="eastAsia" w:ascii="Times New Roman" w:hAnsi="Times New Roman"/>
        </w:rPr>
        <w:t>绩效评价指标体系作为衡量绩效目标实现程度的考核工具，一般遵循以下原则：</w:t>
      </w:r>
    </w:p>
    <w:p w14:paraId="74ED1449">
      <w:pPr>
        <w:spacing w:line="360" w:lineRule="auto"/>
        <w:ind w:firstLine="560"/>
        <w:rPr>
          <w:rFonts w:ascii="Times New Roman" w:hAnsi="Times New Roman"/>
        </w:rPr>
      </w:pPr>
      <w:r>
        <w:rPr>
          <w:rFonts w:hint="eastAsia" w:ascii="Times New Roman" w:hAnsi="Times New Roman"/>
        </w:rPr>
        <w:t>（1）相关性原则：绩效评价指标应当与绩效目标有直接的联系，能够恰当反映目标的实现程度。</w:t>
      </w:r>
    </w:p>
    <w:p w14:paraId="2791D5C8">
      <w:pPr>
        <w:spacing w:line="360" w:lineRule="auto"/>
        <w:ind w:firstLine="560"/>
        <w:rPr>
          <w:rFonts w:ascii="Times New Roman" w:hAnsi="Times New Roman"/>
        </w:rPr>
      </w:pPr>
      <w:r>
        <w:rPr>
          <w:rFonts w:hint="eastAsia" w:ascii="Times New Roman" w:hAnsi="Times New Roman"/>
        </w:rPr>
        <w:t>（2）重要性原则：应当优先使用最具评价对象代表性、最能反映评价要求的核心指标。</w:t>
      </w:r>
    </w:p>
    <w:p w14:paraId="05B343A2">
      <w:pPr>
        <w:spacing w:line="360" w:lineRule="auto"/>
        <w:ind w:firstLine="560"/>
        <w:rPr>
          <w:rFonts w:ascii="Times New Roman" w:hAnsi="Times New Roman"/>
        </w:rPr>
      </w:pPr>
      <w:r>
        <w:rPr>
          <w:rFonts w:hint="eastAsia" w:ascii="Times New Roman" w:hAnsi="Times New Roman"/>
        </w:rPr>
        <w:t>（3）可比性原则：对同类评价对象要设定共性的绩效评价指标，以便于评价结果可以相互比较。</w:t>
      </w:r>
    </w:p>
    <w:p w14:paraId="4B62FAAF">
      <w:pPr>
        <w:spacing w:line="360" w:lineRule="auto"/>
        <w:ind w:firstLine="560"/>
        <w:rPr>
          <w:rFonts w:ascii="Times New Roman" w:hAnsi="Times New Roman"/>
        </w:rPr>
      </w:pPr>
      <w:r>
        <w:rPr>
          <w:rFonts w:hint="eastAsia" w:ascii="Times New Roman" w:hAnsi="Times New Roman"/>
        </w:rPr>
        <w:t>（4）系统性原则：绩效评价指标的设置应当将定量指标与定性指标相结合，能系统反映财政支出所产生的社会效益、经济效益和可持续影响等。</w:t>
      </w:r>
    </w:p>
    <w:p w14:paraId="1D479C32">
      <w:pPr>
        <w:spacing w:line="360" w:lineRule="auto"/>
        <w:ind w:firstLine="560"/>
        <w:rPr>
          <w:rFonts w:ascii="Times New Roman" w:hAnsi="Times New Roman"/>
        </w:rPr>
      </w:pPr>
      <w:r>
        <w:rPr>
          <w:rFonts w:hint="eastAsia" w:ascii="Times New Roman" w:hAnsi="Times New Roman"/>
        </w:rPr>
        <w:t>（5）经济性原则：绩效评价指标设计应当通俗易懂、简便易行，数据的获得应当考虑现实条件和可操作性，符合成本效益原则。</w:t>
      </w:r>
    </w:p>
    <w:p w14:paraId="66FA4EC8">
      <w:pPr>
        <w:spacing w:line="360" w:lineRule="auto"/>
        <w:ind w:firstLine="560"/>
        <w:rPr>
          <w:rFonts w:ascii="Times New Roman" w:hAnsi="Times New Roman"/>
        </w:rPr>
      </w:pPr>
      <w:r>
        <w:rPr>
          <w:rFonts w:hint="eastAsia" w:ascii="Times New Roman" w:hAnsi="Times New Roman"/>
        </w:rPr>
        <w:t>本项目的评价指标体系建立如下表所示。</w:t>
      </w:r>
    </w:p>
    <w:p w14:paraId="1152D39E">
      <w:pPr>
        <w:spacing w:line="360" w:lineRule="auto"/>
        <w:ind w:firstLine="560"/>
        <w:rPr>
          <w:rFonts w:ascii="Times New Roman" w:hAnsi="Times New Roman"/>
        </w:rPr>
      </w:pPr>
    </w:p>
    <w:p w14:paraId="3E4D9517">
      <w:pPr>
        <w:spacing w:line="360" w:lineRule="auto"/>
        <w:ind w:firstLine="560"/>
        <w:rPr>
          <w:rFonts w:ascii="Times New Roman" w:hAnsi="Times New Roman"/>
        </w:rPr>
      </w:pPr>
    </w:p>
    <w:p w14:paraId="16307EA9">
      <w:pPr>
        <w:spacing w:line="360" w:lineRule="auto"/>
        <w:ind w:firstLine="560"/>
        <w:rPr>
          <w:rFonts w:ascii="Times New Roman" w:hAnsi="Times New Roman"/>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300F3361">
      <w:pPr>
        <w:spacing w:line="360" w:lineRule="auto"/>
        <w:ind w:firstLine="0" w:firstLineChars="0"/>
        <w:jc w:val="center"/>
        <w:rPr>
          <w:rFonts w:ascii="Times New Roman" w:hAnsi="Times New Roman"/>
          <w:b/>
          <w:bCs/>
        </w:rPr>
      </w:pPr>
      <w:r>
        <w:rPr>
          <w:rFonts w:hint="eastAsia" w:ascii="Times New Roman" w:hAnsi="Times New Roman"/>
          <w:b/>
          <w:bCs/>
        </w:rPr>
        <w:t>提前下达2024年重大传染病防控经费项目支出绩效评价指标体系</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2314"/>
        <w:gridCol w:w="1886"/>
        <w:gridCol w:w="7341"/>
      </w:tblGrid>
      <w:tr w14:paraId="32F8BE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428BECA7">
            <w:pPr>
              <w:widowControl/>
              <w:ind w:firstLine="0" w:firstLineChars="0"/>
              <w:jc w:val="center"/>
              <w:rPr>
                <w:rFonts w:ascii="Times New Roman" w:hAnsi="Times New Roman" w:eastAsia="宋体" w:cs="宋体"/>
                <w:b/>
                <w:bCs/>
                <w:color w:val="000000"/>
                <w:kern w:val="0"/>
                <w:sz w:val="22"/>
              </w:rPr>
            </w:pPr>
            <w:r>
              <w:rPr>
                <w:rFonts w:hint="eastAsia" w:ascii="Times New Roman" w:hAnsi="Times New Roman" w:eastAsia="宋体" w:cs="宋体"/>
                <w:b/>
                <w:bCs/>
                <w:color w:val="000000"/>
                <w:kern w:val="0"/>
                <w:sz w:val="22"/>
              </w:rPr>
              <w:t>一级指标</w:t>
            </w:r>
          </w:p>
        </w:tc>
        <w:tc>
          <w:tcPr>
            <w:tcW w:w="1199" w:type="dxa"/>
            <w:tcBorders>
              <w:tl2br w:val="nil"/>
              <w:tr2bl w:val="nil"/>
            </w:tcBorders>
            <w:shd w:val="clear" w:color="auto" w:fill="D0CECE"/>
            <w:vAlign w:val="center"/>
          </w:tcPr>
          <w:p w14:paraId="312CF085">
            <w:pPr>
              <w:widowControl/>
              <w:ind w:firstLine="0" w:firstLineChars="0"/>
              <w:jc w:val="center"/>
              <w:rPr>
                <w:rFonts w:ascii="Times New Roman" w:hAnsi="Times New Roman" w:eastAsia="宋体" w:cs="宋体"/>
                <w:b/>
                <w:bCs/>
                <w:color w:val="000000"/>
                <w:kern w:val="0"/>
                <w:sz w:val="22"/>
              </w:rPr>
            </w:pPr>
            <w:r>
              <w:rPr>
                <w:rFonts w:hint="eastAsia" w:ascii="Times New Roman" w:hAnsi="Times New Roman" w:eastAsia="宋体" w:cs="宋体"/>
                <w:b/>
                <w:bCs/>
                <w:color w:val="000000"/>
                <w:kern w:val="0"/>
                <w:sz w:val="22"/>
              </w:rPr>
              <w:t>二级指标</w:t>
            </w:r>
          </w:p>
        </w:tc>
        <w:tc>
          <w:tcPr>
            <w:tcW w:w="2314" w:type="dxa"/>
            <w:tcBorders>
              <w:tl2br w:val="nil"/>
              <w:tr2bl w:val="nil"/>
            </w:tcBorders>
            <w:shd w:val="clear" w:color="auto" w:fill="D0CECE"/>
            <w:vAlign w:val="center"/>
          </w:tcPr>
          <w:p w14:paraId="34E3CF25">
            <w:pPr>
              <w:widowControl/>
              <w:ind w:firstLine="0" w:firstLineChars="0"/>
              <w:jc w:val="center"/>
              <w:rPr>
                <w:rFonts w:ascii="Times New Roman" w:hAnsi="Times New Roman" w:eastAsia="宋体" w:cs="宋体"/>
                <w:b/>
                <w:bCs/>
                <w:color w:val="000000"/>
                <w:kern w:val="0"/>
                <w:sz w:val="22"/>
              </w:rPr>
            </w:pPr>
            <w:r>
              <w:rPr>
                <w:rFonts w:hint="eastAsia" w:ascii="Times New Roman" w:hAnsi="Times New Roman" w:eastAsia="宋体" w:cs="宋体"/>
                <w:b/>
                <w:bCs/>
                <w:color w:val="000000"/>
                <w:kern w:val="0"/>
                <w:sz w:val="22"/>
              </w:rPr>
              <w:t>三级指标</w:t>
            </w:r>
          </w:p>
        </w:tc>
        <w:tc>
          <w:tcPr>
            <w:tcW w:w="1886" w:type="dxa"/>
            <w:tcBorders>
              <w:tl2br w:val="nil"/>
              <w:tr2bl w:val="nil"/>
            </w:tcBorders>
            <w:shd w:val="clear" w:color="auto" w:fill="D0CECE"/>
            <w:vAlign w:val="center"/>
          </w:tcPr>
          <w:p w14:paraId="69A89AF1">
            <w:pPr>
              <w:widowControl/>
              <w:ind w:firstLine="0" w:firstLineChars="0"/>
              <w:jc w:val="center"/>
              <w:rPr>
                <w:rFonts w:ascii="Times New Roman" w:hAnsi="Times New Roman" w:eastAsia="宋体" w:cs="宋体"/>
                <w:b/>
                <w:bCs/>
                <w:color w:val="000000"/>
                <w:kern w:val="0"/>
                <w:sz w:val="22"/>
              </w:rPr>
            </w:pPr>
            <w:r>
              <w:rPr>
                <w:rFonts w:hint="eastAsia" w:ascii="Times New Roman" w:hAnsi="Times New Roman" w:eastAsia="宋体" w:cs="宋体"/>
                <w:b/>
                <w:bCs/>
                <w:color w:val="000000"/>
                <w:kern w:val="0"/>
                <w:sz w:val="22"/>
              </w:rPr>
              <w:t>指标解释</w:t>
            </w:r>
          </w:p>
        </w:tc>
        <w:tc>
          <w:tcPr>
            <w:tcW w:w="7341" w:type="dxa"/>
            <w:tcBorders>
              <w:tl2br w:val="nil"/>
              <w:tr2bl w:val="nil"/>
            </w:tcBorders>
            <w:shd w:val="clear" w:color="auto" w:fill="D0CECE"/>
            <w:vAlign w:val="center"/>
          </w:tcPr>
          <w:p w14:paraId="5ED5397D">
            <w:pPr>
              <w:widowControl/>
              <w:ind w:firstLine="0" w:firstLineChars="0"/>
              <w:jc w:val="center"/>
              <w:rPr>
                <w:rFonts w:ascii="Times New Roman" w:hAnsi="Times New Roman" w:eastAsia="宋体" w:cs="宋体"/>
                <w:b/>
                <w:bCs/>
                <w:color w:val="000000"/>
                <w:kern w:val="0"/>
                <w:sz w:val="22"/>
              </w:rPr>
            </w:pPr>
            <w:r>
              <w:rPr>
                <w:rFonts w:hint="eastAsia" w:ascii="Times New Roman" w:hAnsi="Times New Roman" w:eastAsia="宋体" w:cs="宋体"/>
                <w:b/>
                <w:bCs/>
                <w:color w:val="000000"/>
                <w:kern w:val="0"/>
                <w:sz w:val="22"/>
              </w:rPr>
              <w:t>指标说明</w:t>
            </w:r>
          </w:p>
        </w:tc>
      </w:tr>
      <w:tr w14:paraId="2E47F4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008D91F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决策</w:t>
            </w:r>
          </w:p>
        </w:tc>
        <w:tc>
          <w:tcPr>
            <w:tcW w:w="1199" w:type="dxa"/>
            <w:vMerge w:val="restart"/>
            <w:tcBorders>
              <w:tl2br w:val="nil"/>
              <w:tr2bl w:val="nil"/>
            </w:tcBorders>
            <w:shd w:val="clear" w:color="auto" w:fill="FFFFFF"/>
            <w:vAlign w:val="center"/>
          </w:tcPr>
          <w:p w14:paraId="0D2AB39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项目立项</w:t>
            </w:r>
          </w:p>
        </w:tc>
        <w:tc>
          <w:tcPr>
            <w:tcW w:w="2314" w:type="dxa"/>
            <w:tcBorders>
              <w:tl2br w:val="nil"/>
              <w:tr2bl w:val="nil"/>
            </w:tcBorders>
            <w:shd w:val="clear" w:color="auto" w:fill="FFFFFF"/>
            <w:vAlign w:val="center"/>
          </w:tcPr>
          <w:p w14:paraId="1B9B340F">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立项依据</w:t>
            </w:r>
          </w:p>
          <w:p w14:paraId="54DEF79B">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充分性</w:t>
            </w:r>
          </w:p>
        </w:tc>
        <w:tc>
          <w:tcPr>
            <w:tcW w:w="1886" w:type="dxa"/>
            <w:tcBorders>
              <w:tl2br w:val="nil"/>
              <w:tr2bl w:val="nil"/>
            </w:tcBorders>
            <w:shd w:val="clear" w:color="auto" w:fill="FFFFFF"/>
            <w:vAlign w:val="center"/>
          </w:tcPr>
          <w:p w14:paraId="30DEF09A">
            <w:pPr>
              <w:widowControl/>
              <w:ind w:firstLine="0" w:firstLineChars="0"/>
              <w:rPr>
                <w:rFonts w:ascii="Times New Roman" w:hAnsi="Times New Roman" w:eastAsia="宋体" w:cs="宋体"/>
                <w:kern w:val="0"/>
                <w:sz w:val="22"/>
              </w:rPr>
            </w:pPr>
            <w:r>
              <w:rPr>
                <w:rFonts w:hint="eastAsia" w:ascii="Times New Roman" w:hAnsi="Times New Roman" w:eastAsia="宋体" w:cs="宋体"/>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5148D99C">
            <w:pPr>
              <w:widowControl/>
              <w:ind w:firstLine="0" w:firstLineChars="0"/>
              <w:jc w:val="left"/>
              <w:rPr>
                <w:rFonts w:ascii="Times New Roman" w:hAnsi="Times New Roman" w:eastAsia="宋体" w:cs="宋体"/>
                <w:kern w:val="0"/>
                <w:sz w:val="22"/>
              </w:rPr>
            </w:pPr>
            <w:r>
              <w:rPr>
                <w:rFonts w:hint="eastAsia" w:ascii="Times New Roman" w:hAnsi="Times New Roman" w:eastAsia="宋体" w:cs="宋体"/>
                <w:kern w:val="0"/>
                <w:sz w:val="22"/>
              </w:rPr>
              <w:t>评价要点：</w:t>
            </w:r>
            <w:r>
              <w:rPr>
                <w:rFonts w:hint="eastAsia" w:ascii="Times New Roman" w:hAnsi="Times New Roman" w:eastAsia="宋体" w:cs="宋体"/>
                <w:kern w:val="0"/>
                <w:sz w:val="22"/>
              </w:rPr>
              <w:br w:type="textWrapping"/>
            </w:r>
            <w:r>
              <w:rPr>
                <w:rFonts w:hint="eastAsia" w:ascii="Times New Roman" w:hAnsi="Times New Roman" w:eastAsia="宋体" w:cs="宋体"/>
                <w:kern w:val="0"/>
                <w:sz w:val="22"/>
              </w:rPr>
              <w:t>①项目立项是否符合国家法律法规、国民经济发展规划和相关政策；</w:t>
            </w:r>
            <w:r>
              <w:rPr>
                <w:rFonts w:hint="eastAsia" w:ascii="Times New Roman" w:hAnsi="Times New Roman" w:eastAsia="宋体" w:cs="宋体"/>
                <w:kern w:val="0"/>
                <w:sz w:val="22"/>
              </w:rPr>
              <w:br w:type="textWrapping"/>
            </w:r>
            <w:r>
              <w:rPr>
                <w:rFonts w:hint="eastAsia" w:ascii="Times New Roman" w:hAnsi="Times New Roman" w:eastAsia="宋体" w:cs="宋体"/>
                <w:kern w:val="0"/>
                <w:sz w:val="22"/>
              </w:rPr>
              <w:t>②项目立项是否符合行业发展规划和政策要求；</w:t>
            </w:r>
            <w:r>
              <w:rPr>
                <w:rFonts w:hint="eastAsia" w:ascii="Times New Roman" w:hAnsi="Times New Roman" w:eastAsia="宋体" w:cs="宋体"/>
                <w:kern w:val="0"/>
                <w:sz w:val="22"/>
              </w:rPr>
              <w:br w:type="textWrapping"/>
            </w:r>
            <w:r>
              <w:rPr>
                <w:rFonts w:hint="eastAsia" w:ascii="Times New Roman" w:hAnsi="Times New Roman" w:eastAsia="宋体" w:cs="宋体"/>
                <w:kern w:val="0"/>
                <w:sz w:val="22"/>
              </w:rPr>
              <w:t>③项目立项是否与部门职责范围相符，属</w:t>
            </w:r>
            <w:r>
              <w:rPr>
                <w:rFonts w:hint="eastAsia" w:ascii="Times New Roman" w:hAnsi="Times New Roman" w:eastAsia="宋体" w:cs="宋体"/>
                <w:kern w:val="0"/>
                <w:sz w:val="22"/>
                <w:lang w:val="en-US" w:eastAsia="zh-CN"/>
              </w:rPr>
              <w:t>于</w:t>
            </w:r>
            <w:bookmarkStart w:id="64" w:name="_GoBack"/>
            <w:bookmarkEnd w:id="64"/>
            <w:r>
              <w:rPr>
                <w:rFonts w:hint="eastAsia" w:ascii="Times New Roman" w:hAnsi="Times New Roman" w:eastAsia="宋体" w:cs="宋体"/>
                <w:kern w:val="0"/>
                <w:sz w:val="22"/>
              </w:rPr>
              <w:t>部门履职所需；</w:t>
            </w:r>
            <w:r>
              <w:rPr>
                <w:rFonts w:hint="eastAsia" w:ascii="Times New Roman" w:hAnsi="Times New Roman" w:eastAsia="宋体" w:cs="宋体"/>
                <w:kern w:val="0"/>
                <w:sz w:val="22"/>
              </w:rPr>
              <w:br w:type="textWrapping"/>
            </w:r>
            <w:r>
              <w:rPr>
                <w:rFonts w:hint="eastAsia" w:ascii="Times New Roman" w:hAnsi="Times New Roman" w:eastAsia="宋体" w:cs="宋体"/>
                <w:kern w:val="0"/>
                <w:sz w:val="22"/>
              </w:rPr>
              <w:t>④项目是否属于公共财政支持范围，是否符合中央、地方事权支出责任划分原则；</w:t>
            </w:r>
            <w:r>
              <w:rPr>
                <w:rFonts w:hint="eastAsia" w:ascii="Times New Roman" w:hAnsi="Times New Roman" w:eastAsia="宋体" w:cs="宋体"/>
                <w:kern w:val="0"/>
                <w:sz w:val="22"/>
              </w:rPr>
              <w:br w:type="textWrapping"/>
            </w:r>
            <w:r>
              <w:rPr>
                <w:rFonts w:hint="eastAsia" w:ascii="Times New Roman" w:hAnsi="Times New Roman" w:eastAsia="宋体" w:cs="宋体"/>
                <w:kern w:val="0"/>
                <w:sz w:val="22"/>
              </w:rPr>
              <w:t>⑤项目是否与相关部门同类项目或部门内部相关项目重复。</w:t>
            </w:r>
          </w:p>
        </w:tc>
      </w:tr>
      <w:tr w14:paraId="237263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58FF5126">
            <w:pPr>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344CD7D1">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1218CC94">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立项程序</w:t>
            </w:r>
          </w:p>
          <w:p w14:paraId="4303F28C">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规范性</w:t>
            </w:r>
          </w:p>
        </w:tc>
        <w:tc>
          <w:tcPr>
            <w:tcW w:w="1886" w:type="dxa"/>
            <w:tcBorders>
              <w:tl2br w:val="nil"/>
              <w:tr2bl w:val="nil"/>
            </w:tcBorders>
            <w:shd w:val="clear" w:color="auto" w:fill="FFFFFF"/>
            <w:vAlign w:val="center"/>
          </w:tcPr>
          <w:p w14:paraId="736393C6">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5602078B">
            <w:pPr>
              <w:widowControl/>
              <w:ind w:firstLine="0" w:firstLineChars="0"/>
              <w:jc w:val="left"/>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①项目是否按照规定的程序申请设立；</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②审批文件、材料是否符合相关要求；</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③事前是否已经过必要的可行性研究、专家论证、风险评估、绩效评估、集体决策。</w:t>
            </w:r>
          </w:p>
        </w:tc>
      </w:tr>
      <w:tr w14:paraId="3FB108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2DC3ADD5">
            <w:pPr>
              <w:ind w:firstLine="0" w:firstLineChars="0"/>
              <w:jc w:val="center"/>
              <w:rPr>
                <w:rFonts w:ascii="Times New Roman" w:hAnsi="Times New Roman" w:eastAsia="宋体" w:cs="宋体"/>
                <w:color w:val="000000"/>
                <w:kern w:val="0"/>
                <w:sz w:val="22"/>
              </w:rPr>
            </w:pPr>
          </w:p>
        </w:tc>
        <w:tc>
          <w:tcPr>
            <w:tcW w:w="1199" w:type="dxa"/>
            <w:tcBorders>
              <w:tl2br w:val="nil"/>
              <w:tr2bl w:val="nil"/>
            </w:tcBorders>
            <w:shd w:val="clear" w:color="auto" w:fill="FFFFFF"/>
            <w:vAlign w:val="center"/>
          </w:tcPr>
          <w:p w14:paraId="787A0D0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绩效目标</w:t>
            </w:r>
          </w:p>
        </w:tc>
        <w:tc>
          <w:tcPr>
            <w:tcW w:w="2314" w:type="dxa"/>
            <w:tcBorders>
              <w:tl2br w:val="nil"/>
              <w:tr2bl w:val="nil"/>
            </w:tcBorders>
            <w:shd w:val="clear" w:color="auto" w:fill="FFFFFF"/>
            <w:vAlign w:val="center"/>
          </w:tcPr>
          <w:p w14:paraId="52C2D4A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绩效目标</w:t>
            </w:r>
          </w:p>
          <w:p w14:paraId="07267F4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合理性</w:t>
            </w:r>
          </w:p>
        </w:tc>
        <w:tc>
          <w:tcPr>
            <w:tcW w:w="1886" w:type="dxa"/>
            <w:tcBorders>
              <w:tl2br w:val="nil"/>
              <w:tr2bl w:val="nil"/>
            </w:tcBorders>
            <w:shd w:val="clear" w:color="000000" w:fill="FFFFFF"/>
            <w:vAlign w:val="center"/>
          </w:tcPr>
          <w:p w14:paraId="7B0DC625">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4B2A294">
            <w:pPr>
              <w:widowControl/>
              <w:ind w:firstLine="0" w:firstLineChars="0"/>
              <w:jc w:val="left"/>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（如未设定预算绩效目标，也可考核其他工作任务目标）</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①项目是否有绩效目标；</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②项目绩效目标与实际工作内容是否具有相关性；</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③项目预期产出效益和效果是否符合正常的业绩水平；</w:t>
            </w:r>
          </w:p>
          <w:p w14:paraId="3E746A35">
            <w:pPr>
              <w:widowControl/>
              <w:ind w:firstLine="0" w:firstLineChars="0"/>
              <w:jc w:val="left"/>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④是否与预算确定的项目投资额或资金量相匹配。</w:t>
            </w:r>
          </w:p>
        </w:tc>
      </w:tr>
      <w:tr w14:paraId="1B811E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3071DEC9">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决策</w:t>
            </w:r>
          </w:p>
        </w:tc>
        <w:tc>
          <w:tcPr>
            <w:tcW w:w="1199" w:type="dxa"/>
            <w:tcBorders>
              <w:tl2br w:val="nil"/>
              <w:tr2bl w:val="nil"/>
            </w:tcBorders>
            <w:shd w:val="clear" w:color="auto" w:fill="FFFFFF"/>
            <w:vAlign w:val="center"/>
          </w:tcPr>
          <w:p w14:paraId="356906E0">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绩效目标</w:t>
            </w:r>
          </w:p>
        </w:tc>
        <w:tc>
          <w:tcPr>
            <w:tcW w:w="2314" w:type="dxa"/>
            <w:tcBorders>
              <w:tl2br w:val="nil"/>
              <w:tr2bl w:val="nil"/>
            </w:tcBorders>
            <w:shd w:val="clear" w:color="auto" w:fill="FFFFFF"/>
            <w:vAlign w:val="center"/>
          </w:tcPr>
          <w:p w14:paraId="779079CC">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绩效指标</w:t>
            </w:r>
          </w:p>
          <w:p w14:paraId="28FF6717">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明确性</w:t>
            </w:r>
          </w:p>
        </w:tc>
        <w:tc>
          <w:tcPr>
            <w:tcW w:w="1886" w:type="dxa"/>
            <w:tcBorders>
              <w:tl2br w:val="nil"/>
              <w:tr2bl w:val="nil"/>
            </w:tcBorders>
            <w:shd w:val="clear" w:color="000000" w:fill="FFFFFF"/>
            <w:vAlign w:val="center"/>
          </w:tcPr>
          <w:p w14:paraId="7090B655">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502D894">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①是否将项目绩效目标细化分解为具体的绩效指标；</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②是否通过清晰、可衡量的指标值予以体现；</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③是否与项目目标任务数或计划数相对应。</w:t>
            </w:r>
            <w:r>
              <w:rPr>
                <w:rFonts w:hint="eastAsia" w:ascii="Times New Roman" w:hAnsi="Times New Roman" w:eastAsia="宋体" w:cs="宋体"/>
                <w:color w:val="000000"/>
                <w:kern w:val="0"/>
                <w:sz w:val="22"/>
              </w:rPr>
              <w:br w:type="textWrapping"/>
            </w:r>
          </w:p>
        </w:tc>
      </w:tr>
      <w:tr w14:paraId="56FB80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6E8FE3D8">
            <w:pPr>
              <w:ind w:firstLine="0" w:firstLineChars="0"/>
              <w:jc w:val="center"/>
              <w:rPr>
                <w:rFonts w:ascii="Times New Roman" w:hAnsi="Times New Roman" w:eastAsia="宋体" w:cs="宋体"/>
                <w:color w:val="000000"/>
                <w:kern w:val="0"/>
                <w:sz w:val="22"/>
              </w:rPr>
            </w:pPr>
          </w:p>
        </w:tc>
        <w:tc>
          <w:tcPr>
            <w:tcW w:w="1199" w:type="dxa"/>
            <w:vMerge w:val="restart"/>
            <w:tcBorders>
              <w:tl2br w:val="nil"/>
              <w:tr2bl w:val="nil"/>
            </w:tcBorders>
            <w:shd w:val="clear" w:color="auto" w:fill="FFFFFF"/>
            <w:vAlign w:val="center"/>
          </w:tcPr>
          <w:p w14:paraId="57DD810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资金投入</w:t>
            </w:r>
          </w:p>
        </w:tc>
        <w:tc>
          <w:tcPr>
            <w:tcW w:w="2314" w:type="dxa"/>
            <w:tcBorders>
              <w:tl2br w:val="nil"/>
              <w:tr2bl w:val="nil"/>
            </w:tcBorders>
            <w:shd w:val="clear" w:color="auto" w:fill="FFFFFF"/>
            <w:vAlign w:val="center"/>
          </w:tcPr>
          <w:p w14:paraId="6D3B5A36">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预算编制</w:t>
            </w:r>
          </w:p>
          <w:p w14:paraId="017D433E">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科学性</w:t>
            </w:r>
          </w:p>
        </w:tc>
        <w:tc>
          <w:tcPr>
            <w:tcW w:w="1886" w:type="dxa"/>
            <w:tcBorders>
              <w:tl2br w:val="nil"/>
              <w:tr2bl w:val="nil"/>
            </w:tcBorders>
            <w:shd w:val="clear" w:color="auto" w:fill="FFFFFF"/>
            <w:vAlign w:val="center"/>
          </w:tcPr>
          <w:p w14:paraId="70EDA9EE">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27849520">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①预算编制是否经过科学论证；</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②预算内容与项目内容是否匹配；</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③预算额度测算依据是否充分，是否按照标准编制；</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④预算确定的项目投资额或资金量是否与工作任务相匹配。</w:t>
            </w:r>
          </w:p>
        </w:tc>
      </w:tr>
      <w:tr w14:paraId="0055A2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61302593">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5F26DC94">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0948BB04">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资金分配</w:t>
            </w:r>
          </w:p>
          <w:p w14:paraId="25178FF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合理性</w:t>
            </w:r>
          </w:p>
        </w:tc>
        <w:tc>
          <w:tcPr>
            <w:tcW w:w="1886" w:type="dxa"/>
            <w:tcBorders>
              <w:tl2br w:val="nil"/>
              <w:tr2bl w:val="nil"/>
            </w:tcBorders>
            <w:shd w:val="clear" w:color="auto" w:fill="FFFFFF"/>
            <w:vAlign w:val="center"/>
          </w:tcPr>
          <w:p w14:paraId="316DA16A">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66743F26">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①预算资金分配依据是否充分；</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②资金分配额度是否合理，与项目单位或地方实际是否相适应。</w:t>
            </w:r>
          </w:p>
        </w:tc>
      </w:tr>
      <w:tr w14:paraId="080017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5F95815A">
            <w:pPr>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过程</w:t>
            </w:r>
          </w:p>
        </w:tc>
        <w:tc>
          <w:tcPr>
            <w:tcW w:w="1199" w:type="dxa"/>
            <w:vMerge w:val="restart"/>
            <w:tcBorders>
              <w:tl2br w:val="nil"/>
              <w:tr2bl w:val="nil"/>
            </w:tcBorders>
            <w:shd w:val="clear" w:color="auto" w:fill="FFFFFF"/>
            <w:vAlign w:val="center"/>
          </w:tcPr>
          <w:p w14:paraId="02E66E23">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资金管理</w:t>
            </w:r>
          </w:p>
        </w:tc>
        <w:tc>
          <w:tcPr>
            <w:tcW w:w="2314" w:type="dxa"/>
            <w:tcBorders>
              <w:tl2br w:val="nil"/>
              <w:tr2bl w:val="nil"/>
            </w:tcBorders>
            <w:shd w:val="clear" w:color="auto" w:fill="FFFFFF"/>
            <w:vAlign w:val="center"/>
          </w:tcPr>
          <w:p w14:paraId="1CC3E689">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资金到位率</w:t>
            </w:r>
          </w:p>
        </w:tc>
        <w:tc>
          <w:tcPr>
            <w:tcW w:w="1886" w:type="dxa"/>
            <w:tcBorders>
              <w:tl2br w:val="nil"/>
              <w:tr2bl w:val="nil"/>
            </w:tcBorders>
            <w:shd w:val="clear" w:color="000000" w:fill="FFFFFF"/>
            <w:vAlign w:val="center"/>
          </w:tcPr>
          <w:p w14:paraId="28DED44F">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98AE6E3">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资金到位率=（实际到位资金/预算资金）×100%。</w:t>
            </w:r>
          </w:p>
          <w:p w14:paraId="354DCC43">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实际到位资金：一定时期（本年度或项目期）内落实到具体项目的资金。</w:t>
            </w:r>
          </w:p>
          <w:p w14:paraId="5CE37AD3">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预算资金：一定时期（本年度或项目期）内预算安排到具体项目的资金。</w:t>
            </w:r>
          </w:p>
        </w:tc>
      </w:tr>
      <w:tr w14:paraId="21DA5B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2CFFF097">
            <w:pPr>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7DA590C2">
            <w:pPr>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7DBBC4CD">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预算执行率</w:t>
            </w:r>
          </w:p>
        </w:tc>
        <w:tc>
          <w:tcPr>
            <w:tcW w:w="1886" w:type="dxa"/>
            <w:tcBorders>
              <w:tl2br w:val="nil"/>
              <w:tr2bl w:val="nil"/>
            </w:tcBorders>
            <w:shd w:val="clear" w:color="auto" w:fill="FFFFFF"/>
            <w:vAlign w:val="center"/>
          </w:tcPr>
          <w:p w14:paraId="7364B340">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5A1FB1A0">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预算执行率=（实际支出资金/实际到位资金）×100%。</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实际支出资金：一定时期（本年度或项目期）内项目实际拨付的资金。</w:t>
            </w:r>
          </w:p>
        </w:tc>
      </w:tr>
      <w:tr w14:paraId="24FBAD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491DCAF7">
            <w:pPr>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过程</w:t>
            </w:r>
          </w:p>
        </w:tc>
        <w:tc>
          <w:tcPr>
            <w:tcW w:w="1199" w:type="dxa"/>
            <w:tcBorders>
              <w:tl2br w:val="nil"/>
              <w:tr2bl w:val="nil"/>
            </w:tcBorders>
            <w:shd w:val="clear" w:color="auto" w:fill="FFFFFF"/>
            <w:vAlign w:val="center"/>
          </w:tcPr>
          <w:p w14:paraId="23162AC5">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资金管理</w:t>
            </w:r>
          </w:p>
        </w:tc>
        <w:tc>
          <w:tcPr>
            <w:tcW w:w="2314" w:type="dxa"/>
            <w:tcBorders>
              <w:tl2br w:val="nil"/>
              <w:tr2bl w:val="nil"/>
            </w:tcBorders>
            <w:shd w:val="clear" w:color="auto" w:fill="FFFFFF"/>
            <w:vAlign w:val="center"/>
          </w:tcPr>
          <w:p w14:paraId="53479878">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资金使用</w:t>
            </w:r>
          </w:p>
          <w:p w14:paraId="2436401F">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合规性</w:t>
            </w:r>
          </w:p>
        </w:tc>
        <w:tc>
          <w:tcPr>
            <w:tcW w:w="1886" w:type="dxa"/>
            <w:tcBorders>
              <w:tl2br w:val="nil"/>
              <w:tr2bl w:val="nil"/>
            </w:tcBorders>
            <w:shd w:val="clear" w:color="000000" w:fill="FFFFFF"/>
            <w:vAlign w:val="center"/>
          </w:tcPr>
          <w:p w14:paraId="48F89649">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16A989F">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①是否符合国家财经法规和财务管理制度以及有关专项资金管理办法的规定；</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②资金的拨付是否有完整的审批程序和手续；</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③是否符合项目预算批复或合同规定的用途；</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④是否存在截留、挤占、挪用、虚列支出等情况。</w:t>
            </w:r>
          </w:p>
        </w:tc>
      </w:tr>
      <w:tr w14:paraId="0627A1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1E06B226">
            <w:pPr>
              <w:ind w:firstLine="0" w:firstLineChars="0"/>
              <w:jc w:val="center"/>
              <w:rPr>
                <w:rFonts w:ascii="Times New Roman" w:hAnsi="Times New Roman" w:eastAsia="宋体" w:cs="宋体"/>
                <w:color w:val="000000"/>
                <w:kern w:val="0"/>
                <w:sz w:val="22"/>
              </w:rPr>
            </w:pPr>
          </w:p>
        </w:tc>
        <w:tc>
          <w:tcPr>
            <w:tcW w:w="1199" w:type="dxa"/>
            <w:vMerge w:val="restart"/>
            <w:tcBorders>
              <w:tl2br w:val="nil"/>
              <w:tr2bl w:val="nil"/>
            </w:tcBorders>
            <w:shd w:val="clear" w:color="auto" w:fill="FFFFFF"/>
            <w:vAlign w:val="center"/>
          </w:tcPr>
          <w:p w14:paraId="400AEE66">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组织实施</w:t>
            </w:r>
          </w:p>
        </w:tc>
        <w:tc>
          <w:tcPr>
            <w:tcW w:w="2314" w:type="dxa"/>
            <w:tcBorders>
              <w:tl2br w:val="nil"/>
              <w:tr2bl w:val="nil"/>
            </w:tcBorders>
            <w:shd w:val="clear" w:color="auto" w:fill="FFFFFF"/>
            <w:vAlign w:val="center"/>
          </w:tcPr>
          <w:p w14:paraId="42027111">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管理制度</w:t>
            </w:r>
          </w:p>
          <w:p w14:paraId="5715E4FC">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健全性</w:t>
            </w:r>
          </w:p>
        </w:tc>
        <w:tc>
          <w:tcPr>
            <w:tcW w:w="1886" w:type="dxa"/>
            <w:tcBorders>
              <w:tl2br w:val="nil"/>
              <w:tr2bl w:val="nil"/>
            </w:tcBorders>
            <w:shd w:val="clear" w:color="000000" w:fill="FFFFFF"/>
            <w:vAlign w:val="center"/>
          </w:tcPr>
          <w:p w14:paraId="102B0587">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7C5A54B4">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①是否已制定或具有相应的财务和业务管理制度；</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②财务和业务管理制度是否合法、合规、完整。</w:t>
            </w:r>
          </w:p>
        </w:tc>
      </w:tr>
      <w:tr w14:paraId="1E88EE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48BC8EF1">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614E1A44">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1ACE732D">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制度执行</w:t>
            </w:r>
          </w:p>
          <w:p w14:paraId="06DCB175">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有效性</w:t>
            </w:r>
          </w:p>
        </w:tc>
        <w:tc>
          <w:tcPr>
            <w:tcW w:w="1886" w:type="dxa"/>
            <w:tcBorders>
              <w:tl2br w:val="nil"/>
              <w:tr2bl w:val="nil"/>
            </w:tcBorders>
            <w:shd w:val="clear" w:color="000000" w:fill="FFFFFF"/>
            <w:vAlign w:val="center"/>
          </w:tcPr>
          <w:p w14:paraId="07B79A9A">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738D3C64">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评价要点：</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①是否遵守相关法律法规和相关管理规定；</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②项目调整及支出调整手续是否完备；</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③项目合同书、验收报告、技术鉴定等资料是否齐全并及时归档；</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④项目实施的人员条件、场地设备、信息支撑等是否落实到位。</w:t>
            </w:r>
          </w:p>
        </w:tc>
      </w:tr>
      <w:tr w14:paraId="555302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1155" w:type="dxa"/>
            <w:vMerge w:val="restart"/>
            <w:tcBorders>
              <w:tl2br w:val="nil"/>
              <w:tr2bl w:val="nil"/>
            </w:tcBorders>
            <w:shd w:val="clear" w:color="auto" w:fill="FFFFFF"/>
            <w:vAlign w:val="center"/>
          </w:tcPr>
          <w:p w14:paraId="2E2F1E2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产出</w:t>
            </w:r>
          </w:p>
        </w:tc>
        <w:tc>
          <w:tcPr>
            <w:tcW w:w="1199" w:type="dxa"/>
            <w:vMerge w:val="restart"/>
            <w:tcBorders>
              <w:tl2br w:val="nil"/>
              <w:tr2bl w:val="nil"/>
            </w:tcBorders>
            <w:shd w:val="clear" w:color="auto" w:fill="FFFFFF"/>
            <w:vAlign w:val="center"/>
          </w:tcPr>
          <w:p w14:paraId="1AC49623">
            <w:pPr>
              <w:widowControl/>
              <w:ind w:firstLine="0" w:firstLineChars="0"/>
              <w:jc w:val="center"/>
              <w:rPr>
                <w:rFonts w:hint="eastAsia" w:ascii="Times New Roman" w:hAnsi="Times New Roman" w:eastAsia="宋体" w:cs="宋体"/>
                <w:color w:val="000000"/>
                <w:kern w:val="0"/>
                <w:sz w:val="22"/>
              </w:rPr>
            </w:pPr>
            <w:r>
              <w:rPr>
                <w:rFonts w:hint="eastAsia" w:ascii="Times New Roman" w:hAnsi="Times New Roman" w:eastAsia="宋体" w:cs="宋体"/>
                <w:color w:val="000000"/>
                <w:kern w:val="0"/>
                <w:sz w:val="22"/>
              </w:rPr>
              <w:t>产出数量</w:t>
            </w:r>
          </w:p>
        </w:tc>
        <w:tc>
          <w:tcPr>
            <w:tcW w:w="2314" w:type="dxa"/>
            <w:tcBorders>
              <w:tl2br w:val="nil"/>
              <w:tr2bl w:val="nil"/>
            </w:tcBorders>
            <w:shd w:val="clear" w:color="auto" w:fill="FFFFFF"/>
            <w:vAlign w:val="center"/>
          </w:tcPr>
          <w:p w14:paraId="611B2903">
            <w:pPr>
              <w:widowControl/>
              <w:ind w:firstLine="0" w:firstLineChars="0"/>
              <w:jc w:val="center"/>
              <w:rPr>
                <w:rFonts w:hint="eastAsia" w:ascii="Times New Roman" w:hAnsi="Times New Roman" w:eastAsia="宋体" w:cs="宋体"/>
                <w:color w:val="000000"/>
                <w:kern w:val="0"/>
                <w:sz w:val="22"/>
                <w:lang w:eastAsia="zh-CN"/>
              </w:rPr>
            </w:pPr>
            <w:r>
              <w:rPr>
                <w:rFonts w:hint="eastAsia" w:ascii="Times New Roman" w:hAnsi="Times New Roman" w:eastAsia="宋体" w:cs="宋体"/>
                <w:color w:val="000000"/>
                <w:kern w:val="0"/>
                <w:sz w:val="22"/>
                <w:lang w:eastAsia="zh-CN"/>
              </w:rPr>
              <w:t>新疆血液信息数据中心系统的更新维护项目</w:t>
            </w:r>
          </w:p>
        </w:tc>
        <w:tc>
          <w:tcPr>
            <w:tcW w:w="1886" w:type="dxa"/>
            <w:vMerge w:val="restart"/>
            <w:tcBorders>
              <w:tl2br w:val="nil"/>
              <w:tr2bl w:val="nil"/>
            </w:tcBorders>
            <w:shd w:val="clear" w:color="000000" w:fill="FFFFFF"/>
            <w:vAlign w:val="center"/>
          </w:tcPr>
          <w:p w14:paraId="04F25105">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75414C9C">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实际完成率=（实际产出数/计划产出数）×100%。</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实际产出数：一定时期（本年度或项目期）内项目实际产出的产品或提供的服务数量。</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计划产出数：项目绩效目标确定的在一定时期（本年度或项目期）内计划产出的产品或提供的服务数量。</w:t>
            </w:r>
          </w:p>
        </w:tc>
      </w:tr>
      <w:tr w14:paraId="58D4ED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1155" w:type="dxa"/>
            <w:vMerge w:val="continue"/>
            <w:tcBorders>
              <w:tl2br w:val="nil"/>
              <w:tr2bl w:val="nil"/>
            </w:tcBorders>
            <w:shd w:val="clear" w:color="auto" w:fill="FFFFFF"/>
            <w:vAlign w:val="center"/>
          </w:tcPr>
          <w:p w14:paraId="4556403F">
            <w:pPr>
              <w:widowControl/>
              <w:ind w:firstLine="0" w:firstLineChars="0"/>
              <w:jc w:val="center"/>
              <w:rPr>
                <w:rFonts w:ascii="Times New Roman" w:hAnsi="Times New Roman"/>
              </w:rPr>
            </w:pPr>
          </w:p>
        </w:tc>
        <w:tc>
          <w:tcPr>
            <w:tcW w:w="1199" w:type="dxa"/>
            <w:vMerge w:val="continue"/>
            <w:tcBorders>
              <w:tl2br w:val="nil"/>
              <w:tr2bl w:val="nil"/>
            </w:tcBorders>
            <w:shd w:val="clear" w:color="auto" w:fill="FFFFFF"/>
            <w:vAlign w:val="center"/>
          </w:tcPr>
          <w:p w14:paraId="164DB001">
            <w:pPr>
              <w:widowControl/>
              <w:ind w:firstLine="0" w:firstLineChars="0"/>
              <w:jc w:val="center"/>
              <w:rPr>
                <w:rFonts w:ascii="Times New Roman" w:hAnsi="Times New Roman"/>
              </w:rPr>
            </w:pPr>
          </w:p>
        </w:tc>
        <w:tc>
          <w:tcPr>
            <w:tcW w:w="2314" w:type="dxa"/>
            <w:tcBorders>
              <w:tl2br w:val="nil"/>
              <w:tr2bl w:val="nil"/>
            </w:tcBorders>
            <w:shd w:val="clear" w:color="auto" w:fill="FFFFFF"/>
            <w:vAlign w:val="center"/>
          </w:tcPr>
          <w:p w14:paraId="4AD1E2E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血站智慧化建设项目</w:t>
            </w:r>
          </w:p>
        </w:tc>
        <w:tc>
          <w:tcPr>
            <w:tcW w:w="1886" w:type="dxa"/>
            <w:vMerge w:val="continue"/>
            <w:tcBorders>
              <w:tl2br w:val="nil"/>
              <w:tr2bl w:val="nil"/>
            </w:tcBorders>
            <w:shd w:val="clear" w:color="000000" w:fill="FFFFFF"/>
            <w:vAlign w:val="center"/>
          </w:tcPr>
          <w:p w14:paraId="7B2AF3C7">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1AAA4850">
            <w:pPr>
              <w:widowControl/>
              <w:ind w:firstLine="0" w:firstLineChars="0"/>
              <w:jc w:val="center"/>
              <w:rPr>
                <w:rFonts w:ascii="Times New Roman" w:hAnsi="Times New Roman" w:eastAsia="宋体" w:cs="宋体"/>
                <w:color w:val="000000"/>
                <w:kern w:val="0"/>
                <w:sz w:val="22"/>
              </w:rPr>
            </w:pPr>
          </w:p>
        </w:tc>
      </w:tr>
      <w:tr w14:paraId="69768D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1155" w:type="dxa"/>
            <w:vMerge w:val="continue"/>
            <w:tcBorders>
              <w:tl2br w:val="nil"/>
              <w:tr2bl w:val="nil"/>
            </w:tcBorders>
            <w:shd w:val="clear" w:color="auto" w:fill="FFFFFF"/>
            <w:vAlign w:val="center"/>
          </w:tcPr>
          <w:p w14:paraId="563786B1">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225A0D3B">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76E21665">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核酸检测试剂</w:t>
            </w:r>
          </w:p>
        </w:tc>
        <w:tc>
          <w:tcPr>
            <w:tcW w:w="1886" w:type="dxa"/>
            <w:vMerge w:val="continue"/>
            <w:tcBorders>
              <w:tl2br w:val="nil"/>
              <w:tr2bl w:val="nil"/>
            </w:tcBorders>
            <w:shd w:val="clear" w:color="000000" w:fill="FFFFFF"/>
            <w:vAlign w:val="center"/>
          </w:tcPr>
          <w:p w14:paraId="3B939640">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082082C3">
            <w:pPr>
              <w:widowControl/>
              <w:ind w:firstLine="0" w:firstLineChars="0"/>
              <w:jc w:val="center"/>
              <w:rPr>
                <w:rFonts w:ascii="Times New Roman" w:hAnsi="Times New Roman" w:eastAsia="宋体" w:cs="宋体"/>
                <w:color w:val="000000"/>
                <w:kern w:val="0"/>
                <w:sz w:val="22"/>
              </w:rPr>
            </w:pPr>
          </w:p>
        </w:tc>
      </w:tr>
      <w:tr w14:paraId="499F2C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1155" w:type="dxa"/>
            <w:vMerge w:val="continue"/>
            <w:tcBorders>
              <w:tl2br w:val="nil"/>
              <w:tr2bl w:val="nil"/>
            </w:tcBorders>
            <w:shd w:val="clear" w:color="auto" w:fill="FFFFFF"/>
            <w:vAlign w:val="center"/>
          </w:tcPr>
          <w:p w14:paraId="593C2EA0">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3C60102E">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3B5F4FF3">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哨点监测</w:t>
            </w:r>
          </w:p>
        </w:tc>
        <w:tc>
          <w:tcPr>
            <w:tcW w:w="1886" w:type="dxa"/>
            <w:vMerge w:val="continue"/>
            <w:tcBorders>
              <w:tl2br w:val="nil"/>
              <w:tr2bl w:val="nil"/>
            </w:tcBorders>
            <w:shd w:val="clear" w:color="000000" w:fill="FFFFFF"/>
            <w:vAlign w:val="center"/>
          </w:tcPr>
          <w:p w14:paraId="7259284F">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20C241A6">
            <w:pPr>
              <w:widowControl/>
              <w:ind w:firstLine="0" w:firstLineChars="0"/>
              <w:jc w:val="center"/>
              <w:rPr>
                <w:rFonts w:ascii="Times New Roman" w:hAnsi="Times New Roman" w:eastAsia="宋体" w:cs="宋体"/>
                <w:color w:val="000000"/>
                <w:kern w:val="0"/>
                <w:sz w:val="22"/>
              </w:rPr>
            </w:pPr>
          </w:p>
        </w:tc>
      </w:tr>
      <w:tr w14:paraId="48260C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1155" w:type="dxa"/>
            <w:vMerge w:val="continue"/>
            <w:tcBorders>
              <w:tl2br w:val="nil"/>
              <w:tr2bl w:val="nil"/>
            </w:tcBorders>
            <w:shd w:val="clear" w:color="auto" w:fill="FFFFFF"/>
            <w:vAlign w:val="center"/>
          </w:tcPr>
          <w:p w14:paraId="64A502CF">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6F5547EC">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16EBBF7E">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无偿献血宣传合作媒体数量</w:t>
            </w:r>
          </w:p>
        </w:tc>
        <w:tc>
          <w:tcPr>
            <w:tcW w:w="1886" w:type="dxa"/>
            <w:vMerge w:val="continue"/>
            <w:tcBorders>
              <w:tl2br w:val="nil"/>
              <w:tr2bl w:val="nil"/>
            </w:tcBorders>
            <w:shd w:val="clear" w:color="000000" w:fill="FFFFFF"/>
            <w:vAlign w:val="center"/>
          </w:tcPr>
          <w:p w14:paraId="5A477F66">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69F3EAEE">
            <w:pPr>
              <w:widowControl/>
              <w:ind w:firstLine="0" w:firstLineChars="0"/>
              <w:jc w:val="center"/>
              <w:rPr>
                <w:rFonts w:ascii="Times New Roman" w:hAnsi="Times New Roman" w:eastAsia="宋体" w:cs="宋体"/>
                <w:color w:val="000000"/>
                <w:kern w:val="0"/>
                <w:sz w:val="22"/>
              </w:rPr>
            </w:pPr>
          </w:p>
        </w:tc>
      </w:tr>
      <w:tr w14:paraId="38D296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restart"/>
            <w:tcBorders>
              <w:tl2br w:val="nil"/>
              <w:tr2bl w:val="nil"/>
            </w:tcBorders>
            <w:shd w:val="clear" w:color="auto" w:fill="FFFFFF"/>
            <w:vAlign w:val="center"/>
          </w:tcPr>
          <w:p w14:paraId="2B1B5CF5">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产出</w:t>
            </w:r>
          </w:p>
        </w:tc>
        <w:tc>
          <w:tcPr>
            <w:tcW w:w="1199" w:type="dxa"/>
            <w:vMerge w:val="restart"/>
            <w:tcBorders>
              <w:tl2br w:val="nil"/>
              <w:tr2bl w:val="nil"/>
            </w:tcBorders>
            <w:shd w:val="clear" w:color="auto" w:fill="FFFFFF"/>
            <w:vAlign w:val="center"/>
          </w:tcPr>
          <w:p w14:paraId="62CC9FD1">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产出质量</w:t>
            </w:r>
          </w:p>
        </w:tc>
        <w:tc>
          <w:tcPr>
            <w:tcW w:w="2314" w:type="dxa"/>
            <w:tcBorders>
              <w:tl2br w:val="nil"/>
              <w:tr2bl w:val="nil"/>
            </w:tcBorders>
            <w:shd w:val="clear" w:color="auto" w:fill="FFFFFF"/>
            <w:vAlign w:val="center"/>
          </w:tcPr>
          <w:p w14:paraId="4E5F460F">
            <w:pPr>
              <w:widowControl/>
              <w:ind w:firstLine="0" w:firstLineChars="0"/>
              <w:jc w:val="center"/>
              <w:rPr>
                <w:rFonts w:ascii="Times New Roman" w:hAnsi="Times New Roman" w:eastAsia="宋体" w:cs="宋体"/>
                <w:color w:val="000000"/>
                <w:kern w:val="0"/>
                <w:sz w:val="22"/>
              </w:rPr>
            </w:pPr>
            <w:r>
              <w:rPr>
                <w:rFonts w:ascii="Times New Roman" w:hAnsi="Times New Roman" w:eastAsia="宋体" w:cs="宋体"/>
                <w:color w:val="000000"/>
                <w:kern w:val="0"/>
                <w:sz w:val="22"/>
              </w:rPr>
              <w:t>临床用血核酸检测覆盖率</w:t>
            </w:r>
          </w:p>
        </w:tc>
        <w:tc>
          <w:tcPr>
            <w:tcW w:w="1886" w:type="dxa"/>
            <w:vMerge w:val="restart"/>
            <w:tcBorders>
              <w:tl2br w:val="nil"/>
              <w:tr2bl w:val="nil"/>
            </w:tcBorders>
            <w:shd w:val="clear" w:color="000000" w:fill="FFFFFF"/>
            <w:vAlign w:val="center"/>
          </w:tcPr>
          <w:p w14:paraId="48EA5A6B">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3F8EFE3B">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质量达标率=（质量达标产出数/实际产出数）×100%。</w:t>
            </w:r>
          </w:p>
          <w:p w14:paraId="6633D261">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1358A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28F816A1">
            <w:pPr>
              <w:widowControl/>
              <w:ind w:firstLine="0" w:firstLineChars="0"/>
              <w:jc w:val="center"/>
              <w:rPr>
                <w:rFonts w:ascii="Times New Roman" w:hAnsi="Times New Roman"/>
              </w:rPr>
            </w:pPr>
          </w:p>
        </w:tc>
        <w:tc>
          <w:tcPr>
            <w:tcW w:w="1199" w:type="dxa"/>
            <w:vMerge w:val="continue"/>
            <w:tcBorders>
              <w:tl2br w:val="nil"/>
              <w:tr2bl w:val="nil"/>
            </w:tcBorders>
            <w:shd w:val="clear" w:color="auto" w:fill="FFFFFF"/>
            <w:vAlign w:val="center"/>
          </w:tcPr>
          <w:p w14:paraId="282646D7">
            <w:pPr>
              <w:widowControl/>
              <w:ind w:firstLine="0" w:firstLineChars="0"/>
              <w:jc w:val="center"/>
              <w:rPr>
                <w:rFonts w:ascii="Times New Roman" w:hAnsi="Times New Roman"/>
              </w:rPr>
            </w:pPr>
          </w:p>
        </w:tc>
        <w:tc>
          <w:tcPr>
            <w:tcW w:w="2314" w:type="dxa"/>
            <w:tcBorders>
              <w:tl2br w:val="nil"/>
              <w:tr2bl w:val="nil"/>
            </w:tcBorders>
            <w:shd w:val="clear" w:color="auto" w:fill="FFFFFF"/>
            <w:vAlign w:val="center"/>
          </w:tcPr>
          <w:p w14:paraId="76F2EA18">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符合《血站质量管理规范》</w:t>
            </w:r>
          </w:p>
        </w:tc>
        <w:tc>
          <w:tcPr>
            <w:tcW w:w="1886" w:type="dxa"/>
            <w:vMerge w:val="continue"/>
            <w:tcBorders>
              <w:tl2br w:val="nil"/>
              <w:tr2bl w:val="nil"/>
            </w:tcBorders>
            <w:shd w:val="clear" w:color="000000" w:fill="FFFFFF"/>
            <w:vAlign w:val="center"/>
          </w:tcPr>
          <w:p w14:paraId="4F2DA089">
            <w:pPr>
              <w:widowControl/>
              <w:ind w:firstLine="0" w:firstLineChars="0"/>
              <w:jc w:val="center"/>
              <w:rPr>
                <w:rFonts w:ascii="Times New Roman" w:hAnsi="Times New Roman"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2491CD99">
            <w:pPr>
              <w:widowControl/>
              <w:ind w:firstLine="0" w:firstLineChars="0"/>
              <w:jc w:val="center"/>
              <w:rPr>
                <w:rFonts w:ascii="Times New Roman" w:hAnsi="Times New Roman" w:eastAsia="宋体" w:cs="宋体"/>
                <w:color w:val="000000"/>
                <w:kern w:val="0"/>
                <w:sz w:val="22"/>
                <w:highlight w:val="yellow"/>
              </w:rPr>
            </w:pPr>
          </w:p>
        </w:tc>
      </w:tr>
      <w:tr w14:paraId="6FBBD9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54EA473F">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6A2EE37B">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064E1D04">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符合《血站技术操作规程》</w:t>
            </w:r>
          </w:p>
        </w:tc>
        <w:tc>
          <w:tcPr>
            <w:tcW w:w="1886" w:type="dxa"/>
            <w:vMerge w:val="continue"/>
            <w:tcBorders>
              <w:tl2br w:val="nil"/>
              <w:tr2bl w:val="nil"/>
            </w:tcBorders>
            <w:shd w:val="clear" w:color="000000" w:fill="FFFFFF"/>
            <w:vAlign w:val="center"/>
          </w:tcPr>
          <w:p w14:paraId="285E8D86">
            <w:pPr>
              <w:widowControl/>
              <w:ind w:firstLine="0" w:firstLineChars="0"/>
              <w:jc w:val="center"/>
              <w:rPr>
                <w:rFonts w:ascii="Times New Roman" w:hAnsi="Times New Roman"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2571BB37">
            <w:pPr>
              <w:widowControl/>
              <w:ind w:firstLine="0" w:firstLineChars="0"/>
              <w:jc w:val="center"/>
              <w:rPr>
                <w:rFonts w:ascii="Times New Roman" w:hAnsi="Times New Roman" w:eastAsia="宋体" w:cs="宋体"/>
                <w:color w:val="000000"/>
                <w:kern w:val="0"/>
                <w:sz w:val="22"/>
                <w:highlight w:val="yellow"/>
              </w:rPr>
            </w:pPr>
          </w:p>
        </w:tc>
      </w:tr>
      <w:tr w14:paraId="6A2625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78B84FB3">
            <w:pPr>
              <w:widowControl/>
              <w:ind w:firstLine="0" w:firstLineChars="0"/>
              <w:jc w:val="center"/>
              <w:rPr>
                <w:rFonts w:ascii="Times New Roman" w:hAnsi="Times New Roman" w:eastAsia="宋体" w:cs="宋体"/>
                <w:color w:val="000000"/>
                <w:kern w:val="0"/>
                <w:sz w:val="22"/>
              </w:rPr>
            </w:pPr>
          </w:p>
        </w:tc>
        <w:tc>
          <w:tcPr>
            <w:tcW w:w="1199" w:type="dxa"/>
            <w:tcBorders>
              <w:tl2br w:val="nil"/>
              <w:tr2bl w:val="nil"/>
            </w:tcBorders>
            <w:shd w:val="clear" w:color="auto" w:fill="FFFFFF"/>
            <w:vAlign w:val="center"/>
          </w:tcPr>
          <w:p w14:paraId="0422274C">
            <w:pPr>
              <w:widowControl/>
              <w:ind w:firstLine="0" w:firstLineChars="0"/>
              <w:jc w:val="center"/>
              <w:rPr>
                <w:rFonts w:hint="eastAsia" w:ascii="Times New Roman" w:hAnsi="Times New Roman" w:eastAsia="宋体" w:cs="宋体"/>
                <w:color w:val="000000"/>
                <w:kern w:val="0"/>
                <w:sz w:val="22"/>
              </w:rPr>
            </w:pPr>
            <w:r>
              <w:rPr>
                <w:rFonts w:hint="eastAsia" w:ascii="Times New Roman" w:hAnsi="Times New Roman" w:eastAsia="宋体" w:cs="宋体"/>
                <w:color w:val="000000"/>
                <w:kern w:val="0"/>
                <w:sz w:val="22"/>
              </w:rPr>
              <w:t>产出时效</w:t>
            </w:r>
          </w:p>
        </w:tc>
        <w:tc>
          <w:tcPr>
            <w:tcW w:w="2314" w:type="dxa"/>
            <w:tcBorders>
              <w:tl2br w:val="nil"/>
              <w:tr2bl w:val="nil"/>
            </w:tcBorders>
            <w:shd w:val="clear" w:color="auto" w:fill="FFFFFF"/>
            <w:vAlign w:val="center"/>
          </w:tcPr>
          <w:p w14:paraId="020DB6C9">
            <w:pPr>
              <w:widowControl/>
              <w:ind w:firstLine="0" w:firstLineChars="0"/>
              <w:jc w:val="center"/>
              <w:rPr>
                <w:rFonts w:hint="eastAsia" w:ascii="Times New Roman" w:hAnsi="Times New Roman" w:eastAsia="宋体" w:cs="宋体"/>
                <w:color w:val="000000"/>
                <w:kern w:val="0"/>
                <w:sz w:val="22"/>
              </w:rPr>
            </w:pPr>
            <w:r>
              <w:rPr>
                <w:rFonts w:hint="eastAsia" w:ascii="Times New Roman" w:hAnsi="Times New Roman" w:eastAsia="宋体" w:cs="宋体"/>
                <w:color w:val="000000"/>
                <w:kern w:val="0"/>
                <w:sz w:val="22"/>
              </w:rPr>
              <w:t>项目按时完成率</w:t>
            </w:r>
          </w:p>
        </w:tc>
        <w:tc>
          <w:tcPr>
            <w:tcW w:w="1886" w:type="dxa"/>
            <w:tcBorders>
              <w:tl2br w:val="nil"/>
              <w:tr2bl w:val="nil"/>
            </w:tcBorders>
            <w:shd w:val="clear" w:color="000000" w:fill="FFFFFF"/>
            <w:vAlign w:val="center"/>
          </w:tcPr>
          <w:p w14:paraId="7539489B">
            <w:pPr>
              <w:widowControl/>
              <w:ind w:firstLine="0" w:firstLineChars="0"/>
              <w:rPr>
                <w:rFonts w:hint="eastAsia" w:ascii="Times New Roman" w:hAnsi="Times New Roman" w:eastAsia="宋体" w:cs="宋体"/>
                <w:color w:val="000000"/>
                <w:kern w:val="0"/>
                <w:sz w:val="22"/>
              </w:rPr>
            </w:pPr>
            <w:r>
              <w:rPr>
                <w:rFonts w:hint="eastAsia" w:ascii="Times New Roman" w:hAnsi="Times New Roman"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1EEF1DD">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实际完成时间：项目实施单位完成该项目实际所耗用的时间。</w:t>
            </w:r>
          </w:p>
          <w:p w14:paraId="6F2289F3">
            <w:pPr>
              <w:widowControl/>
              <w:ind w:firstLine="0" w:firstLineChars="0"/>
              <w:rPr>
                <w:rFonts w:hint="eastAsia" w:ascii="Times New Roman" w:hAnsi="Times New Roman" w:eastAsia="宋体" w:cs="宋体"/>
                <w:color w:val="000000"/>
                <w:kern w:val="0"/>
                <w:sz w:val="22"/>
              </w:rPr>
            </w:pPr>
            <w:r>
              <w:rPr>
                <w:rFonts w:ascii="Times New Roman" w:hAnsi="Times New Roman" w:eastAsia="宋体" w:cs="宋体"/>
                <w:color w:val="000000"/>
                <w:kern w:val="0"/>
                <w:sz w:val="22"/>
              </w:rPr>
              <w:t>计划完成时间：按照项目实施计划或相关规定完成该项目所需的时间。</w:t>
            </w:r>
          </w:p>
        </w:tc>
      </w:tr>
      <w:tr w14:paraId="7D289B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2B1DACC2">
            <w:pPr>
              <w:widowControl/>
              <w:ind w:firstLine="0" w:firstLineChars="0"/>
              <w:jc w:val="center"/>
              <w:rPr>
                <w:rFonts w:ascii="Times New Roman" w:hAnsi="Times New Roman" w:eastAsia="宋体" w:cs="宋体"/>
                <w:color w:val="000000"/>
                <w:kern w:val="0"/>
                <w:sz w:val="22"/>
              </w:rPr>
            </w:pPr>
          </w:p>
        </w:tc>
        <w:tc>
          <w:tcPr>
            <w:tcW w:w="1199" w:type="dxa"/>
            <w:vMerge w:val="restart"/>
            <w:tcBorders>
              <w:tl2br w:val="nil"/>
              <w:tr2bl w:val="nil"/>
            </w:tcBorders>
            <w:shd w:val="clear" w:color="auto" w:fill="FFFFFF"/>
            <w:vAlign w:val="center"/>
          </w:tcPr>
          <w:p w14:paraId="34201569">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产出成本</w:t>
            </w:r>
          </w:p>
        </w:tc>
        <w:tc>
          <w:tcPr>
            <w:tcW w:w="2314" w:type="dxa"/>
            <w:tcBorders>
              <w:tl2br w:val="nil"/>
              <w:tr2bl w:val="nil"/>
            </w:tcBorders>
            <w:shd w:val="clear" w:color="auto" w:fill="FFFFFF"/>
            <w:vAlign w:val="center"/>
          </w:tcPr>
          <w:p w14:paraId="2386F19F">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新疆血液信息数据中心系统的更新维护</w:t>
            </w:r>
          </w:p>
        </w:tc>
        <w:tc>
          <w:tcPr>
            <w:tcW w:w="1886" w:type="dxa"/>
            <w:vMerge w:val="restart"/>
            <w:tcBorders>
              <w:tl2br w:val="nil"/>
              <w:tr2bl w:val="nil"/>
            </w:tcBorders>
            <w:shd w:val="clear" w:color="000000" w:fill="FFFFFF"/>
            <w:vAlign w:val="center"/>
          </w:tcPr>
          <w:p w14:paraId="50334204">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77DC3DE0">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成本节约率=[（计划成本-实际成本）/计划成本]×100%。</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实际成本：项目实施单位如期、保质、保量完成既定工作目标实际所耗费的支出。</w:t>
            </w:r>
            <w:r>
              <w:rPr>
                <w:rFonts w:hint="eastAsia" w:ascii="Times New Roman" w:hAnsi="Times New Roman" w:eastAsia="宋体" w:cs="宋体"/>
                <w:color w:val="000000"/>
                <w:kern w:val="0"/>
                <w:sz w:val="22"/>
              </w:rPr>
              <w:br w:type="textWrapping"/>
            </w:r>
            <w:r>
              <w:rPr>
                <w:rFonts w:hint="eastAsia" w:ascii="Times New Roman" w:hAnsi="Times New Roman" w:eastAsia="宋体" w:cs="宋体"/>
                <w:color w:val="000000"/>
                <w:kern w:val="0"/>
                <w:sz w:val="22"/>
              </w:rPr>
              <w:t>计划成本：项目实施单位为完成工作目标计划安排的支出，一般以项目预算为参考。</w:t>
            </w:r>
          </w:p>
        </w:tc>
      </w:tr>
      <w:tr w14:paraId="102742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72D35B1E">
            <w:pPr>
              <w:widowControl/>
              <w:ind w:firstLine="0" w:firstLineChars="0"/>
              <w:jc w:val="center"/>
              <w:rPr>
                <w:rFonts w:ascii="Times New Roman" w:hAnsi="Times New Roman"/>
              </w:rPr>
            </w:pPr>
          </w:p>
        </w:tc>
        <w:tc>
          <w:tcPr>
            <w:tcW w:w="1199" w:type="dxa"/>
            <w:vMerge w:val="continue"/>
            <w:tcBorders>
              <w:tl2br w:val="nil"/>
              <w:tr2bl w:val="nil"/>
            </w:tcBorders>
            <w:shd w:val="clear" w:color="auto" w:fill="FFFFFF"/>
            <w:vAlign w:val="center"/>
          </w:tcPr>
          <w:p w14:paraId="20BB731B">
            <w:pPr>
              <w:widowControl/>
              <w:ind w:firstLine="0" w:firstLineChars="0"/>
              <w:jc w:val="center"/>
              <w:rPr>
                <w:rFonts w:ascii="Times New Roman" w:hAnsi="Times New Roman"/>
              </w:rPr>
            </w:pPr>
          </w:p>
        </w:tc>
        <w:tc>
          <w:tcPr>
            <w:tcW w:w="2314" w:type="dxa"/>
            <w:tcBorders>
              <w:tl2br w:val="nil"/>
              <w:tr2bl w:val="nil"/>
            </w:tcBorders>
            <w:shd w:val="clear" w:color="auto" w:fill="FFFFFF"/>
            <w:vAlign w:val="center"/>
          </w:tcPr>
          <w:p w14:paraId="3DB4C40E">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血站智慧化建设</w:t>
            </w:r>
          </w:p>
        </w:tc>
        <w:tc>
          <w:tcPr>
            <w:tcW w:w="1886" w:type="dxa"/>
            <w:vMerge w:val="continue"/>
            <w:tcBorders>
              <w:tl2br w:val="nil"/>
              <w:tr2bl w:val="nil"/>
            </w:tcBorders>
            <w:shd w:val="clear" w:color="000000" w:fill="FFFFFF"/>
            <w:vAlign w:val="center"/>
          </w:tcPr>
          <w:p w14:paraId="3F372845">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20EC5DC7">
            <w:pPr>
              <w:widowControl/>
              <w:ind w:firstLine="0" w:firstLineChars="0"/>
              <w:jc w:val="center"/>
              <w:rPr>
                <w:rFonts w:ascii="Times New Roman" w:hAnsi="Times New Roman" w:eastAsia="宋体" w:cs="宋体"/>
                <w:color w:val="000000"/>
                <w:kern w:val="0"/>
                <w:sz w:val="22"/>
              </w:rPr>
            </w:pPr>
          </w:p>
        </w:tc>
      </w:tr>
      <w:tr w14:paraId="38CC46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3868AE20">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05354947">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72B90491">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无偿献血宣传活动</w:t>
            </w:r>
          </w:p>
        </w:tc>
        <w:tc>
          <w:tcPr>
            <w:tcW w:w="1886" w:type="dxa"/>
            <w:vMerge w:val="continue"/>
            <w:tcBorders>
              <w:tl2br w:val="nil"/>
              <w:tr2bl w:val="nil"/>
            </w:tcBorders>
            <w:shd w:val="clear" w:color="000000" w:fill="FFFFFF"/>
            <w:vAlign w:val="center"/>
          </w:tcPr>
          <w:p w14:paraId="436DB9D0">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3918E31E">
            <w:pPr>
              <w:widowControl/>
              <w:ind w:firstLine="0" w:firstLineChars="0"/>
              <w:jc w:val="center"/>
              <w:rPr>
                <w:rFonts w:ascii="Times New Roman" w:hAnsi="Times New Roman" w:eastAsia="宋体" w:cs="宋体"/>
                <w:color w:val="000000"/>
                <w:kern w:val="0"/>
                <w:sz w:val="22"/>
              </w:rPr>
            </w:pPr>
          </w:p>
        </w:tc>
      </w:tr>
      <w:tr w14:paraId="1ADCA5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7E31AED6">
            <w:pPr>
              <w:widowControl/>
              <w:ind w:firstLine="0" w:firstLineChars="0"/>
              <w:jc w:val="center"/>
              <w:rPr>
                <w:rFonts w:ascii="Times New Roman" w:hAnsi="Times New Roman" w:eastAsia="宋体" w:cs="宋体"/>
                <w:color w:val="000000"/>
                <w:kern w:val="0"/>
                <w:sz w:val="22"/>
              </w:rPr>
            </w:pPr>
          </w:p>
        </w:tc>
        <w:tc>
          <w:tcPr>
            <w:tcW w:w="1199" w:type="dxa"/>
            <w:vMerge w:val="continue"/>
            <w:tcBorders>
              <w:tl2br w:val="nil"/>
              <w:tr2bl w:val="nil"/>
            </w:tcBorders>
            <w:shd w:val="clear" w:color="auto" w:fill="FFFFFF"/>
            <w:vAlign w:val="center"/>
          </w:tcPr>
          <w:p w14:paraId="440EE5DD">
            <w:pPr>
              <w:widowControl/>
              <w:ind w:firstLine="0" w:firstLineChars="0"/>
              <w:jc w:val="center"/>
              <w:rPr>
                <w:rFonts w:ascii="Times New Roman" w:hAnsi="Times New Roman" w:eastAsia="宋体" w:cs="宋体"/>
                <w:color w:val="000000"/>
                <w:kern w:val="0"/>
                <w:sz w:val="22"/>
              </w:rPr>
            </w:pPr>
          </w:p>
        </w:tc>
        <w:tc>
          <w:tcPr>
            <w:tcW w:w="2314" w:type="dxa"/>
            <w:tcBorders>
              <w:tl2br w:val="nil"/>
              <w:tr2bl w:val="nil"/>
            </w:tcBorders>
            <w:shd w:val="clear" w:color="auto" w:fill="FFFFFF"/>
            <w:vAlign w:val="center"/>
          </w:tcPr>
          <w:p w14:paraId="5253187B">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试剂耗材</w:t>
            </w:r>
          </w:p>
        </w:tc>
        <w:tc>
          <w:tcPr>
            <w:tcW w:w="1886" w:type="dxa"/>
            <w:vMerge w:val="continue"/>
            <w:tcBorders>
              <w:tl2br w:val="nil"/>
              <w:tr2bl w:val="nil"/>
            </w:tcBorders>
            <w:shd w:val="clear" w:color="000000" w:fill="FFFFFF"/>
            <w:vAlign w:val="center"/>
          </w:tcPr>
          <w:p w14:paraId="32CC25B9">
            <w:pPr>
              <w:widowControl/>
              <w:ind w:firstLine="0" w:firstLineChars="0"/>
              <w:jc w:val="center"/>
              <w:rPr>
                <w:rFonts w:ascii="Times New Roman" w:hAnsi="Times New Roman" w:eastAsia="宋体" w:cs="宋体"/>
                <w:color w:val="000000"/>
                <w:kern w:val="0"/>
                <w:sz w:val="22"/>
              </w:rPr>
            </w:pPr>
          </w:p>
        </w:tc>
        <w:tc>
          <w:tcPr>
            <w:tcW w:w="7341" w:type="dxa"/>
            <w:vMerge w:val="continue"/>
            <w:tcBorders>
              <w:tl2br w:val="nil"/>
              <w:tr2bl w:val="nil"/>
            </w:tcBorders>
            <w:shd w:val="clear" w:color="000000" w:fill="FFFFFF"/>
            <w:vAlign w:val="center"/>
          </w:tcPr>
          <w:p w14:paraId="34144B58">
            <w:pPr>
              <w:widowControl/>
              <w:ind w:firstLine="0" w:firstLineChars="0"/>
              <w:jc w:val="center"/>
              <w:rPr>
                <w:rFonts w:ascii="Times New Roman" w:hAnsi="Times New Roman" w:eastAsia="宋体" w:cs="宋体"/>
                <w:color w:val="000000"/>
                <w:kern w:val="0"/>
                <w:sz w:val="22"/>
              </w:rPr>
            </w:pPr>
          </w:p>
        </w:tc>
      </w:tr>
      <w:tr w14:paraId="6A4878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5B954F70">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效益</w:t>
            </w:r>
          </w:p>
        </w:tc>
        <w:tc>
          <w:tcPr>
            <w:tcW w:w="1199" w:type="dxa"/>
            <w:tcBorders>
              <w:tl2br w:val="nil"/>
              <w:tr2bl w:val="nil"/>
            </w:tcBorders>
            <w:shd w:val="clear" w:color="auto" w:fill="FFFFFF"/>
            <w:vAlign w:val="center"/>
          </w:tcPr>
          <w:p w14:paraId="1A815899">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社会效益指标</w:t>
            </w:r>
          </w:p>
        </w:tc>
        <w:tc>
          <w:tcPr>
            <w:tcW w:w="2314" w:type="dxa"/>
            <w:tcBorders>
              <w:tl2br w:val="nil"/>
              <w:tr2bl w:val="nil"/>
            </w:tcBorders>
            <w:shd w:val="clear" w:color="auto" w:fill="FFFFFF"/>
            <w:vAlign w:val="center"/>
          </w:tcPr>
          <w:p w14:paraId="1F1D8A2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提高临床用血安全</w:t>
            </w:r>
          </w:p>
        </w:tc>
        <w:tc>
          <w:tcPr>
            <w:tcW w:w="1886" w:type="dxa"/>
            <w:tcBorders>
              <w:tl2br w:val="nil"/>
              <w:tr2bl w:val="nil"/>
            </w:tcBorders>
            <w:shd w:val="clear" w:color="auto" w:fill="FFFFFF"/>
            <w:vAlign w:val="center"/>
          </w:tcPr>
          <w:p w14:paraId="41E4BDE2">
            <w:pPr>
              <w:widowControl/>
              <w:ind w:firstLine="0" w:firstLineChars="0"/>
              <w:jc w:val="left"/>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项目实施所产生的效益。</w:t>
            </w:r>
          </w:p>
        </w:tc>
        <w:tc>
          <w:tcPr>
            <w:tcW w:w="7341" w:type="dxa"/>
            <w:tcBorders>
              <w:tl2br w:val="nil"/>
              <w:tr2bl w:val="nil"/>
            </w:tcBorders>
            <w:shd w:val="clear" w:color="auto" w:fill="FFFFFF"/>
            <w:vAlign w:val="center"/>
          </w:tcPr>
          <w:p w14:paraId="0C4CC5F7">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项目实施所产生的社会效益、经济效益、生态效益、可持续影响等。可根据项目实际情况有选择地设置和细化。</w:t>
            </w:r>
          </w:p>
        </w:tc>
      </w:tr>
      <w:tr w14:paraId="30C0BF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4CF997EF">
            <w:pPr>
              <w:widowControl/>
              <w:ind w:firstLine="0" w:firstLineChars="0"/>
              <w:jc w:val="center"/>
              <w:rPr>
                <w:rFonts w:ascii="Times New Roman" w:hAnsi="Times New Roman" w:eastAsia="宋体" w:cs="宋体"/>
                <w:color w:val="000000"/>
                <w:kern w:val="0"/>
                <w:sz w:val="22"/>
              </w:rPr>
            </w:pPr>
            <w:r>
              <w:rPr>
                <w:rFonts w:ascii="Times New Roman" w:hAnsi="Times New Roman" w:eastAsia="宋体" w:cs="宋体"/>
                <w:color w:val="000000"/>
                <w:kern w:val="0"/>
                <w:sz w:val="22"/>
              </w:rPr>
              <w:t>满意度指标完成情况分析</w:t>
            </w:r>
          </w:p>
        </w:tc>
        <w:tc>
          <w:tcPr>
            <w:tcW w:w="1199" w:type="dxa"/>
            <w:tcBorders>
              <w:tl2br w:val="nil"/>
              <w:tr2bl w:val="nil"/>
            </w:tcBorders>
            <w:shd w:val="clear" w:color="auto" w:fill="FFFFFF"/>
            <w:vAlign w:val="center"/>
          </w:tcPr>
          <w:p w14:paraId="496CF764">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满意度指标</w:t>
            </w:r>
          </w:p>
        </w:tc>
        <w:tc>
          <w:tcPr>
            <w:tcW w:w="2314" w:type="dxa"/>
            <w:tcBorders>
              <w:tl2br w:val="nil"/>
              <w:tr2bl w:val="nil"/>
            </w:tcBorders>
            <w:shd w:val="clear" w:color="auto" w:fill="FFFFFF"/>
            <w:vAlign w:val="center"/>
          </w:tcPr>
          <w:p w14:paraId="317B8D32">
            <w:pPr>
              <w:widowControl/>
              <w:ind w:firstLine="0" w:firstLineChars="0"/>
              <w:jc w:val="center"/>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献血者满意度</w:t>
            </w:r>
          </w:p>
        </w:tc>
        <w:tc>
          <w:tcPr>
            <w:tcW w:w="1886" w:type="dxa"/>
            <w:tcBorders>
              <w:tl2br w:val="nil"/>
              <w:tr2bl w:val="nil"/>
            </w:tcBorders>
            <w:shd w:val="clear" w:color="000000" w:fill="FFFFFF"/>
            <w:vAlign w:val="center"/>
          </w:tcPr>
          <w:p w14:paraId="1924D0BA">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02953C71">
            <w:pPr>
              <w:widowControl/>
              <w:ind w:firstLine="0" w:firstLineChars="0"/>
              <w:rPr>
                <w:rFonts w:ascii="Times New Roman" w:hAnsi="Times New Roman" w:eastAsia="宋体" w:cs="宋体"/>
                <w:color w:val="000000"/>
                <w:kern w:val="0"/>
                <w:sz w:val="22"/>
              </w:rPr>
            </w:pPr>
            <w:r>
              <w:rPr>
                <w:rFonts w:hint="eastAsia" w:ascii="Times New Roman" w:hAnsi="Times New Roman" w:eastAsia="宋体" w:cs="宋体"/>
                <w:color w:val="000000"/>
                <w:kern w:val="0"/>
                <w:sz w:val="22"/>
              </w:rPr>
              <w:t>社会公众或服务对象是指因该项目实施而受到影响的部门（单位）、群体或个人。一般采取社会调查的方式。</w:t>
            </w:r>
          </w:p>
        </w:tc>
      </w:tr>
    </w:tbl>
    <w:p w14:paraId="624B1E35">
      <w:pPr>
        <w:ind w:firstLine="0" w:firstLineChars="0"/>
        <w:jc w:val="center"/>
        <w:rPr>
          <w:rFonts w:ascii="Times New Roman" w:hAnsi="Times New Roman"/>
        </w:rPr>
      </w:pPr>
    </w:p>
    <w:p w14:paraId="58F7A430">
      <w:pPr>
        <w:ind w:firstLine="0" w:firstLineChars="0"/>
        <w:jc w:val="center"/>
        <w:rPr>
          <w:rFonts w:ascii="Times New Roman" w:hAnsi="Times New Roman"/>
        </w:rPr>
      </w:pPr>
    </w:p>
    <w:p w14:paraId="2033119F">
      <w:pPr>
        <w:ind w:firstLine="0" w:firstLineChars="0"/>
        <w:jc w:val="center"/>
        <w:rPr>
          <w:rFonts w:ascii="Times New Roman" w:hAnsi="Times New Roman"/>
        </w:rPr>
      </w:pPr>
    </w:p>
    <w:p w14:paraId="14A592AA">
      <w:pPr>
        <w:ind w:firstLine="0" w:firstLineChars="0"/>
        <w:jc w:val="center"/>
        <w:rPr>
          <w:rFonts w:ascii="Times New Roman" w:hAnsi="Times New Roman"/>
        </w:rPr>
      </w:pPr>
    </w:p>
    <w:p w14:paraId="21C8C2AD">
      <w:pPr>
        <w:ind w:firstLine="0" w:firstLineChars="0"/>
        <w:jc w:val="center"/>
        <w:rPr>
          <w:rFonts w:ascii="Times New Roman" w:hAnsi="Times New Roman"/>
        </w:rPr>
      </w:pPr>
    </w:p>
    <w:p w14:paraId="50FDFA42">
      <w:pPr>
        <w:ind w:firstLine="0" w:firstLineChars="0"/>
        <w:jc w:val="center"/>
        <w:rPr>
          <w:rFonts w:ascii="Times New Roman" w:hAnsi="Times New Roman"/>
        </w:rPr>
        <w:sectPr>
          <w:pgSz w:w="16838" w:h="11906" w:orient="landscape"/>
          <w:pgMar w:top="1800" w:right="1440" w:bottom="1800" w:left="1440" w:header="1276" w:footer="992" w:gutter="0"/>
          <w:cols w:space="425" w:num="1"/>
          <w:docGrid w:type="lines" w:linePitch="381" w:charSpace="0"/>
        </w:sectPr>
      </w:pPr>
    </w:p>
    <w:p w14:paraId="3C495A89">
      <w:pPr>
        <w:pStyle w:val="4"/>
        <w:ind w:firstLine="643"/>
        <w:rPr>
          <w:rFonts w:ascii="Times New Roman" w:hAnsi="Times New Roman"/>
        </w:rPr>
      </w:pPr>
      <w:bookmarkStart w:id="22" w:name="_Toc13020"/>
      <w:bookmarkStart w:id="23" w:name="_Hlk67586038"/>
      <w:r>
        <w:rPr>
          <w:rFonts w:ascii="Times New Roman" w:hAnsi="Times New Roman"/>
        </w:rPr>
        <w:t>3.</w:t>
      </w:r>
      <w:r>
        <w:rPr>
          <w:rFonts w:hint="eastAsia" w:ascii="Times New Roman" w:hAnsi="Times New Roman"/>
        </w:rPr>
        <w:t>评价方法</w:t>
      </w:r>
      <w:bookmarkEnd w:id="22"/>
      <w:bookmarkEnd w:id="23"/>
    </w:p>
    <w:p w14:paraId="0AB7365D">
      <w:pPr>
        <w:spacing w:line="360" w:lineRule="auto"/>
        <w:ind w:firstLine="560"/>
        <w:rPr>
          <w:rFonts w:ascii="Times New Roman" w:hAnsi="Times New Roman"/>
        </w:rPr>
      </w:pPr>
      <w:r>
        <w:rPr>
          <w:rFonts w:hint="eastAsia" w:ascii="Times New Roman" w:hAnsi="Times New Roman"/>
        </w:rPr>
        <w:t>《关于印发&lt;项目支出绩效评价管理办法&gt;的通知》（财预〔2020〕10号）文件指出部门评价的方法主要包括成本效益分析法、比较法、因素分析法、最低成本法、公众评判法、标杆管理法等。</w:t>
      </w:r>
    </w:p>
    <w:p w14:paraId="2587F84C">
      <w:pPr>
        <w:spacing w:line="360" w:lineRule="auto"/>
        <w:ind w:firstLine="560"/>
        <w:rPr>
          <w:rFonts w:ascii="Times New Roman" w:hAnsi="Times New Roman"/>
        </w:rPr>
      </w:pPr>
      <w:r>
        <w:rPr>
          <w:rFonts w:hint="eastAsia" w:ascii="Times New Roman" w:hAnsi="Times New Roman"/>
        </w:rPr>
        <w:t>（1）成本效益分析法。是指将投入与产出、效益进行关联性分析的方法。</w:t>
      </w:r>
    </w:p>
    <w:p w14:paraId="451617BB">
      <w:pPr>
        <w:spacing w:line="360" w:lineRule="auto"/>
        <w:ind w:firstLine="560"/>
        <w:rPr>
          <w:rFonts w:ascii="Times New Roman" w:hAnsi="Times New Roman"/>
        </w:rPr>
      </w:pPr>
      <w:r>
        <w:rPr>
          <w:rFonts w:hint="eastAsia" w:ascii="Times New Roman" w:hAnsi="Times New Roman"/>
        </w:rPr>
        <w:t>（2）比较法。是指将实施情况与绩效目标、历史情况、不同部门和地区同类支出情况进行比较的方法。</w:t>
      </w:r>
    </w:p>
    <w:p w14:paraId="270CDE14">
      <w:pPr>
        <w:spacing w:line="360" w:lineRule="auto"/>
        <w:ind w:firstLine="560"/>
        <w:rPr>
          <w:rFonts w:ascii="Times New Roman" w:hAnsi="Times New Roman"/>
        </w:rPr>
      </w:pPr>
      <w:r>
        <w:rPr>
          <w:rFonts w:hint="eastAsia" w:ascii="Times New Roman" w:hAnsi="Times New Roman"/>
        </w:rPr>
        <w:t>（3）因素分析法。是指综合分析影响绩效目标实现、实施效果的内外部因素的方法。</w:t>
      </w:r>
    </w:p>
    <w:p w14:paraId="2C0ACB42">
      <w:pPr>
        <w:spacing w:line="360" w:lineRule="auto"/>
        <w:ind w:firstLine="560"/>
        <w:rPr>
          <w:rFonts w:ascii="Times New Roman" w:hAnsi="Times New Roman"/>
        </w:rPr>
      </w:pPr>
      <w:r>
        <w:rPr>
          <w:rFonts w:hint="eastAsia" w:ascii="Times New Roman" w:hAnsi="Times New Roman"/>
        </w:rPr>
        <w:t>（4）最低成本法。是指在绩效目标确定的前提下，成本最小者为优的方法。</w:t>
      </w:r>
    </w:p>
    <w:p w14:paraId="28178170">
      <w:pPr>
        <w:spacing w:line="360" w:lineRule="auto"/>
        <w:ind w:firstLine="560"/>
        <w:rPr>
          <w:rFonts w:ascii="Times New Roman" w:hAnsi="Times New Roman"/>
        </w:rPr>
      </w:pPr>
      <w:r>
        <w:rPr>
          <w:rFonts w:hint="eastAsia" w:ascii="Times New Roman" w:hAnsi="Times New Roman"/>
        </w:rPr>
        <w:t>（5）公众评判法。是指通过专家评估、公众问卷及抽样调查等方式进行评判的方法。</w:t>
      </w:r>
    </w:p>
    <w:p w14:paraId="752DB25F">
      <w:pPr>
        <w:spacing w:line="360" w:lineRule="auto"/>
        <w:ind w:firstLine="560"/>
        <w:rPr>
          <w:rFonts w:ascii="Times New Roman" w:hAnsi="Times New Roman"/>
        </w:rPr>
      </w:pPr>
      <w:r>
        <w:rPr>
          <w:rFonts w:hint="eastAsia" w:ascii="Times New Roman" w:hAnsi="Times New Roman"/>
        </w:rPr>
        <w:t>（6）标杆管理法。是指以国内外同行业中较高的绩效水平为标杆进行评判的方法。</w:t>
      </w:r>
    </w:p>
    <w:p w14:paraId="4A5C7544">
      <w:pPr>
        <w:spacing w:line="360" w:lineRule="auto"/>
        <w:ind w:firstLine="560"/>
        <w:rPr>
          <w:rFonts w:ascii="Times New Roman" w:hAnsi="Times New Roman"/>
        </w:rPr>
      </w:pPr>
      <w:r>
        <w:rPr>
          <w:rFonts w:hint="eastAsia" w:ascii="Times New Roman" w:hAnsi="Times New Roman"/>
        </w:rPr>
        <w:t>（7）其他评价方法。</w:t>
      </w:r>
    </w:p>
    <w:p w14:paraId="6B9E6DA5">
      <w:pPr>
        <w:spacing w:line="360" w:lineRule="auto"/>
        <w:ind w:firstLine="560"/>
        <w:rPr>
          <w:rFonts w:ascii="Times New Roman" w:hAnsi="Times New Roman"/>
        </w:rPr>
      </w:pPr>
      <w:r>
        <w:rPr>
          <w:rFonts w:hint="eastAsia" w:ascii="Times New Roman" w:hAnsi="Times New Roman"/>
        </w:rPr>
        <w:t>根据本项目（</w:t>
      </w:r>
      <w:r>
        <w:rPr>
          <w:rFonts w:hint="eastAsia" w:ascii="Times New Roman" w:hAnsi="Times New Roman"/>
          <w:szCs w:val="28"/>
        </w:rPr>
        <w:t>提前下达2024年重大传染病防控经费</w:t>
      </w:r>
      <w:r>
        <w:rPr>
          <w:rFonts w:hint="eastAsia" w:ascii="Times New Roman" w:hAnsi="Times New Roman"/>
        </w:rPr>
        <w:t>）的特点，本次评价主要采用比较法</w:t>
      </w:r>
      <w:r>
        <w:rPr>
          <w:rFonts w:ascii="Times New Roman" w:hAnsi="Times New Roman"/>
        </w:rPr>
        <w:t>和</w:t>
      </w:r>
      <w:r>
        <w:rPr>
          <w:rFonts w:hint="eastAsia" w:ascii="Times New Roman" w:hAnsi="Times New Roman"/>
        </w:rPr>
        <w:t>公众评判法，对项目总预算和明细预算的内容、标准、计划是否经济合理进行深入分析，以考察实际产出和效益是否达到预期。</w:t>
      </w:r>
    </w:p>
    <w:p w14:paraId="1D130402">
      <w:pPr>
        <w:pStyle w:val="4"/>
        <w:ind w:firstLine="643"/>
        <w:rPr>
          <w:rFonts w:ascii="Times New Roman" w:hAnsi="Times New Roman"/>
        </w:rPr>
      </w:pPr>
      <w:bookmarkStart w:id="24" w:name="_Toc26722"/>
      <w:r>
        <w:rPr>
          <w:rFonts w:ascii="Times New Roman" w:hAnsi="Times New Roman"/>
        </w:rPr>
        <w:t>4.</w:t>
      </w:r>
      <w:r>
        <w:rPr>
          <w:rFonts w:hint="eastAsia" w:ascii="Times New Roman" w:hAnsi="Times New Roman"/>
        </w:rPr>
        <w:t>评价标准</w:t>
      </w:r>
      <w:bookmarkEnd w:id="24"/>
    </w:p>
    <w:p w14:paraId="09692A4F">
      <w:pPr>
        <w:spacing w:line="360" w:lineRule="auto"/>
        <w:ind w:firstLine="560"/>
        <w:rPr>
          <w:rFonts w:ascii="Times New Roman" w:hAnsi="Times New Roman"/>
        </w:rPr>
      </w:pPr>
      <w:r>
        <w:rPr>
          <w:rFonts w:hint="eastAsia" w:ascii="Times New Roman" w:hAnsi="Times New Roman"/>
        </w:rPr>
        <w:t>绩效评价标准主要包括计划标准、行业标准、历史标准等，用于对绩效指标完成情况进行比较。</w:t>
      </w:r>
    </w:p>
    <w:p w14:paraId="14B4F21D">
      <w:pPr>
        <w:spacing w:line="360" w:lineRule="auto"/>
        <w:ind w:firstLine="560"/>
        <w:rPr>
          <w:rFonts w:ascii="Times New Roman" w:hAnsi="Times New Roman"/>
        </w:rPr>
      </w:pPr>
      <w:r>
        <w:rPr>
          <w:rFonts w:hint="eastAsia" w:ascii="Times New Roman" w:hAnsi="Times New Roman"/>
        </w:rPr>
        <w:t>（1）计划标准。指以预先制定的目标、计划、预算、定额等作为评价标准。</w:t>
      </w:r>
    </w:p>
    <w:p w14:paraId="613D7FF9">
      <w:pPr>
        <w:spacing w:line="360" w:lineRule="auto"/>
        <w:ind w:firstLine="560"/>
        <w:rPr>
          <w:rFonts w:ascii="Times New Roman" w:hAnsi="Times New Roman"/>
        </w:rPr>
      </w:pPr>
      <w:r>
        <w:rPr>
          <w:rFonts w:hint="eastAsia" w:ascii="Times New Roman" w:hAnsi="Times New Roman"/>
        </w:rPr>
        <w:t>（2）行业标准。指参照国家公布的行业指标数据制定的评价标准。</w:t>
      </w:r>
    </w:p>
    <w:p w14:paraId="5BC88310">
      <w:pPr>
        <w:spacing w:line="360" w:lineRule="auto"/>
        <w:ind w:firstLine="560"/>
        <w:rPr>
          <w:rFonts w:ascii="Times New Roman" w:hAnsi="Times New Roman"/>
        </w:rPr>
      </w:pPr>
      <w:r>
        <w:rPr>
          <w:rFonts w:hint="eastAsia" w:ascii="Times New Roman" w:hAnsi="Times New Roman"/>
        </w:rPr>
        <w:t>（3）历史标准。指参照历史数据制定的评价标准，为体现绩效改进的原则，在可实现的条件下应当确定相对较高的评价标准。</w:t>
      </w:r>
    </w:p>
    <w:p w14:paraId="2C3C56E7">
      <w:pPr>
        <w:spacing w:line="360" w:lineRule="auto"/>
        <w:ind w:firstLine="560"/>
        <w:rPr>
          <w:rFonts w:ascii="Times New Roman" w:hAnsi="Times New Roman"/>
        </w:rPr>
      </w:pPr>
      <w:r>
        <w:rPr>
          <w:rFonts w:hint="eastAsia" w:ascii="Times New Roman" w:hAnsi="Times New Roman"/>
        </w:rPr>
        <w:t>在上述评价标准的基础上，本次评价依据以下文件为重要指导和准绳：</w:t>
      </w:r>
    </w:p>
    <w:p w14:paraId="432917EC">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《中共中央</w:t>
      </w:r>
      <w:r>
        <w:rPr>
          <w:rFonts w:hint="eastAsia" w:ascii="Times New Roman" w:hAnsi="Times New Roman"/>
          <w:lang w:val="en-US" w:eastAsia="zh-CN"/>
        </w:rPr>
        <w:t xml:space="preserve"> </w:t>
      </w:r>
      <w:r>
        <w:rPr>
          <w:rFonts w:hint="eastAsia" w:ascii="Times New Roman" w:hAnsi="Times New Roman"/>
        </w:rPr>
        <w:t>国务院关于全面实施预算绩效管理的意见》（中发〔2018〕34号）</w:t>
      </w:r>
    </w:p>
    <w:p w14:paraId="146CEA2D">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《关于印发&lt;乌鲁木齐市本级部门预算绩效目标管理暂行办法&gt;的通知》（乌财预〔2018〕56号）</w:t>
      </w:r>
    </w:p>
    <w:p w14:paraId="32B243B1">
      <w:pPr>
        <w:spacing w:line="360" w:lineRule="auto"/>
        <w:ind w:firstLine="560" w:firstLineChars="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《关于做好2019年部门预算项目支出绩效目标管理有关事宜的通知》（乌财预〔2018〕76号）</w:t>
      </w:r>
    </w:p>
    <w:p w14:paraId="78E69B42">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《项目支出绩效评价管理办法》（财预〔2020〕10号）</w:t>
      </w:r>
    </w:p>
    <w:p w14:paraId="13E9634A">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《2019版血站技术操作规程》</w:t>
      </w:r>
    </w:p>
    <w:p w14:paraId="32F67C29">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《血站基本标准》</w:t>
      </w:r>
    </w:p>
    <w:p w14:paraId="0B41BB94">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《突发公共卫生事件应急条例》</w:t>
      </w:r>
    </w:p>
    <w:p w14:paraId="7DDB7C70">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《血站质量管理规范》</w:t>
      </w:r>
    </w:p>
    <w:p w14:paraId="572BE99A">
      <w:pPr>
        <w:spacing w:line="360" w:lineRule="auto"/>
        <w:ind w:firstLine="560"/>
        <w:rPr>
          <w:rFonts w:ascii="Times New Roman" w:hAnsi="Times New Roman"/>
        </w:rPr>
      </w:pPr>
      <w:r>
        <w:rPr>
          <w:rFonts w:hint="eastAsia" w:ascii="Times New Roman" w:hAnsi="Times New Roman" w:eastAsia="黑体" w:cs="Times New Roman"/>
          <w:szCs w:val="28"/>
        </w:rPr>
        <w:t>·</w:t>
      </w:r>
      <w:r>
        <w:rPr>
          <w:rFonts w:hint="eastAsia" w:ascii="Times New Roman" w:hAnsi="Times New Roman"/>
        </w:rPr>
        <w:t>《血站实验室质量管理规范》</w:t>
      </w:r>
    </w:p>
    <w:p w14:paraId="6766DE0B">
      <w:pPr>
        <w:pStyle w:val="3"/>
        <w:ind w:firstLine="643"/>
        <w:rPr>
          <w:rFonts w:ascii="Times New Roman" w:hAnsi="Times New Roman" w:eastAsia="仿宋"/>
          <w:lang w:bidi="en-US"/>
        </w:rPr>
      </w:pPr>
      <w:bookmarkStart w:id="25" w:name="_Toc67911607"/>
      <w:bookmarkStart w:id="26" w:name="_Toc4304"/>
      <w:r>
        <w:rPr>
          <w:rFonts w:hint="eastAsia" w:ascii="Times New Roman" w:hAnsi="Times New Roman" w:eastAsia="仿宋"/>
          <w:lang w:bidi="en-US"/>
        </w:rPr>
        <w:t>（三）绩效评价工作过程</w:t>
      </w:r>
      <w:bookmarkEnd w:id="25"/>
      <w:bookmarkEnd w:id="26"/>
    </w:p>
    <w:p w14:paraId="744425BC">
      <w:pPr>
        <w:spacing w:line="360" w:lineRule="auto"/>
        <w:ind w:firstLine="560"/>
        <w:rPr>
          <w:rFonts w:ascii="Times New Roman" w:hAnsi="Times New Roman"/>
        </w:rPr>
      </w:pPr>
      <w:r>
        <w:rPr>
          <w:rFonts w:hint="eastAsia" w:ascii="Times New Roman" w:hAnsi="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9"/>
          <w:rFonts w:ascii="Times New Roman" w:hAnsi="Times New Roman"/>
        </w:rPr>
        <w:footnoteReference w:id="0"/>
      </w:r>
      <w:r>
        <w:rPr>
          <w:rFonts w:hint="eastAsia" w:ascii="Times New Roman" w:hAnsi="Times New Roman"/>
        </w:rPr>
        <w:t>、材料审核分析、现场核查评价、综合分析评价及报告撰写，评价项目实施情况，展现资金使用效益。</w:t>
      </w:r>
    </w:p>
    <w:p w14:paraId="007909D2">
      <w:pPr>
        <w:pStyle w:val="2"/>
        <w:ind w:firstLine="0" w:firstLineChars="0"/>
        <w:jc w:val="left"/>
        <w:rPr>
          <w:rFonts w:ascii="Times New Roman" w:hAnsi="Times New Roman" w:eastAsia="仿宋"/>
          <w:sz w:val="36"/>
          <w:szCs w:val="36"/>
          <w:lang w:bidi="en-US"/>
        </w:rPr>
      </w:pPr>
      <w:bookmarkStart w:id="27" w:name="_Toc67911608"/>
      <w:bookmarkStart w:id="28" w:name="_Toc12149"/>
      <w:r>
        <w:rPr>
          <w:rFonts w:hint="eastAsia" w:ascii="Times New Roman" w:hAnsi="Times New Roman" w:eastAsia="仿宋"/>
          <w:sz w:val="36"/>
          <w:szCs w:val="36"/>
          <w:lang w:bidi="en-US"/>
        </w:rPr>
        <w:t>三、综合评价情况及评价结论</w:t>
      </w:r>
      <w:bookmarkEnd w:id="27"/>
      <w:bookmarkEnd w:id="28"/>
    </w:p>
    <w:p w14:paraId="33398647">
      <w:pPr>
        <w:pStyle w:val="3"/>
        <w:ind w:firstLine="643"/>
        <w:rPr>
          <w:rFonts w:ascii="Times New Roman" w:hAnsi="Times New Roman" w:eastAsia="仿宋"/>
          <w:lang w:bidi="en-US"/>
        </w:rPr>
      </w:pPr>
      <w:bookmarkStart w:id="29" w:name="_Toc29414"/>
      <w:bookmarkStart w:id="30" w:name="_Toc67911609"/>
      <w:r>
        <w:rPr>
          <w:rFonts w:hint="eastAsia" w:ascii="Times New Roman" w:hAnsi="Times New Roman" w:eastAsia="仿宋"/>
          <w:lang w:bidi="en-US"/>
        </w:rPr>
        <w:t>（一）评价结论</w:t>
      </w:r>
      <w:bookmarkEnd w:id="29"/>
      <w:bookmarkEnd w:id="30"/>
    </w:p>
    <w:p w14:paraId="36BE5E77">
      <w:pPr>
        <w:spacing w:line="360" w:lineRule="auto"/>
        <w:ind w:firstLine="560"/>
        <w:rPr>
          <w:rFonts w:ascii="Times New Roman" w:hAnsi="Times New Roman"/>
          <w:szCs w:val="28"/>
        </w:rPr>
      </w:pPr>
      <w:r>
        <w:rPr>
          <w:rFonts w:hint="eastAsia" w:ascii="Times New Roman" w:hAnsi="Times New Roman"/>
          <w:szCs w:val="28"/>
        </w:rPr>
        <w:t>结合项目特点，制定符合项目实际的绩效评价指标体系及评分标准，通过数据采集、问卷调查等形式，对2024年提前下达2024年重大传染病防控经费项目进行客观评价，最终评分结果为：总分为94.81分，绩效评级为“优”</w:t>
      </w:r>
      <w:r>
        <w:rPr>
          <w:rStyle w:val="19"/>
          <w:rFonts w:ascii="Times New Roman" w:hAnsi="Times New Roman"/>
          <w:szCs w:val="28"/>
        </w:rPr>
        <w:footnoteReference w:id="1"/>
      </w:r>
      <w:r>
        <w:rPr>
          <w:rFonts w:hint="eastAsia" w:ascii="Times New Roman" w:hAnsi="Times New Roman"/>
          <w:szCs w:val="28"/>
        </w:rPr>
        <w:t>。项目各部分权重和绩效分值如附表所示：</w:t>
      </w:r>
    </w:p>
    <w:p w14:paraId="418391A5">
      <w:pPr>
        <w:spacing w:line="360" w:lineRule="auto"/>
        <w:ind w:firstLine="0" w:firstLineChars="0"/>
        <w:jc w:val="center"/>
        <w:rPr>
          <w:rFonts w:ascii="Times New Roman" w:hAnsi="Times New Roman"/>
          <w:b/>
          <w:bCs/>
          <w:szCs w:val="28"/>
        </w:rPr>
      </w:pPr>
      <w:r>
        <w:rPr>
          <w:rFonts w:hint="eastAsia" w:ascii="Times New Roman" w:hAnsi="Times New Roman"/>
          <w:b/>
          <w:bCs/>
          <w:szCs w:val="28"/>
        </w:rPr>
        <w:t>项目各部分权重和绩效分值</w:t>
      </w:r>
    </w:p>
    <w:tbl>
      <w:tblPr>
        <w:tblStyle w:val="14"/>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502"/>
        <w:gridCol w:w="3175"/>
        <w:gridCol w:w="898"/>
        <w:gridCol w:w="898"/>
        <w:gridCol w:w="1039"/>
      </w:tblGrid>
      <w:tr w14:paraId="5D7483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2A8F11FE">
            <w:pPr>
              <w:widowControl/>
              <w:ind w:firstLine="0" w:firstLineChars="0"/>
              <w:jc w:val="center"/>
              <w:rPr>
                <w:rFonts w:ascii="Times New Roman" w:hAnsi="Times New Roman" w:cs="宋体"/>
                <w:b/>
                <w:bCs/>
                <w:kern w:val="0"/>
                <w:sz w:val="24"/>
                <w:szCs w:val="24"/>
              </w:rPr>
            </w:pPr>
            <w:r>
              <w:rPr>
                <w:rFonts w:hint="eastAsia" w:ascii="Times New Roman" w:hAnsi="Times New Roman" w:cs="宋体"/>
                <w:b/>
                <w:bCs/>
                <w:kern w:val="0"/>
                <w:sz w:val="24"/>
                <w:szCs w:val="24"/>
              </w:rPr>
              <w:t>一级指标</w:t>
            </w:r>
          </w:p>
        </w:tc>
        <w:tc>
          <w:tcPr>
            <w:tcW w:w="1502" w:type="dxa"/>
            <w:tcBorders>
              <w:tl2br w:val="nil"/>
              <w:tr2bl w:val="nil"/>
            </w:tcBorders>
            <w:shd w:val="clear" w:color="auto" w:fill="D0CECE"/>
            <w:vAlign w:val="center"/>
          </w:tcPr>
          <w:p w14:paraId="09A9B59F">
            <w:pPr>
              <w:widowControl/>
              <w:ind w:firstLine="0" w:firstLineChars="0"/>
              <w:jc w:val="center"/>
              <w:rPr>
                <w:rFonts w:ascii="Times New Roman" w:hAnsi="Times New Roman" w:cs="宋体"/>
                <w:b/>
                <w:bCs/>
                <w:kern w:val="0"/>
                <w:sz w:val="24"/>
                <w:szCs w:val="24"/>
              </w:rPr>
            </w:pPr>
            <w:r>
              <w:rPr>
                <w:rFonts w:hint="eastAsia" w:ascii="Times New Roman" w:hAnsi="Times New Roman" w:cs="宋体"/>
                <w:b/>
                <w:bCs/>
                <w:kern w:val="0"/>
                <w:sz w:val="24"/>
                <w:szCs w:val="24"/>
              </w:rPr>
              <w:t>二级指标</w:t>
            </w:r>
          </w:p>
        </w:tc>
        <w:tc>
          <w:tcPr>
            <w:tcW w:w="3175" w:type="dxa"/>
            <w:tcBorders>
              <w:tl2br w:val="nil"/>
              <w:tr2bl w:val="nil"/>
            </w:tcBorders>
            <w:shd w:val="clear" w:color="auto" w:fill="D0CECE"/>
            <w:vAlign w:val="center"/>
          </w:tcPr>
          <w:p w14:paraId="42CCC2E6">
            <w:pPr>
              <w:widowControl/>
              <w:ind w:firstLine="0" w:firstLineChars="0"/>
              <w:jc w:val="center"/>
              <w:rPr>
                <w:rFonts w:ascii="Times New Roman" w:hAnsi="Times New Roman" w:cs="宋体"/>
                <w:b/>
                <w:bCs/>
                <w:kern w:val="0"/>
                <w:sz w:val="24"/>
                <w:szCs w:val="24"/>
              </w:rPr>
            </w:pPr>
            <w:r>
              <w:rPr>
                <w:rFonts w:hint="eastAsia" w:ascii="Times New Roman" w:hAnsi="Times New Roman" w:cs="宋体"/>
                <w:b/>
                <w:bCs/>
                <w:kern w:val="0"/>
                <w:sz w:val="24"/>
                <w:szCs w:val="24"/>
              </w:rPr>
              <w:t>三级指标</w:t>
            </w:r>
          </w:p>
        </w:tc>
        <w:tc>
          <w:tcPr>
            <w:tcW w:w="898" w:type="dxa"/>
            <w:tcBorders>
              <w:tl2br w:val="nil"/>
              <w:tr2bl w:val="nil"/>
            </w:tcBorders>
            <w:shd w:val="clear" w:color="auto" w:fill="D0CECE"/>
            <w:vAlign w:val="center"/>
          </w:tcPr>
          <w:p w14:paraId="30E202A5">
            <w:pPr>
              <w:widowControl/>
              <w:ind w:firstLine="0" w:firstLineChars="0"/>
              <w:jc w:val="center"/>
              <w:rPr>
                <w:rFonts w:ascii="Times New Roman" w:hAnsi="Times New Roman" w:cs="宋体"/>
                <w:b/>
                <w:bCs/>
                <w:kern w:val="0"/>
                <w:sz w:val="24"/>
                <w:szCs w:val="24"/>
              </w:rPr>
            </w:pPr>
            <w:r>
              <w:rPr>
                <w:rFonts w:hint="eastAsia" w:ascii="Times New Roman" w:hAnsi="Times New Roman" w:cs="宋体"/>
                <w:b/>
                <w:bCs/>
                <w:kern w:val="0"/>
                <w:sz w:val="24"/>
                <w:szCs w:val="24"/>
              </w:rPr>
              <w:t>分值</w:t>
            </w:r>
          </w:p>
        </w:tc>
        <w:tc>
          <w:tcPr>
            <w:tcW w:w="898" w:type="dxa"/>
            <w:tcBorders>
              <w:tl2br w:val="nil"/>
              <w:tr2bl w:val="nil"/>
            </w:tcBorders>
            <w:shd w:val="clear" w:color="auto" w:fill="D0CECE"/>
            <w:vAlign w:val="center"/>
          </w:tcPr>
          <w:p w14:paraId="2646F46A">
            <w:pPr>
              <w:widowControl/>
              <w:ind w:firstLine="0" w:firstLineChars="0"/>
              <w:jc w:val="center"/>
              <w:rPr>
                <w:rFonts w:ascii="Times New Roman" w:hAnsi="Times New Roman" w:cs="宋体"/>
                <w:b/>
                <w:bCs/>
                <w:kern w:val="0"/>
                <w:sz w:val="24"/>
                <w:szCs w:val="24"/>
              </w:rPr>
            </w:pPr>
            <w:r>
              <w:rPr>
                <w:rFonts w:hint="eastAsia" w:ascii="Times New Roman" w:hAnsi="Times New Roman" w:cs="宋体"/>
                <w:b/>
                <w:bCs/>
                <w:kern w:val="0"/>
                <w:sz w:val="24"/>
                <w:szCs w:val="24"/>
              </w:rPr>
              <w:t>得分</w:t>
            </w:r>
          </w:p>
        </w:tc>
        <w:tc>
          <w:tcPr>
            <w:tcW w:w="1039" w:type="dxa"/>
            <w:tcBorders>
              <w:tl2br w:val="nil"/>
              <w:tr2bl w:val="nil"/>
            </w:tcBorders>
            <w:shd w:val="clear" w:color="auto" w:fill="D0CECE"/>
            <w:vAlign w:val="center"/>
          </w:tcPr>
          <w:p w14:paraId="26587162">
            <w:pPr>
              <w:widowControl/>
              <w:ind w:firstLine="0" w:firstLineChars="0"/>
              <w:jc w:val="center"/>
              <w:rPr>
                <w:rFonts w:ascii="Times New Roman" w:hAnsi="Times New Roman" w:cs="宋体"/>
                <w:b/>
                <w:bCs/>
                <w:kern w:val="0"/>
                <w:sz w:val="24"/>
                <w:szCs w:val="24"/>
              </w:rPr>
            </w:pPr>
            <w:r>
              <w:rPr>
                <w:rFonts w:hint="eastAsia" w:ascii="Times New Roman" w:hAnsi="Times New Roman" w:cs="宋体"/>
                <w:b/>
                <w:bCs/>
                <w:kern w:val="0"/>
                <w:sz w:val="24"/>
                <w:szCs w:val="24"/>
              </w:rPr>
              <w:t>得分率</w:t>
            </w:r>
          </w:p>
        </w:tc>
      </w:tr>
      <w:tr w14:paraId="1EF83C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043BB29A">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决策</w:t>
            </w:r>
          </w:p>
        </w:tc>
        <w:tc>
          <w:tcPr>
            <w:tcW w:w="1502" w:type="dxa"/>
            <w:vMerge w:val="restart"/>
            <w:tcBorders>
              <w:tl2br w:val="nil"/>
              <w:tr2bl w:val="nil"/>
            </w:tcBorders>
            <w:shd w:val="clear" w:color="auto" w:fill="FFFFFF"/>
            <w:vAlign w:val="center"/>
          </w:tcPr>
          <w:p w14:paraId="1B2D52B2">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项目立项</w:t>
            </w:r>
          </w:p>
        </w:tc>
        <w:tc>
          <w:tcPr>
            <w:tcW w:w="3175" w:type="dxa"/>
            <w:tcBorders>
              <w:tl2br w:val="nil"/>
              <w:tr2bl w:val="nil"/>
            </w:tcBorders>
            <w:shd w:val="clear" w:color="auto" w:fill="FFFFFF"/>
            <w:vAlign w:val="center"/>
          </w:tcPr>
          <w:p w14:paraId="14168E78">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立项依据充分性</w:t>
            </w:r>
          </w:p>
        </w:tc>
        <w:tc>
          <w:tcPr>
            <w:tcW w:w="898" w:type="dxa"/>
            <w:tcBorders>
              <w:tl2br w:val="nil"/>
              <w:tr2bl w:val="nil"/>
            </w:tcBorders>
            <w:shd w:val="clear" w:color="auto" w:fill="FFFFFF"/>
            <w:vAlign w:val="center"/>
          </w:tcPr>
          <w:p w14:paraId="505F68D6">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4</w:t>
            </w:r>
          </w:p>
        </w:tc>
        <w:tc>
          <w:tcPr>
            <w:tcW w:w="898" w:type="dxa"/>
            <w:tcBorders>
              <w:tl2br w:val="nil"/>
              <w:tr2bl w:val="nil"/>
            </w:tcBorders>
            <w:shd w:val="clear" w:color="auto" w:fill="FFFFFF"/>
            <w:vAlign w:val="center"/>
          </w:tcPr>
          <w:p w14:paraId="00A81ABE">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4</w:t>
            </w:r>
          </w:p>
        </w:tc>
        <w:tc>
          <w:tcPr>
            <w:tcW w:w="1039" w:type="dxa"/>
            <w:tcBorders>
              <w:tl2br w:val="nil"/>
              <w:tr2bl w:val="nil"/>
            </w:tcBorders>
            <w:shd w:val="clear" w:color="auto" w:fill="FFFFFF"/>
            <w:vAlign w:val="center"/>
          </w:tcPr>
          <w:p w14:paraId="32DBFBA6">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26EFC4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0A1019A">
            <w:pPr>
              <w:ind w:firstLine="480"/>
              <w:jc w:val="center"/>
              <w:rPr>
                <w:rFonts w:ascii="Times New Roman" w:hAnsi="Times New Roman" w:cs="宋体"/>
                <w:kern w:val="0"/>
                <w:sz w:val="24"/>
                <w:szCs w:val="24"/>
              </w:rPr>
            </w:pPr>
          </w:p>
        </w:tc>
        <w:tc>
          <w:tcPr>
            <w:tcW w:w="1502" w:type="dxa"/>
            <w:vMerge w:val="continue"/>
            <w:tcBorders>
              <w:tl2br w:val="nil"/>
              <w:tr2bl w:val="nil"/>
            </w:tcBorders>
            <w:shd w:val="clear" w:color="auto" w:fill="FFFFFF"/>
            <w:vAlign w:val="center"/>
          </w:tcPr>
          <w:p w14:paraId="68BEBF8F">
            <w:pPr>
              <w:widowControl/>
              <w:ind w:firstLine="0" w:firstLineChars="0"/>
              <w:jc w:val="center"/>
              <w:rPr>
                <w:rFonts w:ascii="Times New Roman" w:hAnsi="Times New Roman" w:cs="宋体"/>
                <w:kern w:val="0"/>
                <w:sz w:val="24"/>
                <w:szCs w:val="24"/>
              </w:rPr>
            </w:pPr>
          </w:p>
        </w:tc>
        <w:tc>
          <w:tcPr>
            <w:tcW w:w="3175" w:type="dxa"/>
            <w:tcBorders>
              <w:tl2br w:val="nil"/>
              <w:tr2bl w:val="nil"/>
            </w:tcBorders>
            <w:shd w:val="clear" w:color="auto" w:fill="FFFFFF"/>
            <w:vAlign w:val="center"/>
          </w:tcPr>
          <w:p w14:paraId="1755D0C9">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立项程序规范性</w:t>
            </w:r>
          </w:p>
        </w:tc>
        <w:tc>
          <w:tcPr>
            <w:tcW w:w="898" w:type="dxa"/>
            <w:tcBorders>
              <w:tl2br w:val="nil"/>
              <w:tr2bl w:val="nil"/>
            </w:tcBorders>
            <w:shd w:val="clear" w:color="auto" w:fill="FFFFFF"/>
            <w:vAlign w:val="center"/>
          </w:tcPr>
          <w:p w14:paraId="3622B67A">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4</w:t>
            </w:r>
          </w:p>
        </w:tc>
        <w:tc>
          <w:tcPr>
            <w:tcW w:w="898" w:type="dxa"/>
            <w:tcBorders>
              <w:tl2br w:val="nil"/>
              <w:tr2bl w:val="nil"/>
            </w:tcBorders>
            <w:shd w:val="clear" w:color="auto" w:fill="FFFFFF"/>
            <w:vAlign w:val="center"/>
          </w:tcPr>
          <w:p w14:paraId="286BC7D6">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4</w:t>
            </w:r>
          </w:p>
        </w:tc>
        <w:tc>
          <w:tcPr>
            <w:tcW w:w="1039" w:type="dxa"/>
            <w:tcBorders>
              <w:tl2br w:val="nil"/>
              <w:tr2bl w:val="nil"/>
            </w:tcBorders>
            <w:shd w:val="clear" w:color="auto" w:fill="FFFFFF"/>
            <w:vAlign w:val="center"/>
          </w:tcPr>
          <w:p w14:paraId="7421C55E">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13A839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FD02D35">
            <w:pPr>
              <w:ind w:firstLine="480"/>
              <w:jc w:val="center"/>
              <w:rPr>
                <w:rFonts w:ascii="Times New Roman" w:hAnsi="Times New Roman" w:cs="宋体"/>
                <w:kern w:val="0"/>
                <w:sz w:val="24"/>
                <w:szCs w:val="24"/>
              </w:rPr>
            </w:pPr>
          </w:p>
        </w:tc>
        <w:tc>
          <w:tcPr>
            <w:tcW w:w="1502" w:type="dxa"/>
            <w:vMerge w:val="restart"/>
            <w:tcBorders>
              <w:tl2br w:val="nil"/>
              <w:tr2bl w:val="nil"/>
            </w:tcBorders>
            <w:shd w:val="clear" w:color="auto" w:fill="FFFFFF"/>
            <w:vAlign w:val="center"/>
          </w:tcPr>
          <w:p w14:paraId="0BE01D15">
            <w:pPr>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绩效目标</w:t>
            </w:r>
          </w:p>
        </w:tc>
        <w:tc>
          <w:tcPr>
            <w:tcW w:w="3175" w:type="dxa"/>
            <w:tcBorders>
              <w:tl2br w:val="nil"/>
              <w:tr2bl w:val="nil"/>
            </w:tcBorders>
            <w:shd w:val="clear" w:color="auto" w:fill="FFFFFF"/>
            <w:vAlign w:val="center"/>
          </w:tcPr>
          <w:p w14:paraId="085CBB6C">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绩效目标合理性</w:t>
            </w:r>
          </w:p>
        </w:tc>
        <w:tc>
          <w:tcPr>
            <w:tcW w:w="898" w:type="dxa"/>
            <w:tcBorders>
              <w:tl2br w:val="nil"/>
              <w:tr2bl w:val="nil"/>
            </w:tcBorders>
            <w:shd w:val="clear" w:color="000000" w:fill="FFFFFF"/>
            <w:vAlign w:val="center"/>
          </w:tcPr>
          <w:p w14:paraId="523C5DD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l2br w:val="nil"/>
              <w:tr2bl w:val="nil"/>
            </w:tcBorders>
            <w:shd w:val="clear" w:color="000000" w:fill="FFFFFF"/>
            <w:vAlign w:val="center"/>
          </w:tcPr>
          <w:p w14:paraId="461E8143">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1039" w:type="dxa"/>
            <w:tcBorders>
              <w:tl2br w:val="nil"/>
              <w:tr2bl w:val="nil"/>
            </w:tcBorders>
            <w:shd w:val="clear" w:color="000000" w:fill="FFFFFF"/>
            <w:vAlign w:val="center"/>
          </w:tcPr>
          <w:p w14:paraId="024C3BB7">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46460A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B84350D">
            <w:pPr>
              <w:widowControl/>
              <w:ind w:firstLine="0" w:firstLineChars="0"/>
              <w:jc w:val="center"/>
              <w:rPr>
                <w:rFonts w:ascii="Times New Roman" w:hAnsi="Times New Roman" w:cs="宋体"/>
                <w:kern w:val="0"/>
                <w:sz w:val="24"/>
                <w:szCs w:val="24"/>
              </w:rPr>
            </w:pPr>
          </w:p>
        </w:tc>
        <w:tc>
          <w:tcPr>
            <w:tcW w:w="1502" w:type="dxa"/>
            <w:vMerge w:val="continue"/>
            <w:tcBorders>
              <w:tl2br w:val="nil"/>
              <w:tr2bl w:val="nil"/>
            </w:tcBorders>
            <w:shd w:val="clear" w:color="auto" w:fill="FFFFFF"/>
            <w:vAlign w:val="center"/>
          </w:tcPr>
          <w:p w14:paraId="6FDC4C70">
            <w:pPr>
              <w:widowControl/>
              <w:ind w:firstLine="0" w:firstLineChars="0"/>
              <w:jc w:val="center"/>
              <w:rPr>
                <w:rFonts w:ascii="Times New Roman" w:hAnsi="Times New Roman" w:cs="宋体"/>
                <w:kern w:val="0"/>
                <w:sz w:val="24"/>
                <w:szCs w:val="24"/>
              </w:rPr>
            </w:pPr>
          </w:p>
        </w:tc>
        <w:tc>
          <w:tcPr>
            <w:tcW w:w="3175" w:type="dxa"/>
            <w:tcBorders>
              <w:tl2br w:val="nil"/>
              <w:tr2bl w:val="nil"/>
            </w:tcBorders>
            <w:shd w:val="clear" w:color="auto" w:fill="FFFFFF"/>
            <w:vAlign w:val="center"/>
          </w:tcPr>
          <w:p w14:paraId="05A204FD">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绩效指标明确性</w:t>
            </w:r>
          </w:p>
        </w:tc>
        <w:tc>
          <w:tcPr>
            <w:tcW w:w="898" w:type="dxa"/>
            <w:tcBorders>
              <w:tl2br w:val="nil"/>
              <w:tr2bl w:val="nil"/>
            </w:tcBorders>
            <w:shd w:val="clear" w:color="000000" w:fill="FFFFFF"/>
            <w:vAlign w:val="center"/>
          </w:tcPr>
          <w:p w14:paraId="1F20645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l2br w:val="nil"/>
              <w:tr2bl w:val="nil"/>
            </w:tcBorders>
            <w:shd w:val="clear" w:color="000000" w:fill="FFFFFF"/>
            <w:vAlign w:val="center"/>
          </w:tcPr>
          <w:p w14:paraId="17C91DD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1039" w:type="dxa"/>
            <w:tcBorders>
              <w:tl2br w:val="nil"/>
              <w:tr2bl w:val="nil"/>
            </w:tcBorders>
            <w:shd w:val="clear" w:color="000000" w:fill="FFFFFF"/>
            <w:vAlign w:val="center"/>
          </w:tcPr>
          <w:p w14:paraId="21ED4C2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05ED0A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61EDE96">
            <w:pPr>
              <w:ind w:firstLine="0" w:firstLineChars="0"/>
              <w:jc w:val="center"/>
              <w:rPr>
                <w:rFonts w:ascii="Times New Roman" w:hAnsi="Times New Roman" w:cs="宋体"/>
                <w:kern w:val="0"/>
                <w:sz w:val="24"/>
                <w:szCs w:val="24"/>
              </w:rPr>
            </w:pPr>
          </w:p>
        </w:tc>
        <w:tc>
          <w:tcPr>
            <w:tcW w:w="1502" w:type="dxa"/>
            <w:vMerge w:val="restart"/>
            <w:tcBorders>
              <w:tl2br w:val="nil"/>
              <w:tr2bl w:val="nil"/>
            </w:tcBorders>
            <w:shd w:val="clear" w:color="auto" w:fill="FFFFFF"/>
            <w:vAlign w:val="center"/>
          </w:tcPr>
          <w:p w14:paraId="16DE3E3D">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资金投入</w:t>
            </w:r>
          </w:p>
        </w:tc>
        <w:tc>
          <w:tcPr>
            <w:tcW w:w="3175" w:type="dxa"/>
            <w:tcBorders>
              <w:tl2br w:val="nil"/>
              <w:tr2bl w:val="nil"/>
            </w:tcBorders>
            <w:shd w:val="clear" w:color="auto" w:fill="FFFFFF"/>
            <w:vAlign w:val="center"/>
          </w:tcPr>
          <w:p w14:paraId="54483BA8">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预算编制科学性</w:t>
            </w:r>
          </w:p>
        </w:tc>
        <w:tc>
          <w:tcPr>
            <w:tcW w:w="898" w:type="dxa"/>
            <w:tcBorders>
              <w:tl2br w:val="nil"/>
              <w:tr2bl w:val="nil"/>
            </w:tcBorders>
            <w:shd w:val="clear" w:color="auto" w:fill="FFFFFF"/>
            <w:vAlign w:val="center"/>
          </w:tcPr>
          <w:p w14:paraId="5352DA72">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l2br w:val="nil"/>
              <w:tr2bl w:val="nil"/>
            </w:tcBorders>
            <w:shd w:val="clear" w:color="auto" w:fill="FFFFFF"/>
            <w:vAlign w:val="center"/>
          </w:tcPr>
          <w:p w14:paraId="354C6B0B">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1039" w:type="dxa"/>
            <w:tcBorders>
              <w:tl2br w:val="nil"/>
              <w:tr2bl w:val="nil"/>
            </w:tcBorders>
            <w:shd w:val="clear" w:color="auto" w:fill="FFFFFF"/>
            <w:vAlign w:val="center"/>
          </w:tcPr>
          <w:p w14:paraId="2C7D1E9A">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258F9E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ED5700F">
            <w:pPr>
              <w:widowControl/>
              <w:ind w:firstLine="0" w:firstLineChars="0"/>
              <w:jc w:val="center"/>
              <w:rPr>
                <w:rFonts w:ascii="Times New Roman" w:hAnsi="Times New Roman" w:cs="宋体"/>
                <w:kern w:val="0"/>
                <w:sz w:val="24"/>
                <w:szCs w:val="24"/>
              </w:rPr>
            </w:pPr>
          </w:p>
        </w:tc>
        <w:tc>
          <w:tcPr>
            <w:tcW w:w="1502" w:type="dxa"/>
            <w:vMerge w:val="continue"/>
            <w:tcBorders>
              <w:tl2br w:val="nil"/>
              <w:tr2bl w:val="nil"/>
            </w:tcBorders>
            <w:shd w:val="clear" w:color="auto" w:fill="FFFFFF"/>
            <w:vAlign w:val="center"/>
          </w:tcPr>
          <w:p w14:paraId="7F5A1C18">
            <w:pPr>
              <w:widowControl/>
              <w:ind w:firstLine="0" w:firstLineChars="0"/>
              <w:jc w:val="center"/>
              <w:rPr>
                <w:rFonts w:ascii="Times New Roman" w:hAnsi="Times New Roman" w:cs="宋体"/>
                <w:kern w:val="0"/>
                <w:sz w:val="24"/>
                <w:szCs w:val="24"/>
              </w:rPr>
            </w:pPr>
          </w:p>
        </w:tc>
        <w:tc>
          <w:tcPr>
            <w:tcW w:w="3175" w:type="dxa"/>
            <w:tcBorders>
              <w:tl2br w:val="nil"/>
              <w:tr2bl w:val="nil"/>
            </w:tcBorders>
            <w:shd w:val="clear" w:color="auto" w:fill="FFFFFF"/>
            <w:vAlign w:val="center"/>
          </w:tcPr>
          <w:p w14:paraId="6891887E">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资金分配合理性</w:t>
            </w:r>
          </w:p>
        </w:tc>
        <w:tc>
          <w:tcPr>
            <w:tcW w:w="898" w:type="dxa"/>
            <w:tcBorders>
              <w:tl2br w:val="nil"/>
              <w:tr2bl w:val="nil"/>
            </w:tcBorders>
            <w:shd w:val="clear" w:color="auto" w:fill="FFFFFF"/>
            <w:vAlign w:val="center"/>
          </w:tcPr>
          <w:p w14:paraId="390B0DCE">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l2br w:val="nil"/>
              <w:tr2bl w:val="nil"/>
            </w:tcBorders>
            <w:shd w:val="clear" w:color="auto" w:fill="FFFFFF"/>
            <w:vAlign w:val="center"/>
          </w:tcPr>
          <w:p w14:paraId="436B0FEF">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1039" w:type="dxa"/>
            <w:tcBorders>
              <w:tl2br w:val="nil"/>
              <w:tr2bl w:val="nil"/>
            </w:tcBorders>
            <w:shd w:val="clear" w:color="auto" w:fill="FFFFFF"/>
            <w:vAlign w:val="center"/>
          </w:tcPr>
          <w:p w14:paraId="1FAC5369">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66D51D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C4660C3">
            <w:pPr>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过程</w:t>
            </w:r>
          </w:p>
        </w:tc>
        <w:tc>
          <w:tcPr>
            <w:tcW w:w="1502" w:type="dxa"/>
            <w:vMerge w:val="restart"/>
            <w:tcBorders>
              <w:tl2br w:val="nil"/>
              <w:tr2bl w:val="nil"/>
            </w:tcBorders>
            <w:shd w:val="clear" w:color="auto" w:fill="FFFFFF"/>
            <w:vAlign w:val="center"/>
          </w:tcPr>
          <w:p w14:paraId="40F04199">
            <w:pPr>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资金管理</w:t>
            </w:r>
          </w:p>
        </w:tc>
        <w:tc>
          <w:tcPr>
            <w:tcW w:w="3175" w:type="dxa"/>
            <w:tcBorders>
              <w:tl2br w:val="nil"/>
              <w:tr2bl w:val="nil"/>
            </w:tcBorders>
            <w:shd w:val="clear" w:color="auto" w:fill="FFFFFF"/>
            <w:vAlign w:val="center"/>
          </w:tcPr>
          <w:p w14:paraId="34E9C9BF">
            <w:pPr>
              <w:widowControl/>
              <w:ind w:firstLine="0" w:firstLineChars="0"/>
              <w:jc w:val="center"/>
              <w:rPr>
                <w:rFonts w:ascii="Times New Roman" w:hAnsi="Times New Roman" w:cs="宋体"/>
                <w:kern w:val="0"/>
                <w:sz w:val="24"/>
                <w:szCs w:val="24"/>
                <w:highlight w:val="none"/>
              </w:rPr>
            </w:pPr>
            <w:r>
              <w:rPr>
                <w:rFonts w:hint="eastAsia" w:ascii="Times New Roman" w:hAnsi="Times New Roman" w:cs="宋体"/>
                <w:kern w:val="0"/>
                <w:sz w:val="24"/>
                <w:szCs w:val="24"/>
                <w:highlight w:val="none"/>
              </w:rPr>
              <w:t>资金到位率</w:t>
            </w:r>
          </w:p>
        </w:tc>
        <w:tc>
          <w:tcPr>
            <w:tcW w:w="898" w:type="dxa"/>
            <w:tcBorders>
              <w:tl2br w:val="nil"/>
              <w:tr2bl w:val="nil"/>
            </w:tcBorders>
            <w:shd w:val="clear" w:color="000000" w:fill="FFFFFF"/>
            <w:vAlign w:val="center"/>
          </w:tcPr>
          <w:p w14:paraId="3FB4B4E6">
            <w:pPr>
              <w:widowControl/>
              <w:ind w:firstLine="0" w:firstLineChars="0"/>
              <w:jc w:val="center"/>
              <w:rPr>
                <w:rFonts w:ascii="Times New Roman" w:hAnsi="Times New Roman" w:cs="宋体"/>
                <w:kern w:val="0"/>
                <w:sz w:val="24"/>
                <w:szCs w:val="24"/>
                <w:highlight w:val="none"/>
              </w:rPr>
            </w:pPr>
            <w:r>
              <w:rPr>
                <w:rFonts w:hint="eastAsia" w:ascii="Times New Roman" w:hAnsi="Times New Roman" w:cs="宋体"/>
                <w:kern w:val="0"/>
                <w:sz w:val="24"/>
                <w:szCs w:val="24"/>
                <w:highlight w:val="none"/>
              </w:rPr>
              <w:t>5</w:t>
            </w:r>
          </w:p>
        </w:tc>
        <w:tc>
          <w:tcPr>
            <w:tcW w:w="898" w:type="dxa"/>
            <w:tcBorders>
              <w:tl2br w:val="nil"/>
              <w:tr2bl w:val="nil"/>
            </w:tcBorders>
            <w:shd w:val="clear" w:color="000000" w:fill="FFFFFF"/>
            <w:vAlign w:val="center"/>
          </w:tcPr>
          <w:p w14:paraId="39F5B9B9">
            <w:pPr>
              <w:widowControl/>
              <w:ind w:firstLine="0" w:firstLineChars="0"/>
              <w:jc w:val="center"/>
              <w:rPr>
                <w:rFonts w:ascii="Times New Roman" w:hAnsi="Times New Roman" w:cs="宋体"/>
                <w:kern w:val="0"/>
                <w:sz w:val="24"/>
                <w:szCs w:val="24"/>
                <w:highlight w:val="none"/>
              </w:rPr>
            </w:pPr>
            <w:r>
              <w:rPr>
                <w:rFonts w:hint="eastAsia" w:ascii="Times New Roman" w:hAnsi="Times New Roman" w:cs="宋体"/>
                <w:kern w:val="0"/>
                <w:sz w:val="24"/>
                <w:szCs w:val="24"/>
                <w:highlight w:val="none"/>
              </w:rPr>
              <w:t>4.82</w:t>
            </w:r>
          </w:p>
        </w:tc>
        <w:tc>
          <w:tcPr>
            <w:tcW w:w="1039" w:type="dxa"/>
            <w:tcBorders>
              <w:tl2br w:val="nil"/>
              <w:tr2bl w:val="nil"/>
            </w:tcBorders>
            <w:shd w:val="clear" w:color="000000" w:fill="FFFFFF"/>
            <w:vAlign w:val="center"/>
          </w:tcPr>
          <w:p w14:paraId="6CAF0DDF">
            <w:pPr>
              <w:widowControl/>
              <w:ind w:firstLine="0" w:firstLineChars="0"/>
              <w:jc w:val="center"/>
              <w:rPr>
                <w:rFonts w:ascii="Times New Roman" w:hAnsi="Times New Roman" w:cs="宋体"/>
                <w:kern w:val="0"/>
                <w:sz w:val="24"/>
                <w:szCs w:val="24"/>
                <w:highlight w:val="none"/>
              </w:rPr>
            </w:pPr>
            <w:r>
              <w:rPr>
                <w:rFonts w:ascii="Times New Roman" w:hAnsi="Times New Roman" w:cs="宋体"/>
                <w:kern w:val="0"/>
                <w:sz w:val="24"/>
                <w:szCs w:val="24"/>
                <w:highlight w:val="none"/>
              </w:rPr>
              <w:t>96.32</w:t>
            </w:r>
            <w:r>
              <w:rPr>
                <w:rFonts w:hint="eastAsia" w:ascii="Times New Roman" w:hAnsi="Times New Roman" w:cs="宋体"/>
                <w:kern w:val="0"/>
                <w:sz w:val="24"/>
                <w:szCs w:val="24"/>
                <w:highlight w:val="none"/>
              </w:rPr>
              <w:t>%</w:t>
            </w:r>
          </w:p>
        </w:tc>
      </w:tr>
      <w:tr w14:paraId="67FC72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BDA4B92">
            <w:pPr>
              <w:ind w:firstLine="480"/>
              <w:jc w:val="center"/>
              <w:rPr>
                <w:rFonts w:ascii="Times New Roman" w:hAnsi="Times New Roman" w:cs="宋体"/>
                <w:kern w:val="0"/>
                <w:sz w:val="24"/>
                <w:szCs w:val="24"/>
              </w:rPr>
            </w:pPr>
          </w:p>
        </w:tc>
        <w:tc>
          <w:tcPr>
            <w:tcW w:w="1502" w:type="dxa"/>
            <w:vMerge w:val="continue"/>
            <w:tcBorders>
              <w:tl2br w:val="nil"/>
              <w:tr2bl w:val="nil"/>
            </w:tcBorders>
            <w:shd w:val="clear" w:color="auto" w:fill="FFFFFF"/>
            <w:vAlign w:val="center"/>
          </w:tcPr>
          <w:p w14:paraId="09E77258">
            <w:pPr>
              <w:ind w:firstLine="480"/>
              <w:jc w:val="center"/>
              <w:rPr>
                <w:rFonts w:ascii="Times New Roman" w:hAnsi="Times New Roman" w:cs="宋体"/>
                <w:kern w:val="0"/>
                <w:sz w:val="24"/>
                <w:szCs w:val="24"/>
              </w:rPr>
            </w:pPr>
          </w:p>
        </w:tc>
        <w:tc>
          <w:tcPr>
            <w:tcW w:w="3175" w:type="dxa"/>
            <w:tcBorders>
              <w:tl2br w:val="nil"/>
              <w:tr2bl w:val="nil"/>
            </w:tcBorders>
            <w:shd w:val="clear" w:color="auto" w:fill="FFFFFF"/>
            <w:vAlign w:val="center"/>
          </w:tcPr>
          <w:p w14:paraId="23F6180E">
            <w:pPr>
              <w:widowControl/>
              <w:ind w:firstLine="0" w:firstLineChars="0"/>
              <w:jc w:val="center"/>
              <w:rPr>
                <w:rFonts w:ascii="Times New Roman" w:hAnsi="Times New Roman" w:cs="宋体"/>
                <w:kern w:val="0"/>
                <w:sz w:val="24"/>
                <w:szCs w:val="24"/>
                <w:highlight w:val="none"/>
              </w:rPr>
            </w:pPr>
            <w:r>
              <w:rPr>
                <w:rFonts w:hint="eastAsia" w:ascii="Times New Roman" w:hAnsi="Times New Roman" w:cs="宋体"/>
                <w:kern w:val="0"/>
                <w:sz w:val="24"/>
                <w:szCs w:val="24"/>
                <w:highlight w:val="none"/>
              </w:rPr>
              <w:t>预算执行率</w:t>
            </w:r>
          </w:p>
        </w:tc>
        <w:tc>
          <w:tcPr>
            <w:tcW w:w="898" w:type="dxa"/>
            <w:tcBorders>
              <w:tl2br w:val="nil"/>
              <w:tr2bl w:val="nil"/>
            </w:tcBorders>
            <w:shd w:val="clear" w:color="auto" w:fill="FFFFFF"/>
            <w:vAlign w:val="center"/>
          </w:tcPr>
          <w:p w14:paraId="14229365">
            <w:pPr>
              <w:widowControl/>
              <w:ind w:firstLine="0" w:firstLineChars="0"/>
              <w:jc w:val="center"/>
              <w:rPr>
                <w:rFonts w:ascii="Times New Roman" w:hAnsi="Times New Roman" w:cs="宋体"/>
                <w:kern w:val="0"/>
                <w:sz w:val="24"/>
                <w:szCs w:val="24"/>
                <w:highlight w:val="none"/>
              </w:rPr>
            </w:pPr>
            <w:r>
              <w:rPr>
                <w:rFonts w:hint="eastAsia" w:ascii="Times New Roman" w:hAnsi="Times New Roman" w:cs="宋体"/>
                <w:kern w:val="0"/>
                <w:sz w:val="24"/>
                <w:szCs w:val="24"/>
                <w:highlight w:val="none"/>
              </w:rPr>
              <w:t>5</w:t>
            </w:r>
          </w:p>
        </w:tc>
        <w:tc>
          <w:tcPr>
            <w:tcW w:w="898" w:type="dxa"/>
            <w:tcBorders>
              <w:tl2br w:val="nil"/>
              <w:tr2bl w:val="nil"/>
            </w:tcBorders>
            <w:shd w:val="clear" w:color="auto" w:fill="FFFFFF"/>
            <w:vAlign w:val="center"/>
          </w:tcPr>
          <w:p w14:paraId="65CDC601">
            <w:pPr>
              <w:widowControl/>
              <w:ind w:firstLine="0" w:firstLineChars="0"/>
              <w:jc w:val="center"/>
              <w:rPr>
                <w:rFonts w:ascii="Times New Roman" w:hAnsi="Times New Roman" w:cs="宋体"/>
                <w:kern w:val="0"/>
                <w:sz w:val="24"/>
                <w:szCs w:val="24"/>
                <w:highlight w:val="none"/>
              </w:rPr>
            </w:pPr>
            <w:r>
              <w:rPr>
                <w:rFonts w:ascii="Times New Roman" w:hAnsi="Times New Roman" w:cs="宋体"/>
                <w:kern w:val="0"/>
                <w:sz w:val="24"/>
                <w:szCs w:val="24"/>
                <w:highlight w:val="none"/>
              </w:rPr>
              <w:t>5</w:t>
            </w:r>
          </w:p>
        </w:tc>
        <w:tc>
          <w:tcPr>
            <w:tcW w:w="1039" w:type="dxa"/>
            <w:tcBorders>
              <w:tl2br w:val="nil"/>
              <w:tr2bl w:val="nil"/>
            </w:tcBorders>
            <w:shd w:val="clear" w:color="auto" w:fill="FFFFFF"/>
            <w:vAlign w:val="center"/>
          </w:tcPr>
          <w:p w14:paraId="6D0506E0">
            <w:pPr>
              <w:widowControl/>
              <w:ind w:firstLine="0" w:firstLineChars="0"/>
              <w:jc w:val="center"/>
              <w:rPr>
                <w:rFonts w:ascii="Times New Roman" w:hAnsi="Times New Roman" w:cs="宋体"/>
                <w:kern w:val="0"/>
                <w:sz w:val="24"/>
                <w:szCs w:val="24"/>
                <w:highlight w:val="none"/>
              </w:rPr>
            </w:pPr>
            <w:r>
              <w:rPr>
                <w:rFonts w:ascii="Times New Roman" w:hAnsi="Times New Roman" w:cs="宋体"/>
                <w:kern w:val="0"/>
                <w:sz w:val="24"/>
                <w:szCs w:val="24"/>
                <w:highlight w:val="none"/>
              </w:rPr>
              <w:t>100</w:t>
            </w:r>
            <w:r>
              <w:rPr>
                <w:rFonts w:hint="eastAsia" w:ascii="Times New Roman" w:hAnsi="Times New Roman" w:cs="宋体"/>
                <w:kern w:val="0"/>
                <w:sz w:val="24"/>
                <w:szCs w:val="24"/>
                <w:highlight w:val="none"/>
              </w:rPr>
              <w:t>%</w:t>
            </w:r>
          </w:p>
        </w:tc>
      </w:tr>
      <w:tr w14:paraId="1BED91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C69AB21">
            <w:pPr>
              <w:ind w:firstLine="0" w:firstLineChars="0"/>
              <w:jc w:val="center"/>
              <w:rPr>
                <w:rFonts w:ascii="Times New Roman" w:hAnsi="Times New Roman" w:cs="宋体"/>
                <w:kern w:val="0"/>
                <w:sz w:val="24"/>
                <w:szCs w:val="24"/>
              </w:rPr>
            </w:pPr>
          </w:p>
        </w:tc>
        <w:tc>
          <w:tcPr>
            <w:tcW w:w="1502" w:type="dxa"/>
            <w:vMerge w:val="continue"/>
            <w:tcBorders>
              <w:tl2br w:val="nil"/>
              <w:tr2bl w:val="nil"/>
            </w:tcBorders>
            <w:shd w:val="clear" w:color="auto" w:fill="FFFFFF"/>
            <w:vAlign w:val="center"/>
          </w:tcPr>
          <w:p w14:paraId="3D13E0EB">
            <w:pPr>
              <w:widowControl/>
              <w:ind w:firstLine="0" w:firstLineChars="0"/>
              <w:jc w:val="center"/>
              <w:rPr>
                <w:rFonts w:ascii="Times New Roman" w:hAnsi="Times New Roman" w:cs="宋体"/>
                <w:kern w:val="0"/>
                <w:sz w:val="24"/>
                <w:szCs w:val="24"/>
              </w:rPr>
            </w:pPr>
          </w:p>
        </w:tc>
        <w:tc>
          <w:tcPr>
            <w:tcW w:w="3175" w:type="dxa"/>
            <w:tcBorders>
              <w:tl2br w:val="nil"/>
              <w:tr2bl w:val="nil"/>
            </w:tcBorders>
            <w:shd w:val="clear" w:color="auto" w:fill="FFFFFF"/>
            <w:vAlign w:val="center"/>
          </w:tcPr>
          <w:p w14:paraId="25F701D2">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资金使用合规性</w:t>
            </w:r>
          </w:p>
        </w:tc>
        <w:tc>
          <w:tcPr>
            <w:tcW w:w="898" w:type="dxa"/>
            <w:tcBorders>
              <w:tl2br w:val="nil"/>
              <w:tr2bl w:val="nil"/>
            </w:tcBorders>
            <w:shd w:val="clear" w:color="000000" w:fill="FFFFFF"/>
            <w:vAlign w:val="center"/>
          </w:tcPr>
          <w:p w14:paraId="5F289797">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l2br w:val="nil"/>
              <w:tr2bl w:val="nil"/>
            </w:tcBorders>
            <w:shd w:val="clear" w:color="000000" w:fill="FFFFFF"/>
            <w:vAlign w:val="center"/>
          </w:tcPr>
          <w:p w14:paraId="22C803A5">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1039" w:type="dxa"/>
            <w:tcBorders>
              <w:tl2br w:val="nil"/>
              <w:tr2bl w:val="nil"/>
            </w:tcBorders>
            <w:shd w:val="clear" w:color="000000" w:fill="FFFFFF"/>
            <w:vAlign w:val="center"/>
          </w:tcPr>
          <w:p w14:paraId="444F5FB1">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0596F6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D9B2031">
            <w:pPr>
              <w:ind w:firstLine="0" w:firstLineChars="0"/>
              <w:jc w:val="center"/>
              <w:rPr>
                <w:rFonts w:ascii="Times New Roman" w:hAnsi="Times New Roman" w:cs="宋体"/>
                <w:kern w:val="0"/>
                <w:sz w:val="24"/>
                <w:szCs w:val="24"/>
              </w:rPr>
            </w:pPr>
          </w:p>
        </w:tc>
        <w:tc>
          <w:tcPr>
            <w:tcW w:w="1502" w:type="dxa"/>
            <w:vMerge w:val="restart"/>
            <w:tcBorders>
              <w:tl2br w:val="nil"/>
              <w:tr2bl w:val="nil"/>
            </w:tcBorders>
            <w:shd w:val="clear" w:color="auto" w:fill="FFFFFF"/>
            <w:vAlign w:val="center"/>
          </w:tcPr>
          <w:p w14:paraId="58BF31D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组织实施</w:t>
            </w:r>
          </w:p>
        </w:tc>
        <w:tc>
          <w:tcPr>
            <w:tcW w:w="3175" w:type="dxa"/>
            <w:tcBorders>
              <w:tl2br w:val="nil"/>
              <w:tr2bl w:val="nil"/>
            </w:tcBorders>
            <w:shd w:val="clear" w:color="auto" w:fill="FFFFFF"/>
            <w:vAlign w:val="center"/>
          </w:tcPr>
          <w:p w14:paraId="4EF57FB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管理制度健全性</w:t>
            </w:r>
          </w:p>
        </w:tc>
        <w:tc>
          <w:tcPr>
            <w:tcW w:w="898" w:type="dxa"/>
            <w:tcBorders>
              <w:tl2br w:val="nil"/>
              <w:tr2bl w:val="nil"/>
            </w:tcBorders>
            <w:shd w:val="clear" w:color="000000" w:fill="FFFFFF"/>
            <w:vAlign w:val="center"/>
          </w:tcPr>
          <w:p w14:paraId="6F526179">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l2br w:val="nil"/>
              <w:tr2bl w:val="nil"/>
            </w:tcBorders>
            <w:shd w:val="clear" w:color="000000" w:fill="FFFFFF"/>
            <w:vAlign w:val="center"/>
          </w:tcPr>
          <w:p w14:paraId="0DFCD931">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3</w:t>
            </w:r>
          </w:p>
        </w:tc>
        <w:tc>
          <w:tcPr>
            <w:tcW w:w="1039" w:type="dxa"/>
            <w:tcBorders>
              <w:tl2br w:val="nil"/>
              <w:tr2bl w:val="nil"/>
            </w:tcBorders>
            <w:shd w:val="clear" w:color="000000" w:fill="FFFFFF"/>
            <w:vAlign w:val="center"/>
          </w:tcPr>
          <w:p w14:paraId="301372EA">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0C580A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37121CF">
            <w:pPr>
              <w:widowControl/>
              <w:ind w:firstLine="0" w:firstLineChars="0"/>
              <w:jc w:val="center"/>
              <w:rPr>
                <w:rFonts w:ascii="Times New Roman" w:hAnsi="Times New Roman" w:cs="宋体"/>
                <w:kern w:val="0"/>
                <w:sz w:val="24"/>
                <w:szCs w:val="24"/>
              </w:rPr>
            </w:pPr>
          </w:p>
        </w:tc>
        <w:tc>
          <w:tcPr>
            <w:tcW w:w="1502" w:type="dxa"/>
            <w:vMerge w:val="continue"/>
            <w:tcBorders>
              <w:bottom w:val="single" w:color="auto" w:sz="4" w:space="0"/>
              <w:tl2br w:val="nil"/>
              <w:tr2bl w:val="nil"/>
            </w:tcBorders>
            <w:shd w:val="clear" w:color="auto" w:fill="FFFFFF"/>
            <w:vAlign w:val="center"/>
          </w:tcPr>
          <w:p w14:paraId="5BA2C1AF">
            <w:pPr>
              <w:widowControl/>
              <w:ind w:firstLine="0" w:firstLineChars="0"/>
              <w:jc w:val="center"/>
              <w:rPr>
                <w:rFonts w:ascii="Times New Roman" w:hAnsi="Times New Roman" w:cs="宋体"/>
                <w:kern w:val="0"/>
                <w:sz w:val="24"/>
                <w:szCs w:val="24"/>
              </w:rPr>
            </w:pPr>
          </w:p>
        </w:tc>
        <w:tc>
          <w:tcPr>
            <w:tcW w:w="3175" w:type="dxa"/>
            <w:tcBorders>
              <w:bottom w:val="single" w:color="auto" w:sz="4" w:space="0"/>
              <w:tl2br w:val="nil"/>
              <w:tr2bl w:val="nil"/>
            </w:tcBorders>
            <w:shd w:val="clear" w:color="auto" w:fill="FFFFFF"/>
            <w:vAlign w:val="center"/>
          </w:tcPr>
          <w:p w14:paraId="2124EACC">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制度执行有效性</w:t>
            </w:r>
          </w:p>
        </w:tc>
        <w:tc>
          <w:tcPr>
            <w:tcW w:w="898" w:type="dxa"/>
            <w:tcBorders>
              <w:bottom w:val="single" w:color="auto" w:sz="4" w:space="0"/>
              <w:tl2br w:val="nil"/>
              <w:tr2bl w:val="nil"/>
            </w:tcBorders>
            <w:shd w:val="clear" w:color="000000" w:fill="FFFFFF"/>
            <w:vAlign w:val="center"/>
          </w:tcPr>
          <w:p w14:paraId="7A3E1F91">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4</w:t>
            </w:r>
          </w:p>
        </w:tc>
        <w:tc>
          <w:tcPr>
            <w:tcW w:w="898" w:type="dxa"/>
            <w:tcBorders>
              <w:bottom w:val="single" w:color="auto" w:sz="4" w:space="0"/>
              <w:tl2br w:val="nil"/>
              <w:tr2bl w:val="nil"/>
            </w:tcBorders>
            <w:shd w:val="clear" w:color="000000" w:fill="FFFFFF"/>
            <w:vAlign w:val="center"/>
          </w:tcPr>
          <w:p w14:paraId="673F8D4F">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4</w:t>
            </w:r>
          </w:p>
        </w:tc>
        <w:tc>
          <w:tcPr>
            <w:tcW w:w="1039" w:type="dxa"/>
            <w:tcBorders>
              <w:bottom w:val="single" w:color="auto" w:sz="4" w:space="0"/>
              <w:tl2br w:val="nil"/>
              <w:tr2bl w:val="nil"/>
            </w:tcBorders>
            <w:shd w:val="clear" w:color="000000" w:fill="FFFFFF"/>
            <w:vAlign w:val="center"/>
          </w:tcPr>
          <w:p w14:paraId="3E90330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65845D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1550" w:type="dxa"/>
            <w:vMerge w:val="restart"/>
            <w:tcBorders>
              <w:right w:val="single" w:color="auto" w:sz="4" w:space="0"/>
              <w:tl2br w:val="nil"/>
              <w:tr2bl w:val="nil"/>
            </w:tcBorders>
            <w:shd w:val="clear" w:color="auto" w:fill="FFFFFF"/>
            <w:vAlign w:val="center"/>
          </w:tcPr>
          <w:p w14:paraId="7BDD5F8C">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产出</w:t>
            </w:r>
          </w:p>
        </w:tc>
        <w:tc>
          <w:tcPr>
            <w:tcW w:w="1502"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47586B56">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产出数量</w:t>
            </w: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00413504">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新疆血液信息数据中心系统的更新维护项目</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2D058873">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3643FD3C">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1039" w:type="dxa"/>
            <w:vMerge w:val="restart"/>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6A06110">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586111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1550" w:type="dxa"/>
            <w:vMerge w:val="continue"/>
            <w:tcBorders>
              <w:right w:val="single" w:color="auto" w:sz="4" w:space="0"/>
              <w:tl2br w:val="nil"/>
              <w:tr2bl w:val="nil"/>
            </w:tcBorders>
            <w:shd w:val="clear" w:color="auto" w:fill="FFFFFF"/>
            <w:vAlign w:val="center"/>
          </w:tcPr>
          <w:p w14:paraId="71EBBBE4">
            <w:pPr>
              <w:widowControl/>
              <w:ind w:firstLine="0" w:firstLineChars="0"/>
              <w:jc w:val="center"/>
              <w:rPr>
                <w:rFonts w:ascii="Times New Roman" w:hAnsi="Times New Roman"/>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4C4CA1DB">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74BEA6C6">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血站智慧化建设项目</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5D74C95A">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34DFBBCB">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3C2F726D">
            <w:pPr>
              <w:widowControl/>
              <w:ind w:firstLine="0" w:firstLineChars="0"/>
              <w:jc w:val="center"/>
              <w:rPr>
                <w:rFonts w:ascii="Times New Roman" w:hAnsi="Times New Roman" w:cs="宋体"/>
                <w:kern w:val="0"/>
                <w:sz w:val="24"/>
                <w:szCs w:val="24"/>
              </w:rPr>
            </w:pPr>
          </w:p>
        </w:tc>
      </w:tr>
      <w:tr w14:paraId="61B887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1550" w:type="dxa"/>
            <w:vMerge w:val="continue"/>
            <w:tcBorders>
              <w:right w:val="single" w:color="auto" w:sz="4" w:space="0"/>
              <w:tl2br w:val="nil"/>
              <w:tr2bl w:val="nil"/>
            </w:tcBorders>
            <w:shd w:val="clear" w:color="auto" w:fill="FFFFFF"/>
            <w:vAlign w:val="center"/>
          </w:tcPr>
          <w:p w14:paraId="43A3B16F">
            <w:pPr>
              <w:widowControl/>
              <w:ind w:firstLine="0" w:firstLineChars="0"/>
              <w:jc w:val="center"/>
              <w:rPr>
                <w:rFonts w:ascii="Times New Roman" w:hAnsi="Times New Roman" w:cs="宋体"/>
                <w:kern w:val="0"/>
                <w:sz w:val="24"/>
                <w:szCs w:val="24"/>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069FACBD">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620901BD">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核酸检测试剂</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5CF04EFD">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DA43A97">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F94A99F">
            <w:pPr>
              <w:widowControl/>
              <w:ind w:firstLine="0" w:firstLineChars="0"/>
              <w:jc w:val="center"/>
              <w:rPr>
                <w:rFonts w:ascii="Times New Roman" w:hAnsi="Times New Roman" w:cs="宋体"/>
                <w:kern w:val="0"/>
                <w:sz w:val="24"/>
                <w:szCs w:val="24"/>
              </w:rPr>
            </w:pPr>
          </w:p>
        </w:tc>
      </w:tr>
      <w:tr w14:paraId="53F07F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1550" w:type="dxa"/>
            <w:vMerge w:val="continue"/>
            <w:tcBorders>
              <w:right w:val="single" w:color="auto" w:sz="4" w:space="0"/>
              <w:tl2br w:val="nil"/>
              <w:tr2bl w:val="nil"/>
            </w:tcBorders>
            <w:shd w:val="clear" w:color="auto" w:fill="FFFFFF"/>
            <w:vAlign w:val="center"/>
          </w:tcPr>
          <w:p w14:paraId="5D26AD52">
            <w:pPr>
              <w:widowControl/>
              <w:ind w:firstLine="0" w:firstLineChars="0"/>
              <w:jc w:val="center"/>
              <w:rPr>
                <w:rFonts w:ascii="Times New Roman" w:hAnsi="Times New Roman" w:cs="宋体"/>
                <w:kern w:val="0"/>
                <w:sz w:val="24"/>
                <w:szCs w:val="24"/>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3B3B1D10">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166F2670">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哨点监测</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125EC767">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1B2AA1A6">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16FE5DC0">
            <w:pPr>
              <w:widowControl/>
              <w:ind w:firstLine="0" w:firstLineChars="0"/>
              <w:jc w:val="center"/>
              <w:rPr>
                <w:rFonts w:ascii="Times New Roman" w:hAnsi="Times New Roman" w:cs="宋体"/>
                <w:kern w:val="0"/>
                <w:sz w:val="24"/>
                <w:szCs w:val="24"/>
              </w:rPr>
            </w:pPr>
          </w:p>
        </w:tc>
      </w:tr>
      <w:tr w14:paraId="111C1A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1550" w:type="dxa"/>
            <w:vMerge w:val="continue"/>
            <w:tcBorders>
              <w:right w:val="single" w:color="auto" w:sz="4" w:space="0"/>
              <w:tl2br w:val="nil"/>
              <w:tr2bl w:val="nil"/>
            </w:tcBorders>
            <w:shd w:val="clear" w:color="auto" w:fill="FFFFFF"/>
            <w:vAlign w:val="center"/>
          </w:tcPr>
          <w:p w14:paraId="47C55AA2">
            <w:pPr>
              <w:widowControl/>
              <w:ind w:firstLine="0" w:firstLineChars="0"/>
              <w:jc w:val="center"/>
              <w:rPr>
                <w:rFonts w:ascii="Times New Roman" w:hAnsi="Times New Roman" w:cs="宋体"/>
                <w:kern w:val="0"/>
                <w:sz w:val="24"/>
                <w:szCs w:val="24"/>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299C428E">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299AD4D3">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无偿献血宣传合作媒体数量</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28BFC547">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4C238EC4">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1F8812BE">
            <w:pPr>
              <w:widowControl/>
              <w:ind w:firstLine="0" w:firstLineChars="0"/>
              <w:jc w:val="center"/>
              <w:rPr>
                <w:rFonts w:ascii="Times New Roman" w:hAnsi="Times New Roman" w:cs="宋体"/>
                <w:kern w:val="0"/>
                <w:sz w:val="24"/>
                <w:szCs w:val="24"/>
              </w:rPr>
            </w:pPr>
          </w:p>
        </w:tc>
      </w:tr>
      <w:tr w14:paraId="12352B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 w:hRule="atLeast"/>
          <w:jc w:val="center"/>
        </w:trPr>
        <w:tc>
          <w:tcPr>
            <w:tcW w:w="1550" w:type="dxa"/>
            <w:vMerge w:val="continue"/>
            <w:tcBorders>
              <w:right w:val="single" w:color="auto" w:sz="4" w:space="0"/>
              <w:tl2br w:val="nil"/>
              <w:tr2bl w:val="nil"/>
            </w:tcBorders>
            <w:shd w:val="clear" w:color="auto" w:fill="FFFFFF"/>
            <w:vAlign w:val="center"/>
          </w:tcPr>
          <w:p w14:paraId="022E3EE6">
            <w:pPr>
              <w:widowControl/>
              <w:ind w:firstLine="0" w:firstLineChars="0"/>
              <w:jc w:val="center"/>
              <w:rPr>
                <w:rFonts w:ascii="Times New Roman" w:hAnsi="Times New Roman" w:cs="宋体"/>
                <w:kern w:val="0"/>
                <w:sz w:val="24"/>
                <w:szCs w:val="24"/>
              </w:rPr>
            </w:pPr>
          </w:p>
        </w:tc>
        <w:tc>
          <w:tcPr>
            <w:tcW w:w="1502"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666C6900">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产出质量</w:t>
            </w: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3876021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临床用血核酸检测覆盖率</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20C2AF27">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1E3743B2">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6F68FF2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7C9918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 w:hRule="atLeast"/>
          <w:jc w:val="center"/>
        </w:trPr>
        <w:tc>
          <w:tcPr>
            <w:tcW w:w="1550" w:type="dxa"/>
            <w:vMerge w:val="continue"/>
            <w:tcBorders>
              <w:right w:val="single" w:color="auto" w:sz="4" w:space="0"/>
              <w:tl2br w:val="nil"/>
              <w:tr2bl w:val="nil"/>
            </w:tcBorders>
            <w:shd w:val="clear" w:color="auto" w:fill="FFFFFF"/>
            <w:vAlign w:val="center"/>
          </w:tcPr>
          <w:p w14:paraId="0FC9048D">
            <w:pPr>
              <w:widowControl/>
              <w:ind w:firstLine="0" w:firstLineChars="0"/>
              <w:jc w:val="center"/>
              <w:rPr>
                <w:rFonts w:ascii="Times New Roman" w:hAnsi="Times New Roman"/>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573A3092">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3482748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符合《血站质量管理规范》</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58CC970B">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24626CFB">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6F92D357">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2BB72A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 w:hRule="atLeast"/>
          <w:jc w:val="center"/>
        </w:trPr>
        <w:tc>
          <w:tcPr>
            <w:tcW w:w="1550" w:type="dxa"/>
            <w:vMerge w:val="continue"/>
            <w:tcBorders>
              <w:right w:val="single" w:color="auto" w:sz="4" w:space="0"/>
              <w:tl2br w:val="nil"/>
              <w:tr2bl w:val="nil"/>
            </w:tcBorders>
            <w:shd w:val="clear" w:color="auto" w:fill="FFFFFF"/>
            <w:vAlign w:val="center"/>
          </w:tcPr>
          <w:p w14:paraId="00460847">
            <w:pPr>
              <w:widowControl/>
              <w:ind w:firstLine="0" w:firstLineChars="0"/>
              <w:jc w:val="center"/>
              <w:rPr>
                <w:rFonts w:ascii="Times New Roman" w:hAnsi="Times New Roman" w:cs="宋体"/>
                <w:kern w:val="0"/>
                <w:sz w:val="24"/>
                <w:szCs w:val="24"/>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1EB95C9E">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4E3DCDC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符合《血站技术操作规程》</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7F420C43">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4FD8AA1F">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72EA699C">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725FEA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550" w:type="dxa"/>
            <w:vMerge w:val="continue"/>
            <w:tcBorders>
              <w:right w:val="single" w:color="auto" w:sz="4" w:space="0"/>
              <w:tl2br w:val="nil"/>
              <w:tr2bl w:val="nil"/>
            </w:tcBorders>
            <w:shd w:val="clear" w:color="auto" w:fill="FFFFFF"/>
            <w:vAlign w:val="center"/>
          </w:tcPr>
          <w:p w14:paraId="3DEA0027">
            <w:pPr>
              <w:widowControl/>
              <w:ind w:firstLine="0" w:firstLineChars="0"/>
              <w:jc w:val="center"/>
              <w:rPr>
                <w:rFonts w:ascii="Times New Roman" w:hAnsi="Times New Roman" w:cs="宋体"/>
                <w:kern w:val="0"/>
                <w:sz w:val="24"/>
                <w:szCs w:val="24"/>
              </w:rPr>
            </w:pPr>
          </w:p>
        </w:tc>
        <w:tc>
          <w:tcPr>
            <w:tcW w:w="1502"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0EE81C1B">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产出时效</w:t>
            </w: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4FE82043">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项目按时完成率</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F63C4F8">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50943A3A">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76B4AA4C">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01B24F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5" w:hRule="atLeast"/>
          <w:jc w:val="center"/>
        </w:trPr>
        <w:tc>
          <w:tcPr>
            <w:tcW w:w="1550" w:type="dxa"/>
            <w:vMerge w:val="continue"/>
            <w:tcBorders>
              <w:right w:val="single" w:color="auto" w:sz="4" w:space="0"/>
              <w:tl2br w:val="nil"/>
              <w:tr2bl w:val="nil"/>
            </w:tcBorders>
            <w:shd w:val="clear" w:color="auto" w:fill="FFFFFF"/>
            <w:vAlign w:val="center"/>
          </w:tcPr>
          <w:p w14:paraId="23C86DD4">
            <w:pPr>
              <w:widowControl/>
              <w:ind w:firstLine="0" w:firstLineChars="0"/>
              <w:jc w:val="center"/>
              <w:rPr>
                <w:rFonts w:ascii="Times New Roman" w:hAnsi="Times New Roman" w:cs="宋体"/>
                <w:kern w:val="0"/>
                <w:sz w:val="24"/>
                <w:szCs w:val="24"/>
              </w:rPr>
            </w:pPr>
          </w:p>
        </w:tc>
        <w:tc>
          <w:tcPr>
            <w:tcW w:w="1502"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5B75AF58">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产出成本</w:t>
            </w: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0A2F152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新疆血液信息数据中心系统的更新维护</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7BF786FC">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2.5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5A9A5C40">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0</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660AB686">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0%</w:t>
            </w:r>
          </w:p>
        </w:tc>
      </w:tr>
      <w:tr w14:paraId="6CC121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5" w:hRule="atLeast"/>
          <w:jc w:val="center"/>
        </w:trPr>
        <w:tc>
          <w:tcPr>
            <w:tcW w:w="1550" w:type="dxa"/>
            <w:vMerge w:val="continue"/>
            <w:tcBorders>
              <w:right w:val="single" w:color="auto" w:sz="4" w:space="0"/>
              <w:tl2br w:val="nil"/>
              <w:tr2bl w:val="nil"/>
            </w:tcBorders>
            <w:shd w:val="clear" w:color="auto" w:fill="FFFFFF"/>
            <w:vAlign w:val="center"/>
          </w:tcPr>
          <w:p w14:paraId="3DBC64B2">
            <w:pPr>
              <w:widowControl/>
              <w:ind w:firstLine="0" w:firstLineChars="0"/>
              <w:jc w:val="center"/>
              <w:rPr>
                <w:rFonts w:ascii="Times New Roman" w:hAnsi="Times New Roman"/>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652840BC">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127EE5A2">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血站智慧化建设</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6DD6503A">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2.5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149EAEBC">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0</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D7AEF99">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0%</w:t>
            </w:r>
          </w:p>
        </w:tc>
      </w:tr>
      <w:tr w14:paraId="02EE58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5" w:hRule="atLeast"/>
          <w:jc w:val="center"/>
        </w:trPr>
        <w:tc>
          <w:tcPr>
            <w:tcW w:w="1550" w:type="dxa"/>
            <w:vMerge w:val="continue"/>
            <w:tcBorders>
              <w:right w:val="single" w:color="auto" w:sz="4" w:space="0"/>
              <w:tl2br w:val="nil"/>
              <w:tr2bl w:val="nil"/>
            </w:tcBorders>
            <w:shd w:val="clear" w:color="auto" w:fill="FFFFFF"/>
            <w:vAlign w:val="center"/>
          </w:tcPr>
          <w:p w14:paraId="04804D43">
            <w:pPr>
              <w:widowControl/>
              <w:ind w:firstLine="0" w:firstLineChars="0"/>
              <w:jc w:val="center"/>
              <w:rPr>
                <w:rFonts w:ascii="Times New Roman" w:hAnsi="Times New Roman" w:eastAsia="宋体" w:cs="宋体"/>
                <w:color w:val="000000"/>
                <w:kern w:val="0"/>
                <w:sz w:val="22"/>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679A99A8">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08C63A87">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无偿献血宣传活动</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58295B99">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2.5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4F03BA62">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2.5</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3CE89A5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51C046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5" w:hRule="atLeast"/>
          <w:jc w:val="center"/>
        </w:trPr>
        <w:tc>
          <w:tcPr>
            <w:tcW w:w="1550" w:type="dxa"/>
            <w:vMerge w:val="continue"/>
            <w:tcBorders>
              <w:right w:val="single" w:color="auto" w:sz="4" w:space="0"/>
              <w:tl2br w:val="nil"/>
              <w:tr2bl w:val="nil"/>
            </w:tcBorders>
            <w:shd w:val="clear" w:color="auto" w:fill="FFFFFF"/>
            <w:vAlign w:val="center"/>
          </w:tcPr>
          <w:p w14:paraId="1D057662">
            <w:pPr>
              <w:widowControl/>
              <w:ind w:firstLine="0" w:firstLineChars="0"/>
              <w:jc w:val="center"/>
              <w:rPr>
                <w:rFonts w:ascii="Times New Roman" w:hAnsi="Times New Roman" w:eastAsia="宋体" w:cs="宋体"/>
                <w:color w:val="000000"/>
                <w:kern w:val="0"/>
                <w:sz w:val="22"/>
              </w:rPr>
            </w:pPr>
          </w:p>
        </w:tc>
        <w:tc>
          <w:tcPr>
            <w:tcW w:w="150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431B8FD9">
            <w:pPr>
              <w:widowControl/>
              <w:ind w:firstLine="0" w:firstLineChars="0"/>
              <w:jc w:val="center"/>
              <w:rPr>
                <w:rFonts w:hint="eastAsia" w:ascii="Times New Roman" w:hAnsi="Times New Roman" w:cs="宋体"/>
                <w:kern w:val="0"/>
                <w:sz w:val="24"/>
                <w:szCs w:val="24"/>
              </w:rPr>
            </w:pP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592FDF9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试剂耗材</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6169D542">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2.5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38F7724A">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2.49</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452BEC2">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99.6%</w:t>
            </w:r>
          </w:p>
        </w:tc>
      </w:tr>
      <w:tr w14:paraId="6B2BC6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right w:val="single" w:color="auto" w:sz="4" w:space="0"/>
              <w:tl2br w:val="nil"/>
              <w:tr2bl w:val="nil"/>
            </w:tcBorders>
            <w:shd w:val="clear" w:color="auto" w:fill="FFFFFF"/>
            <w:vAlign w:val="center"/>
          </w:tcPr>
          <w:p w14:paraId="1270E19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效益</w:t>
            </w:r>
          </w:p>
        </w:tc>
        <w:tc>
          <w:tcPr>
            <w:tcW w:w="1502"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6E0956EA">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社会效益</w:t>
            </w: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373B19D2">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提高临床用血安全</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3A20848F">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5C3EF29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5</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1D295364">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r w14:paraId="0C332E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right w:val="single" w:color="auto" w:sz="4" w:space="0"/>
              <w:tl2br w:val="nil"/>
              <w:tr2bl w:val="nil"/>
            </w:tcBorders>
            <w:shd w:val="clear" w:color="auto" w:fill="FFFFFF"/>
            <w:vAlign w:val="center"/>
          </w:tcPr>
          <w:p w14:paraId="1FA11468">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满意度指标完成情况分析</w:t>
            </w:r>
          </w:p>
        </w:tc>
        <w:tc>
          <w:tcPr>
            <w:tcW w:w="1502"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54A04CCE">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满意度指标</w:t>
            </w:r>
          </w:p>
        </w:tc>
        <w:tc>
          <w:tcPr>
            <w:tcW w:w="3175"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14:paraId="3495AB78">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献血者满意度</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981EE59">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10</w:t>
            </w:r>
          </w:p>
        </w:tc>
        <w:tc>
          <w:tcPr>
            <w:tcW w:w="898"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323F1630">
            <w:pPr>
              <w:widowControl/>
              <w:ind w:firstLine="0" w:firstLineChars="0"/>
              <w:jc w:val="center"/>
              <w:rPr>
                <w:rFonts w:hint="eastAsia" w:ascii="Times New Roman" w:hAnsi="Times New Roman" w:cs="宋体"/>
                <w:kern w:val="0"/>
                <w:sz w:val="24"/>
                <w:szCs w:val="24"/>
              </w:rPr>
            </w:pPr>
            <w:r>
              <w:rPr>
                <w:rFonts w:hint="eastAsia" w:ascii="Times New Roman" w:hAnsi="Times New Roman" w:cs="宋体"/>
                <w:kern w:val="0"/>
                <w:sz w:val="24"/>
                <w:szCs w:val="24"/>
              </w:rPr>
              <w:t>10</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14:paraId="06EA7666">
            <w:pPr>
              <w:widowControl/>
              <w:ind w:firstLine="0" w:firstLineChars="0"/>
              <w:jc w:val="center"/>
              <w:rPr>
                <w:rFonts w:ascii="Times New Roman" w:hAnsi="Times New Roman" w:cs="宋体"/>
                <w:kern w:val="0"/>
                <w:sz w:val="24"/>
                <w:szCs w:val="24"/>
              </w:rPr>
            </w:pPr>
            <w:r>
              <w:rPr>
                <w:rFonts w:hint="eastAsia" w:ascii="Times New Roman" w:hAnsi="Times New Roman" w:cs="宋体"/>
                <w:kern w:val="0"/>
                <w:sz w:val="24"/>
                <w:szCs w:val="24"/>
              </w:rPr>
              <w:t>100%</w:t>
            </w:r>
          </w:p>
        </w:tc>
      </w:tr>
    </w:tbl>
    <w:p w14:paraId="2BEAC275">
      <w:pPr>
        <w:pStyle w:val="3"/>
        <w:ind w:firstLine="643"/>
        <w:rPr>
          <w:rFonts w:ascii="Times New Roman" w:hAnsi="Times New Roman" w:eastAsia="仿宋"/>
          <w:lang w:bidi="en-US"/>
        </w:rPr>
      </w:pPr>
      <w:bookmarkStart w:id="31" w:name="_Toc67911610"/>
      <w:bookmarkStart w:id="32" w:name="_Toc21734"/>
      <w:r>
        <w:rPr>
          <w:rFonts w:hint="eastAsia" w:ascii="Times New Roman" w:hAnsi="Times New Roman" w:eastAsia="仿宋"/>
          <w:lang w:bidi="en-US"/>
        </w:rPr>
        <w:t>（二）主要绩效</w:t>
      </w:r>
      <w:bookmarkEnd w:id="31"/>
      <w:bookmarkEnd w:id="32"/>
    </w:p>
    <w:p w14:paraId="33C2BC04">
      <w:pPr>
        <w:spacing w:line="360" w:lineRule="auto"/>
        <w:ind w:firstLine="548" w:firstLineChars="196"/>
        <w:rPr>
          <w:rFonts w:ascii="Times New Roman" w:hAnsi="Times New Roman"/>
          <w:bCs/>
          <w:szCs w:val="28"/>
          <w:highlight w:val="yellow"/>
        </w:rPr>
      </w:pPr>
      <w:r>
        <w:rPr>
          <w:rFonts w:hint="eastAsia" w:ascii="Times New Roman" w:hAnsi="Times New Roman"/>
          <w:bCs/>
          <w:szCs w:val="28"/>
        </w:rPr>
        <w:t>该项目资金区财政及时拨付，单位在此次评价期间内，有序完成设定目标的部分工作任务：全年举行2次大型无偿献血宣传活动，与三家媒体合作进行无偿献血宣传，提升了公众无偿献血知晓率与参与度，推动更多人加入无偿献血队伍；对我单位业务科室储血点（库）设备、各点位采血车、各业务科室仪器设备（含信息系统）进行更新维护，保障我单位采供血职能；购买哨点监测试剂61盒、核酸检测试剂204盒，保障临床用血核酸检测全覆盖。对采集的血液进行血液筛查、核酸检测及哨点监测，保障血液安全，为用血者筑起健康屏障，保障临床用血安全。</w:t>
      </w:r>
    </w:p>
    <w:p w14:paraId="00A77B6C">
      <w:pPr>
        <w:pStyle w:val="2"/>
        <w:ind w:firstLine="0" w:firstLineChars="0"/>
        <w:jc w:val="left"/>
        <w:rPr>
          <w:rFonts w:ascii="Times New Roman" w:hAnsi="Times New Roman" w:eastAsia="仿宋"/>
          <w:sz w:val="36"/>
          <w:szCs w:val="36"/>
          <w:lang w:bidi="en-US"/>
        </w:rPr>
      </w:pPr>
      <w:bookmarkStart w:id="33" w:name="_Toc67911611"/>
      <w:bookmarkStart w:id="34" w:name="_Toc19108"/>
      <w:r>
        <w:rPr>
          <w:rFonts w:hint="eastAsia" w:ascii="Times New Roman" w:hAnsi="Times New Roman" w:eastAsia="仿宋"/>
          <w:sz w:val="36"/>
          <w:szCs w:val="36"/>
          <w:lang w:bidi="en-US"/>
        </w:rPr>
        <w:t>四、绩效评价指标分析</w:t>
      </w:r>
      <w:bookmarkEnd w:id="33"/>
      <w:bookmarkEnd w:id="34"/>
    </w:p>
    <w:p w14:paraId="59FA02B8">
      <w:pPr>
        <w:pStyle w:val="3"/>
        <w:ind w:firstLine="643"/>
        <w:rPr>
          <w:rFonts w:ascii="Times New Roman" w:hAnsi="Times New Roman" w:eastAsia="仿宋"/>
          <w:lang w:bidi="en-US"/>
        </w:rPr>
      </w:pPr>
      <w:bookmarkStart w:id="35" w:name="_Toc67911612"/>
      <w:bookmarkStart w:id="36" w:name="_Toc29724"/>
      <w:r>
        <w:rPr>
          <w:rFonts w:hint="eastAsia" w:ascii="Times New Roman" w:hAnsi="Times New Roman" w:eastAsia="仿宋"/>
          <w:lang w:bidi="en-US"/>
        </w:rPr>
        <w:t>（一）项目决策情况</w:t>
      </w:r>
      <w:bookmarkEnd w:id="35"/>
      <w:bookmarkEnd w:id="36"/>
    </w:p>
    <w:p w14:paraId="3C643D90">
      <w:pPr>
        <w:spacing w:line="360" w:lineRule="auto"/>
        <w:ind w:firstLine="560"/>
        <w:rPr>
          <w:rFonts w:ascii="Times New Roman" w:hAnsi="Times New Roman"/>
          <w:szCs w:val="28"/>
        </w:rPr>
      </w:pPr>
      <w:r>
        <w:rPr>
          <w:rFonts w:hint="eastAsia" w:ascii="Times New Roman" w:hAnsi="Times New Roman"/>
          <w:szCs w:val="28"/>
        </w:rPr>
        <w:t>项目决算指标由3个二级指标和6个三级指标构成，权重为</w:t>
      </w:r>
      <w:r>
        <w:rPr>
          <w:rFonts w:ascii="Times New Roman" w:hAnsi="Times New Roman"/>
          <w:szCs w:val="28"/>
        </w:rPr>
        <w:t>20</w:t>
      </w:r>
      <w:r>
        <w:rPr>
          <w:rFonts w:hint="eastAsia" w:ascii="Times New Roman" w:hAnsi="Times New Roman"/>
          <w:szCs w:val="28"/>
        </w:rPr>
        <w:t>分，实际得分20分。</w:t>
      </w:r>
    </w:p>
    <w:p w14:paraId="21962CAC">
      <w:pPr>
        <w:pStyle w:val="4"/>
        <w:ind w:firstLine="643"/>
        <w:rPr>
          <w:rFonts w:ascii="Times New Roman" w:hAnsi="Times New Roman"/>
        </w:rPr>
      </w:pPr>
      <w:bookmarkStart w:id="37" w:name="_Toc32201"/>
      <w:r>
        <w:rPr>
          <w:rFonts w:ascii="Times New Roman" w:hAnsi="Times New Roman"/>
        </w:rPr>
        <w:t>1.</w:t>
      </w:r>
      <w:r>
        <w:rPr>
          <w:rFonts w:hint="eastAsia" w:ascii="Times New Roman" w:hAnsi="Times New Roman"/>
        </w:rPr>
        <w:t>项目立项</w:t>
      </w:r>
      <w:bookmarkEnd w:id="37"/>
    </w:p>
    <w:p w14:paraId="3895819B">
      <w:pPr>
        <w:spacing w:line="360" w:lineRule="auto"/>
        <w:ind w:firstLine="562"/>
        <w:rPr>
          <w:rFonts w:ascii="Times New Roman" w:hAnsi="Times New Roman"/>
          <w:szCs w:val="28"/>
        </w:rPr>
      </w:pPr>
      <w:r>
        <w:rPr>
          <w:rFonts w:hint="eastAsia" w:ascii="Times New Roman" w:hAnsi="Times New Roman"/>
          <w:b/>
          <w:bCs/>
          <w:szCs w:val="28"/>
        </w:rPr>
        <w:t>立项依据充分性：</w:t>
      </w:r>
      <w:r>
        <w:rPr>
          <w:rFonts w:hint="eastAsia" w:ascii="Times New Roman" w:hAnsi="Times New Roman"/>
          <w:szCs w:val="28"/>
        </w:rPr>
        <w:t>项目立项根据《中华人民共和国献血法》《血站管理办法》《血站质量管理规范》《血站实验室质量管理规范》《血站实验室质量管理规范》等法律法规；根据《中华人民共和国献血法》《自治区实施&lt;中华人民共和国献血法&gt;若干规定》，让无偿献血者享受到无偿献血的报销政策，让更多的人加入到无偿献血的队伍当中。为保证无偿献血工作的可持续发展，保障广大献血者的利益，调动医疗机构做好用血互助金的收取工作。按照《血站技术操作规程》的要求，制备的血液成分，经质量管理部门定期抽检，符合《全血及成分血质量要求》</w:t>
      </w:r>
      <w:r>
        <w:rPr>
          <w:rFonts w:hint="eastAsia" w:ascii="Times New Roman" w:hAnsi="Times New Roman"/>
          <w:szCs w:val="28"/>
          <w:lang w:eastAsia="zh-CN"/>
        </w:rPr>
        <w:t>（</w:t>
      </w:r>
      <w:r>
        <w:rPr>
          <w:rFonts w:hint="eastAsia" w:ascii="Times New Roman" w:hAnsi="Times New Roman"/>
          <w:szCs w:val="28"/>
        </w:rPr>
        <w:t>GB18469-2012</w:t>
      </w:r>
      <w:r>
        <w:rPr>
          <w:rFonts w:hint="eastAsia" w:ascii="Times New Roman" w:hAnsi="Times New Roman"/>
          <w:szCs w:val="28"/>
          <w:lang w:eastAsia="zh-CN"/>
        </w:rPr>
        <w:t>）</w:t>
      </w:r>
      <w:r>
        <w:rPr>
          <w:rFonts w:hint="eastAsia" w:ascii="Times New Roman" w:hAnsi="Times New Roman"/>
          <w:szCs w:val="28"/>
        </w:rPr>
        <w:t>的规定，以保证血液质量与血液安全。根据自治区卫健委《关于自治区无偿献血经验交流会会议纪要》要求建立全疆血液联动机制支援乌鲁木齐血液供应等相关法律法规政策要求。同时，项目与我单位职责范围相符，属</w:t>
      </w:r>
      <w:r>
        <w:rPr>
          <w:rFonts w:hint="eastAsia" w:ascii="Times New Roman" w:hAnsi="Times New Roman"/>
          <w:szCs w:val="28"/>
          <w:lang w:val="en-US" w:eastAsia="zh-CN"/>
        </w:rPr>
        <w:t>于</w:t>
      </w:r>
      <w:r>
        <w:rPr>
          <w:rFonts w:hint="eastAsia" w:ascii="Times New Roman" w:hAnsi="Times New Roman"/>
          <w:szCs w:val="28"/>
        </w:rPr>
        <w:t>部门履职所需。此外，本项目属于公共财政支持范围，符合中央事权。因此，立项依据充分，得4分。</w:t>
      </w:r>
    </w:p>
    <w:p w14:paraId="41F9C8E9">
      <w:pPr>
        <w:spacing w:line="360" w:lineRule="auto"/>
        <w:ind w:firstLine="562"/>
        <w:rPr>
          <w:rFonts w:hint="eastAsia" w:ascii="Times New Roman" w:hAnsi="Times New Roman"/>
          <w:szCs w:val="28"/>
        </w:rPr>
      </w:pPr>
      <w:r>
        <w:rPr>
          <w:rFonts w:hint="eastAsia" w:ascii="Times New Roman" w:hAnsi="Times New Roman"/>
          <w:b/>
          <w:bCs/>
          <w:szCs w:val="28"/>
          <w:highlight w:val="none"/>
        </w:rPr>
        <w:t>立项程序规范性</w:t>
      </w:r>
      <w:r>
        <w:rPr>
          <w:rFonts w:ascii="Times New Roman" w:hAnsi="Times New Roman"/>
          <w:b/>
          <w:bCs/>
          <w:szCs w:val="28"/>
          <w:highlight w:val="none"/>
        </w:rPr>
        <w:t>:</w:t>
      </w:r>
      <w:r>
        <w:rPr>
          <w:rFonts w:hint="eastAsia" w:ascii="Times New Roman" w:hAnsi="Times New Roman"/>
          <w:szCs w:val="28"/>
          <w:highlight w:val="none"/>
        </w:rPr>
        <w:t>本项</w:t>
      </w:r>
      <w:r>
        <w:rPr>
          <w:rFonts w:hint="eastAsia" w:ascii="Times New Roman" w:hAnsi="Times New Roman"/>
          <w:szCs w:val="28"/>
        </w:rPr>
        <w:t>目立项严格遵循国家相关法律法规（如《中华人民共和国献血法》《中央财政专项资金管理办法》等）及卫生健康、财政部门的专项政策要求，资金用途与中央战略目标一致，用于艾滋病防治项目中的无偿献血宣传活动、招募献血者活动、仪器设备更新维护、血液进行血液筛查、核酸检测和哨点监测。申报流程标准化，我单位须提交包含预算明细及配套资金承诺的完整材料，经</w:t>
      </w:r>
      <w:r>
        <w:rPr>
          <w:rFonts w:hint="eastAsia" w:ascii="Times New Roman" w:hAnsi="Times New Roman"/>
          <w:szCs w:val="28"/>
          <w:lang w:val="en-US" w:eastAsia="zh-CN"/>
        </w:rPr>
        <w:t>主管部门审核</w:t>
      </w:r>
      <w:r>
        <w:rPr>
          <w:rFonts w:hint="eastAsia" w:ascii="Times New Roman" w:hAnsi="Times New Roman"/>
          <w:szCs w:val="28"/>
        </w:rPr>
        <w:t>，确保形式合规与实质合理。</w:t>
      </w:r>
    </w:p>
    <w:p w14:paraId="48387630">
      <w:pPr>
        <w:autoSpaceDE w:val="0"/>
        <w:spacing w:line="600" w:lineRule="exact"/>
        <w:ind w:firstLine="562"/>
        <w:rPr>
          <w:rFonts w:ascii="Times New Roman" w:hAnsi="Times New Roman" w:cs="宋体"/>
          <w:b/>
          <w:kern w:val="0"/>
          <w:szCs w:val="28"/>
        </w:rPr>
      </w:pPr>
      <w:r>
        <w:rPr>
          <w:rFonts w:hint="eastAsia" w:ascii="Times New Roman" w:hAnsi="Times New Roman" w:cs="宋体"/>
          <w:b/>
          <w:kern w:val="0"/>
          <w:szCs w:val="28"/>
        </w:rPr>
        <w:t>综上，该指标满分</w:t>
      </w:r>
      <w:r>
        <w:rPr>
          <w:rFonts w:ascii="Times New Roman" w:hAnsi="Times New Roman" w:cs="宋体"/>
          <w:b/>
          <w:kern w:val="0"/>
          <w:szCs w:val="28"/>
        </w:rPr>
        <w:t>8</w:t>
      </w:r>
      <w:r>
        <w:rPr>
          <w:rFonts w:hint="eastAsia" w:ascii="Times New Roman" w:hAnsi="Times New Roman" w:cs="宋体"/>
          <w:b/>
          <w:kern w:val="0"/>
          <w:szCs w:val="28"/>
        </w:rPr>
        <w:t>分，得分8分。</w:t>
      </w:r>
    </w:p>
    <w:p w14:paraId="651F3357">
      <w:pPr>
        <w:pStyle w:val="4"/>
        <w:ind w:firstLine="643"/>
        <w:rPr>
          <w:rFonts w:ascii="Times New Roman" w:hAnsi="Times New Roman"/>
        </w:rPr>
      </w:pPr>
      <w:bookmarkStart w:id="38" w:name="_Toc7156"/>
      <w:r>
        <w:rPr>
          <w:rFonts w:hint="eastAsia" w:ascii="Times New Roman" w:hAnsi="Times New Roman"/>
        </w:rPr>
        <w:t>2</w:t>
      </w:r>
      <w:r>
        <w:rPr>
          <w:rFonts w:ascii="Times New Roman" w:hAnsi="Times New Roman"/>
        </w:rPr>
        <w:t>.</w:t>
      </w:r>
      <w:r>
        <w:rPr>
          <w:rFonts w:hint="eastAsia" w:ascii="Times New Roman" w:hAnsi="Times New Roman"/>
        </w:rPr>
        <w:t>绩效目标</w:t>
      </w:r>
      <w:bookmarkEnd w:id="38"/>
    </w:p>
    <w:p w14:paraId="3FE5A55B">
      <w:pPr>
        <w:spacing w:line="360" w:lineRule="auto"/>
        <w:ind w:firstLine="562"/>
        <w:rPr>
          <w:rFonts w:hint="default" w:ascii="Times New Roman" w:hAnsi="Times New Roman" w:eastAsia="仿宋_GB2312"/>
          <w:b/>
          <w:bCs/>
          <w:szCs w:val="28"/>
          <w:highlight w:val="none"/>
          <w:lang w:val="en-US" w:eastAsia="zh-CN"/>
        </w:rPr>
      </w:pPr>
      <w:r>
        <w:rPr>
          <w:rFonts w:hint="eastAsia" w:ascii="Times New Roman" w:hAnsi="Times New Roman"/>
          <w:b/>
          <w:bCs/>
          <w:szCs w:val="28"/>
          <w:highlight w:val="none"/>
        </w:rPr>
        <w:t>绩效目标合理性：</w:t>
      </w:r>
      <w:r>
        <w:rPr>
          <w:rFonts w:hint="eastAsia" w:ascii="Times New Roman" w:hAnsi="Times New Roman"/>
          <w:szCs w:val="28"/>
          <w:highlight w:val="none"/>
          <w:lang w:val="en-US" w:eastAsia="zh-CN"/>
        </w:rPr>
        <w:t>本项目围绕产出、效益和满意度三大维度构建绩效目标体系，围绕项目目标设立明确、可衡量、可实现的绩效评价指标。该指标体系能够系统反映项目实施过程中的产出成果与综合效益，</w:t>
      </w:r>
      <w:r>
        <w:rPr>
          <w:rFonts w:hint="eastAsia" w:ascii="Times New Roman" w:hAnsi="Times New Roman"/>
          <w:szCs w:val="28"/>
          <w:highlight w:val="none"/>
        </w:rPr>
        <w:t>故绩效目标合理性指标得分</w:t>
      </w:r>
      <w:r>
        <w:rPr>
          <w:rFonts w:ascii="Times New Roman" w:hAnsi="Times New Roman"/>
          <w:szCs w:val="28"/>
          <w:highlight w:val="none"/>
        </w:rPr>
        <w:t>3</w:t>
      </w:r>
      <w:r>
        <w:rPr>
          <w:rFonts w:hint="eastAsia" w:ascii="Times New Roman" w:hAnsi="Times New Roman"/>
          <w:szCs w:val="28"/>
          <w:highlight w:val="none"/>
        </w:rPr>
        <w:t>分。</w:t>
      </w:r>
    </w:p>
    <w:p w14:paraId="6CEF0A33">
      <w:pPr>
        <w:autoSpaceDE w:val="0"/>
        <w:spacing w:line="600" w:lineRule="exact"/>
        <w:ind w:firstLine="562"/>
        <w:rPr>
          <w:rFonts w:ascii="Times New Roman" w:hAnsi="Times New Roman" w:cs="宋体"/>
          <w:kern w:val="0"/>
          <w:szCs w:val="28"/>
          <w:highlight w:val="none"/>
        </w:rPr>
      </w:pPr>
      <w:r>
        <w:rPr>
          <w:rFonts w:hint="eastAsia" w:ascii="Times New Roman" w:hAnsi="Times New Roman" w:cs="宋体"/>
          <w:b/>
          <w:kern w:val="0"/>
          <w:szCs w:val="28"/>
        </w:rPr>
        <w:t>绩效目标明确性：</w:t>
      </w:r>
      <w:r>
        <w:rPr>
          <w:rFonts w:hint="eastAsia" w:ascii="Times New Roman" w:hAnsi="Times New Roman" w:cs="宋体"/>
          <w:kern w:val="0"/>
          <w:szCs w:val="28"/>
        </w:rPr>
        <w:t>本项目主要任务是为了我单位2024年度艾滋病防治项目血液质量安全中的无偿献血宣传、招募；储血点（库）设备、采血车、仪器设备更新维护（含信息系统）；血液筛查核酸检测；哨点监测。目标已细化为具体的绩效指标，可通过哨点监测、智慧化建设、核酸检测试剂等指标予以量化。并具有确切的评价标准，且指标设定均与目标相关。各项指标均能在现实条件下收到相关数据进行佐证。</w:t>
      </w:r>
      <w:r>
        <w:rPr>
          <w:rFonts w:hint="eastAsia" w:ascii="Times New Roman" w:hAnsi="Times New Roman" w:cs="宋体"/>
          <w:kern w:val="0"/>
          <w:szCs w:val="28"/>
          <w:highlight w:val="none"/>
        </w:rPr>
        <w:t>如：相关科室可以提供</w:t>
      </w:r>
      <w:r>
        <w:rPr>
          <w:rFonts w:hint="eastAsia" w:ascii="Times New Roman" w:hAnsi="Times New Roman" w:cs="宋体"/>
          <w:kern w:val="0"/>
          <w:szCs w:val="28"/>
          <w:highlight w:val="none"/>
          <w:lang w:val="en-US" w:eastAsia="zh-CN"/>
        </w:rPr>
        <w:t>合同</w:t>
      </w:r>
      <w:r>
        <w:rPr>
          <w:rFonts w:hint="eastAsia" w:ascii="Times New Roman" w:hAnsi="Times New Roman" w:cs="宋体"/>
          <w:kern w:val="0"/>
          <w:szCs w:val="28"/>
          <w:highlight w:val="none"/>
        </w:rPr>
        <w:t>、国库集中支付凭证、中标通知书等进行佐证，并与当年项目年度计划相对应，故绩效目标明确性指标得分</w:t>
      </w:r>
      <w:r>
        <w:rPr>
          <w:rFonts w:ascii="Times New Roman" w:hAnsi="Times New Roman" w:cs="宋体"/>
          <w:kern w:val="0"/>
          <w:szCs w:val="28"/>
          <w:highlight w:val="none"/>
        </w:rPr>
        <w:t>3</w:t>
      </w:r>
      <w:r>
        <w:rPr>
          <w:rFonts w:hint="eastAsia" w:ascii="Times New Roman" w:hAnsi="Times New Roman" w:cs="宋体"/>
          <w:kern w:val="0"/>
          <w:szCs w:val="28"/>
          <w:highlight w:val="none"/>
        </w:rPr>
        <w:t>分。</w:t>
      </w:r>
    </w:p>
    <w:p w14:paraId="4009DA48">
      <w:pPr>
        <w:autoSpaceDE w:val="0"/>
        <w:spacing w:line="600" w:lineRule="exact"/>
        <w:ind w:firstLine="562"/>
        <w:rPr>
          <w:rFonts w:ascii="Times New Roman" w:hAnsi="Times New Roman" w:cs="宋体"/>
          <w:b/>
          <w:kern w:val="0"/>
          <w:szCs w:val="28"/>
        </w:rPr>
      </w:pPr>
      <w:r>
        <w:rPr>
          <w:rFonts w:hint="eastAsia" w:ascii="Times New Roman" w:hAnsi="Times New Roman" w:cs="宋体"/>
          <w:b/>
          <w:kern w:val="0"/>
          <w:szCs w:val="28"/>
        </w:rPr>
        <w:t>综上，该指标满分</w:t>
      </w:r>
      <w:r>
        <w:rPr>
          <w:rFonts w:ascii="Times New Roman" w:hAnsi="Times New Roman" w:cs="宋体"/>
          <w:b/>
          <w:kern w:val="0"/>
          <w:szCs w:val="28"/>
        </w:rPr>
        <w:t>6</w:t>
      </w:r>
      <w:r>
        <w:rPr>
          <w:rFonts w:hint="eastAsia" w:ascii="Times New Roman" w:hAnsi="Times New Roman" w:cs="宋体"/>
          <w:b/>
          <w:kern w:val="0"/>
          <w:szCs w:val="28"/>
        </w:rPr>
        <w:t>分，得分6分。</w:t>
      </w:r>
    </w:p>
    <w:p w14:paraId="77A0B961">
      <w:pPr>
        <w:pStyle w:val="4"/>
        <w:ind w:firstLine="643"/>
        <w:rPr>
          <w:rFonts w:ascii="Times New Roman" w:hAnsi="Times New Roman"/>
        </w:rPr>
      </w:pPr>
      <w:bookmarkStart w:id="39" w:name="_Toc26508"/>
      <w:r>
        <w:rPr>
          <w:rFonts w:hint="eastAsia" w:ascii="Times New Roman" w:hAnsi="Times New Roman"/>
        </w:rPr>
        <w:t>3.资金投入</w:t>
      </w:r>
      <w:bookmarkEnd w:id="39"/>
    </w:p>
    <w:p w14:paraId="21BB1492">
      <w:pPr>
        <w:autoSpaceDE w:val="0"/>
        <w:spacing w:line="600" w:lineRule="exact"/>
        <w:ind w:firstLine="562"/>
        <w:rPr>
          <w:rFonts w:ascii="Times New Roman" w:hAnsi="Times New Roman" w:cs="宋体"/>
          <w:bCs/>
          <w:kern w:val="0"/>
          <w:szCs w:val="28"/>
        </w:rPr>
      </w:pPr>
      <w:r>
        <w:rPr>
          <w:rFonts w:hint="eastAsia" w:ascii="Times New Roman" w:hAnsi="Times New Roman" w:cs="宋体"/>
          <w:b/>
          <w:kern w:val="0"/>
          <w:szCs w:val="28"/>
        </w:rPr>
        <w:t>预算编制科学性：</w:t>
      </w:r>
      <w:r>
        <w:rPr>
          <w:rFonts w:hint="eastAsia" w:ascii="Times New Roman" w:hAnsi="Times New Roman" w:cs="宋体"/>
          <w:kern w:val="0"/>
          <w:szCs w:val="28"/>
        </w:rPr>
        <w:t>我单位编制2024年预算，</w:t>
      </w:r>
      <w:r>
        <w:rPr>
          <w:rFonts w:hint="eastAsia" w:ascii="Times New Roman" w:hAnsi="Times New Roman"/>
          <w:szCs w:val="28"/>
        </w:rPr>
        <w:t>由我单位各科室上报预算情况，由单位预算会进行多次预算的订制，经过单位预算的调整，</w:t>
      </w:r>
      <w:r>
        <w:rPr>
          <w:rFonts w:hint="eastAsia" w:ascii="Times New Roman" w:hAnsi="Times New Roman" w:cs="宋体"/>
          <w:kern w:val="0"/>
          <w:szCs w:val="28"/>
        </w:rPr>
        <w:t>财务科根据预算申报的要求进行预算申报，上报主管局及财政局审批，由此编制项目所需的总金额以及需要达成的绩效目标</w:t>
      </w:r>
      <w:r>
        <w:rPr>
          <w:rFonts w:hint="eastAsia" w:ascii="Times New Roman" w:hAnsi="Times New Roman" w:cs="宋体"/>
          <w:b/>
          <w:kern w:val="0"/>
          <w:szCs w:val="28"/>
        </w:rPr>
        <w:t>。</w:t>
      </w:r>
      <w:r>
        <w:rPr>
          <w:rFonts w:hint="eastAsia" w:ascii="Times New Roman" w:hAnsi="Times New Roman" w:cs="宋体"/>
          <w:kern w:val="0"/>
          <w:szCs w:val="28"/>
        </w:rPr>
        <w:t>故预算编制科学性指标得分</w:t>
      </w:r>
      <w:r>
        <w:rPr>
          <w:rFonts w:ascii="Times New Roman" w:hAnsi="Times New Roman" w:cs="宋体"/>
          <w:kern w:val="0"/>
          <w:szCs w:val="28"/>
        </w:rPr>
        <w:t>3</w:t>
      </w:r>
      <w:r>
        <w:rPr>
          <w:rFonts w:hint="eastAsia" w:ascii="Times New Roman" w:hAnsi="Times New Roman" w:cs="宋体"/>
          <w:kern w:val="0"/>
          <w:szCs w:val="28"/>
        </w:rPr>
        <w:t>分</w:t>
      </w:r>
      <w:r>
        <w:rPr>
          <w:rFonts w:hint="eastAsia" w:ascii="Times New Roman" w:hAnsi="Times New Roman" w:cs="宋体"/>
          <w:b/>
          <w:kern w:val="0"/>
          <w:szCs w:val="28"/>
        </w:rPr>
        <w:t>。</w:t>
      </w:r>
    </w:p>
    <w:p w14:paraId="11F9DE7D">
      <w:pPr>
        <w:spacing w:line="360" w:lineRule="auto"/>
        <w:ind w:firstLine="562"/>
        <w:rPr>
          <w:rFonts w:ascii="Times New Roman" w:hAnsi="Times New Roman"/>
        </w:rPr>
      </w:pPr>
      <w:r>
        <w:rPr>
          <w:rFonts w:hint="eastAsia" w:ascii="Times New Roman" w:hAnsi="Times New Roman"/>
          <w:b/>
          <w:bCs/>
        </w:rPr>
        <w:t>资金分配合理性</w:t>
      </w:r>
      <w:r>
        <w:rPr>
          <w:rFonts w:hint="eastAsia" w:ascii="Times New Roman" w:hAnsi="Times New Roman"/>
        </w:rPr>
        <w:t>：</w:t>
      </w:r>
      <w:r>
        <w:rPr>
          <w:rFonts w:hint="eastAsia" w:ascii="Times New Roman" w:hAnsi="Times New Roman" w:cs="宋体"/>
          <w:kern w:val="0"/>
          <w:szCs w:val="28"/>
        </w:rPr>
        <w:t>根据我单位采供血职能，该资金用于完成国家卫生行政部门要求完成血液的采集、制备、储存，提高血液安全，完成相关检测，提高血液安全。扩大无偿献血队伍，确保临床用血需求。其中20万元委托业务费，用于无偿献血宣传和献血者招募；50万元用于储血点（库）设备、采血车、仪器设备更新维护（含信息系统）；391.50万元用于购买血液筛查、核酸检测和哨点监测的试剂耗材</w:t>
      </w:r>
      <w:r>
        <w:rPr>
          <w:rFonts w:hint="eastAsia" w:ascii="Times New Roman" w:hAnsi="Times New Roman" w:cs="宋体"/>
          <w:b/>
          <w:kern w:val="0"/>
          <w:szCs w:val="28"/>
        </w:rPr>
        <w:t>。</w:t>
      </w:r>
      <w:r>
        <w:rPr>
          <w:rFonts w:hint="eastAsia" w:ascii="Times New Roman" w:hAnsi="Times New Roman" w:cs="宋体"/>
          <w:kern w:val="0"/>
          <w:szCs w:val="28"/>
        </w:rPr>
        <w:t>故资金分配合理性指标得分</w:t>
      </w:r>
      <w:r>
        <w:rPr>
          <w:rFonts w:ascii="Times New Roman" w:hAnsi="Times New Roman" w:cs="宋体"/>
          <w:kern w:val="0"/>
          <w:szCs w:val="28"/>
        </w:rPr>
        <w:t>3</w:t>
      </w:r>
      <w:r>
        <w:rPr>
          <w:rFonts w:hint="eastAsia" w:ascii="Times New Roman" w:hAnsi="Times New Roman" w:cs="宋体"/>
          <w:kern w:val="0"/>
          <w:szCs w:val="28"/>
        </w:rPr>
        <w:t>分。</w:t>
      </w:r>
    </w:p>
    <w:p w14:paraId="2DB1D464">
      <w:pPr>
        <w:spacing w:line="360" w:lineRule="auto"/>
        <w:ind w:firstLine="560"/>
        <w:rPr>
          <w:rFonts w:ascii="Times New Roman" w:hAnsi="Times New Roman"/>
        </w:rPr>
      </w:pPr>
      <w:r>
        <w:rPr>
          <w:rFonts w:hint="eastAsia" w:ascii="Times New Roman" w:hAnsi="Times New Roman" w:cs="宋体"/>
          <w:kern w:val="0"/>
          <w:szCs w:val="28"/>
        </w:rPr>
        <w:t>故资金分配合理性指标得分</w:t>
      </w:r>
      <w:r>
        <w:rPr>
          <w:rFonts w:ascii="Times New Roman" w:hAnsi="Times New Roman" w:cs="宋体"/>
          <w:kern w:val="0"/>
          <w:szCs w:val="28"/>
        </w:rPr>
        <w:t>3</w:t>
      </w:r>
      <w:r>
        <w:rPr>
          <w:rFonts w:hint="eastAsia" w:ascii="Times New Roman" w:hAnsi="Times New Roman" w:cs="宋体"/>
          <w:kern w:val="0"/>
          <w:szCs w:val="28"/>
        </w:rPr>
        <w:t>分。</w:t>
      </w:r>
    </w:p>
    <w:p w14:paraId="26446C5A">
      <w:pPr>
        <w:autoSpaceDE w:val="0"/>
        <w:spacing w:line="600" w:lineRule="exact"/>
        <w:ind w:firstLine="562"/>
        <w:rPr>
          <w:rFonts w:ascii="Times New Roman" w:hAnsi="Times New Roman" w:cs="宋体"/>
          <w:b/>
          <w:kern w:val="0"/>
          <w:szCs w:val="28"/>
        </w:rPr>
      </w:pPr>
      <w:r>
        <w:rPr>
          <w:rFonts w:hint="eastAsia" w:ascii="Times New Roman" w:hAnsi="Times New Roman" w:cs="宋体"/>
          <w:b/>
          <w:kern w:val="0"/>
          <w:szCs w:val="28"/>
        </w:rPr>
        <w:t>综上，该指标满分</w:t>
      </w:r>
      <w:r>
        <w:rPr>
          <w:rFonts w:ascii="Times New Roman" w:hAnsi="Times New Roman" w:cs="宋体"/>
          <w:b/>
          <w:kern w:val="0"/>
          <w:szCs w:val="28"/>
        </w:rPr>
        <w:t>6</w:t>
      </w:r>
      <w:r>
        <w:rPr>
          <w:rFonts w:hint="eastAsia" w:ascii="Times New Roman" w:hAnsi="Times New Roman" w:cs="宋体"/>
          <w:b/>
          <w:kern w:val="0"/>
          <w:szCs w:val="28"/>
        </w:rPr>
        <w:t>分，得分6分。</w:t>
      </w:r>
    </w:p>
    <w:p w14:paraId="5EEDB1AF">
      <w:pPr>
        <w:pStyle w:val="3"/>
        <w:ind w:firstLine="643"/>
        <w:rPr>
          <w:rFonts w:ascii="Times New Roman" w:hAnsi="Times New Roman" w:eastAsia="仿宋"/>
          <w:lang w:bidi="en-US"/>
        </w:rPr>
      </w:pPr>
      <w:bookmarkStart w:id="40" w:name="_Toc19305"/>
      <w:bookmarkStart w:id="41" w:name="_Toc67911613"/>
      <w:r>
        <w:rPr>
          <w:rFonts w:hint="eastAsia" w:ascii="Times New Roman" w:hAnsi="Times New Roman" w:eastAsia="仿宋"/>
          <w:lang w:bidi="en-US"/>
        </w:rPr>
        <w:t>（二）项目过程情况</w:t>
      </w:r>
      <w:bookmarkEnd w:id="40"/>
      <w:bookmarkEnd w:id="41"/>
    </w:p>
    <w:p w14:paraId="62DB21C2">
      <w:pPr>
        <w:spacing w:line="360" w:lineRule="auto"/>
        <w:ind w:firstLine="560"/>
        <w:rPr>
          <w:rFonts w:ascii="Times New Roman" w:hAnsi="Times New Roman"/>
          <w:szCs w:val="28"/>
        </w:rPr>
      </w:pPr>
      <w:r>
        <w:rPr>
          <w:rFonts w:hint="eastAsia" w:ascii="Times New Roman" w:hAnsi="Times New Roman"/>
          <w:szCs w:val="28"/>
        </w:rPr>
        <w:t>项目过程指标由2个二级指标和</w:t>
      </w:r>
      <w:r>
        <w:rPr>
          <w:rFonts w:ascii="Times New Roman" w:hAnsi="Times New Roman"/>
          <w:szCs w:val="28"/>
        </w:rPr>
        <w:t>5</w:t>
      </w:r>
      <w:r>
        <w:rPr>
          <w:rFonts w:hint="eastAsia" w:ascii="Times New Roman" w:hAnsi="Times New Roman"/>
          <w:szCs w:val="28"/>
        </w:rPr>
        <w:t>个三级指标构成，权重为</w:t>
      </w:r>
      <w:r>
        <w:rPr>
          <w:rFonts w:ascii="Times New Roman" w:hAnsi="Times New Roman"/>
          <w:szCs w:val="28"/>
        </w:rPr>
        <w:t>20</w:t>
      </w:r>
      <w:r>
        <w:rPr>
          <w:rFonts w:hint="eastAsia" w:ascii="Times New Roman" w:hAnsi="Times New Roman"/>
          <w:szCs w:val="28"/>
        </w:rPr>
        <w:t>分，实际得分19.82分。</w:t>
      </w:r>
    </w:p>
    <w:p w14:paraId="2B391A8B">
      <w:pPr>
        <w:pStyle w:val="4"/>
        <w:ind w:firstLine="643"/>
        <w:rPr>
          <w:rFonts w:ascii="Times New Roman" w:hAnsi="Times New Roman"/>
          <w:highlight w:val="none"/>
        </w:rPr>
      </w:pPr>
      <w:bookmarkStart w:id="42" w:name="_Toc24854"/>
      <w:r>
        <w:rPr>
          <w:rFonts w:ascii="Times New Roman" w:hAnsi="Times New Roman"/>
        </w:rPr>
        <w:t>1.</w:t>
      </w:r>
      <w:r>
        <w:rPr>
          <w:rFonts w:hint="eastAsia" w:ascii="Times New Roman" w:hAnsi="Times New Roman"/>
        </w:rPr>
        <w:t>资金管理</w:t>
      </w:r>
      <w:bookmarkEnd w:id="42"/>
    </w:p>
    <w:p w14:paraId="45AE3112">
      <w:pPr>
        <w:spacing w:line="360" w:lineRule="auto"/>
        <w:ind w:firstLine="562"/>
        <w:rPr>
          <w:rFonts w:ascii="Times New Roman" w:hAnsi="Times New Roman" w:cs="宋体"/>
          <w:kern w:val="0"/>
          <w:szCs w:val="28"/>
          <w:highlight w:val="none"/>
        </w:rPr>
      </w:pPr>
      <w:r>
        <w:rPr>
          <w:rFonts w:hint="eastAsia" w:ascii="Times New Roman" w:hAnsi="Times New Roman"/>
          <w:b/>
          <w:bCs/>
          <w:szCs w:val="28"/>
          <w:highlight w:val="none"/>
        </w:rPr>
        <w:t>资金到位率：</w:t>
      </w:r>
      <w:r>
        <w:rPr>
          <w:rFonts w:hint="eastAsia" w:ascii="Times New Roman" w:hAnsi="Times New Roman"/>
          <w:highlight w:val="none"/>
        </w:rPr>
        <w:t>该项目资金由财政拨付，年初预算数461.50万元，在2024年1月22到位，实际到位资金</w:t>
      </w:r>
      <w:r>
        <w:rPr>
          <w:rFonts w:ascii="Times New Roman" w:hAnsi="Times New Roman"/>
          <w:highlight w:val="none"/>
        </w:rPr>
        <w:t>444.53</w:t>
      </w:r>
      <w:r>
        <w:rPr>
          <w:rFonts w:hint="eastAsia" w:ascii="Times New Roman" w:hAnsi="Times New Roman"/>
          <w:highlight w:val="none"/>
        </w:rPr>
        <w:t>万元</w:t>
      </w:r>
      <w:r>
        <w:rPr>
          <w:rFonts w:hint="eastAsia" w:ascii="Times New Roman" w:hAnsi="Times New Roman" w:cs="宋体"/>
          <w:b/>
          <w:kern w:val="0"/>
          <w:szCs w:val="28"/>
          <w:highlight w:val="none"/>
        </w:rPr>
        <w:t>，</w:t>
      </w:r>
      <w:r>
        <w:rPr>
          <w:rFonts w:hint="eastAsia" w:ascii="Times New Roman" w:hAnsi="Times New Roman" w:cs="宋体"/>
          <w:kern w:val="0"/>
          <w:szCs w:val="28"/>
          <w:highlight w:val="none"/>
        </w:rPr>
        <w:t>资金到位率9</w:t>
      </w:r>
      <w:r>
        <w:rPr>
          <w:rFonts w:ascii="Times New Roman" w:hAnsi="Times New Roman" w:cs="宋体"/>
          <w:kern w:val="0"/>
          <w:szCs w:val="28"/>
          <w:highlight w:val="none"/>
        </w:rPr>
        <w:t>6.32%，</w:t>
      </w:r>
      <w:r>
        <w:rPr>
          <w:rFonts w:hint="eastAsia" w:ascii="Times New Roman" w:hAnsi="Times New Roman" w:cs="宋体"/>
          <w:kern w:val="0"/>
          <w:szCs w:val="28"/>
          <w:highlight w:val="none"/>
        </w:rPr>
        <w:t>故资金到位率指标得分</w:t>
      </w:r>
      <w:r>
        <w:rPr>
          <w:rFonts w:ascii="Times New Roman" w:hAnsi="Times New Roman" w:cs="宋体"/>
          <w:kern w:val="0"/>
          <w:szCs w:val="28"/>
          <w:highlight w:val="none"/>
        </w:rPr>
        <w:t>4.82</w:t>
      </w:r>
      <w:r>
        <w:rPr>
          <w:rFonts w:hint="eastAsia" w:ascii="Times New Roman" w:hAnsi="Times New Roman" w:cs="宋体"/>
          <w:kern w:val="0"/>
          <w:szCs w:val="28"/>
          <w:highlight w:val="none"/>
        </w:rPr>
        <w:t>分。</w:t>
      </w:r>
    </w:p>
    <w:p w14:paraId="0EE53AA8">
      <w:pPr>
        <w:spacing w:line="360" w:lineRule="auto"/>
        <w:ind w:firstLine="562"/>
        <w:rPr>
          <w:rFonts w:ascii="Times New Roman" w:hAnsi="Times New Roman"/>
          <w:szCs w:val="28"/>
        </w:rPr>
      </w:pPr>
      <w:r>
        <w:rPr>
          <w:rFonts w:hint="eastAsia" w:ascii="Times New Roman" w:hAnsi="Times New Roman"/>
          <w:b/>
          <w:bCs/>
          <w:szCs w:val="28"/>
        </w:rPr>
        <w:t>预算执行率：</w:t>
      </w:r>
      <w:r>
        <w:rPr>
          <w:rFonts w:hint="eastAsia" w:ascii="Times New Roman" w:hAnsi="Times New Roman"/>
        </w:rPr>
        <w:t>该项目实际到位资金</w:t>
      </w:r>
      <w:r>
        <w:rPr>
          <w:rFonts w:ascii="Times New Roman" w:hAnsi="Times New Roman"/>
          <w:highlight w:val="none"/>
        </w:rPr>
        <w:t>444.53</w:t>
      </w:r>
      <w:r>
        <w:rPr>
          <w:rFonts w:hint="eastAsia" w:ascii="Times New Roman" w:hAnsi="Times New Roman"/>
          <w:highlight w:val="none"/>
        </w:rPr>
        <w:t>万元，实际共支付444.53万元，预算执行率</w:t>
      </w:r>
      <w:r>
        <w:rPr>
          <w:rFonts w:ascii="Times New Roman" w:hAnsi="Times New Roman"/>
          <w:highlight w:val="none"/>
        </w:rPr>
        <w:t>100</w:t>
      </w:r>
      <w:r>
        <w:rPr>
          <w:rFonts w:hint="eastAsia" w:ascii="Times New Roman" w:hAnsi="Times New Roman"/>
          <w:highlight w:val="none"/>
        </w:rPr>
        <w:t>%</w:t>
      </w:r>
      <w:r>
        <w:rPr>
          <w:rFonts w:hint="eastAsia" w:ascii="Times New Roman" w:hAnsi="Times New Roman"/>
          <w:b/>
          <w:bCs/>
          <w:szCs w:val="28"/>
          <w:highlight w:val="none"/>
        </w:rPr>
        <w:t>。</w:t>
      </w:r>
      <w:r>
        <w:rPr>
          <w:rFonts w:hint="eastAsia" w:ascii="Times New Roman" w:hAnsi="Times New Roman"/>
          <w:szCs w:val="28"/>
          <w:highlight w:val="none"/>
        </w:rPr>
        <w:t>故预算执行率得分为</w:t>
      </w:r>
      <w:r>
        <w:rPr>
          <w:rFonts w:ascii="Times New Roman" w:hAnsi="Times New Roman"/>
          <w:szCs w:val="28"/>
          <w:highlight w:val="none"/>
        </w:rPr>
        <w:t>5</w:t>
      </w:r>
      <w:r>
        <w:rPr>
          <w:rFonts w:hint="eastAsia" w:ascii="Times New Roman" w:hAnsi="Times New Roman"/>
          <w:szCs w:val="28"/>
          <w:highlight w:val="none"/>
        </w:rPr>
        <w:t>分</w:t>
      </w:r>
      <w:r>
        <w:rPr>
          <w:rFonts w:hint="eastAsia" w:ascii="Times New Roman" w:hAnsi="Times New Roman"/>
          <w:szCs w:val="28"/>
        </w:rPr>
        <w:t>。</w:t>
      </w:r>
    </w:p>
    <w:p w14:paraId="4B4CD847">
      <w:pPr>
        <w:spacing w:line="360" w:lineRule="auto"/>
        <w:ind w:firstLine="560"/>
        <w:rPr>
          <w:rFonts w:ascii="Times New Roman" w:hAnsi="Times New Roman"/>
          <w:szCs w:val="28"/>
        </w:rPr>
      </w:pPr>
      <w:r>
        <w:rPr>
          <w:rFonts w:hint="eastAsia" w:ascii="Times New Roman" w:hAnsi="Times New Roman"/>
          <w:szCs w:val="28"/>
          <w:lang w:val="en-US" w:eastAsia="zh-CN"/>
        </w:rPr>
        <w:t>项目资金实际支出情况如下：</w:t>
      </w:r>
      <w:r>
        <w:rPr>
          <w:rFonts w:hint="eastAsia" w:ascii="Times New Roman" w:hAnsi="Times New Roman"/>
          <w:szCs w:val="28"/>
        </w:rPr>
        <w:t>8月16日支付西安元鼎体外诊断试剂有限公司190.464万元、8月20日支付新疆集彩堂文化传媒有限公司2.5763万元、8月20日支付新疆魔毯影视传媒有限公司2.8万元、8月20日支付新疆网传媒科技有限公司2.1万元、9月26日支付新疆三泰同方医疗器械有限公司188.0832万元、10月21日支付新疆网传媒科技有限公司2.1万元、10月23日支付唐山启奥科技股份有限公司9.698万元、11月21日支付烟台海深威软件有限公司34.5万元、11月21日支付新疆新华书店发行有限责任公司0.1万元、11月21日支付新疆集彩堂文化传媒有限公司0.6257万元、11月22日支付英科新创（厦门）科技股份有限公司1.4945万元、11月22日支付河南未名生物科技有限公司9.984万元。</w:t>
      </w:r>
    </w:p>
    <w:p w14:paraId="6064D6F0">
      <w:pPr>
        <w:spacing w:line="360" w:lineRule="auto"/>
        <w:ind w:firstLine="562"/>
        <w:rPr>
          <w:rFonts w:ascii="Times New Roman" w:hAnsi="Times New Roman"/>
          <w:szCs w:val="28"/>
        </w:rPr>
      </w:pPr>
      <w:r>
        <w:rPr>
          <w:rFonts w:hint="eastAsia" w:ascii="Times New Roman" w:hAnsi="Times New Roman"/>
          <w:b/>
          <w:bCs/>
          <w:szCs w:val="28"/>
        </w:rPr>
        <w:t>资金使用合规性：</w:t>
      </w:r>
      <w:r>
        <w:rPr>
          <w:rFonts w:hint="eastAsia" w:ascii="Times New Roman" w:hAnsi="Times New Roman"/>
          <w:szCs w:val="28"/>
        </w:rPr>
        <w:t>本项目资金的使用符合国家财经法规和《乌鲁木齐市血液中心内部控制管理手册》以及《中央对地方专项转移支付管理办法》等有关专项资金管理办法的规定。同时，资金的使用由业务科室提出申请，财务科根据申请上报支付计划，支付计划由主管局和财政局审批，审批通过后，由财务科通知各科室提供支付材料，财务科人员根据支付材料进行支付。资金的拨付有完整的审批程序和手续，符合项目预算批复或合同规定的用途，不存在截留、挤占、挪用、虚列支出等情况。故资金使用合规性得分3分。</w:t>
      </w:r>
    </w:p>
    <w:p w14:paraId="3A364444">
      <w:pPr>
        <w:autoSpaceDE w:val="0"/>
        <w:spacing w:line="600" w:lineRule="exact"/>
        <w:ind w:firstLine="562"/>
        <w:rPr>
          <w:rFonts w:ascii="Times New Roman" w:hAnsi="Times New Roman" w:cs="宋体"/>
          <w:b/>
          <w:kern w:val="0"/>
          <w:szCs w:val="28"/>
        </w:rPr>
      </w:pPr>
      <w:r>
        <w:rPr>
          <w:rFonts w:hint="eastAsia" w:ascii="Times New Roman" w:hAnsi="Times New Roman" w:cs="宋体"/>
          <w:b/>
          <w:kern w:val="0"/>
          <w:szCs w:val="28"/>
        </w:rPr>
        <w:t>综上，该指标满分</w:t>
      </w:r>
      <w:r>
        <w:rPr>
          <w:rFonts w:ascii="Times New Roman" w:hAnsi="Times New Roman" w:cs="宋体"/>
          <w:b/>
          <w:kern w:val="0"/>
          <w:szCs w:val="28"/>
        </w:rPr>
        <w:t>13</w:t>
      </w:r>
      <w:r>
        <w:rPr>
          <w:rFonts w:hint="eastAsia" w:ascii="Times New Roman" w:hAnsi="Times New Roman" w:cs="宋体"/>
          <w:b/>
          <w:kern w:val="0"/>
          <w:szCs w:val="28"/>
        </w:rPr>
        <w:t>分，得分12.82分。</w:t>
      </w:r>
    </w:p>
    <w:p w14:paraId="60E75020">
      <w:pPr>
        <w:pStyle w:val="4"/>
        <w:ind w:firstLine="643"/>
        <w:rPr>
          <w:rFonts w:ascii="Times New Roman" w:hAnsi="Times New Roman"/>
        </w:rPr>
      </w:pPr>
      <w:bookmarkStart w:id="43" w:name="_Toc23727"/>
      <w:r>
        <w:rPr>
          <w:rFonts w:ascii="Times New Roman" w:hAnsi="Times New Roman"/>
        </w:rPr>
        <w:t>2.</w:t>
      </w:r>
      <w:r>
        <w:rPr>
          <w:rFonts w:hint="eastAsia" w:ascii="Times New Roman" w:hAnsi="Times New Roman"/>
        </w:rPr>
        <w:t>组织实施</w:t>
      </w:r>
      <w:bookmarkEnd w:id="43"/>
    </w:p>
    <w:p w14:paraId="3FF4DA00">
      <w:pPr>
        <w:spacing w:line="360" w:lineRule="auto"/>
        <w:ind w:firstLine="562"/>
        <w:rPr>
          <w:rFonts w:ascii="Times New Roman" w:hAnsi="Times New Roman"/>
          <w:szCs w:val="28"/>
        </w:rPr>
      </w:pPr>
      <w:r>
        <w:rPr>
          <w:rFonts w:hint="eastAsia" w:ascii="Times New Roman" w:hAnsi="Times New Roman"/>
          <w:b/>
          <w:bCs/>
          <w:szCs w:val="28"/>
        </w:rPr>
        <w:t>管理制度健全性</w:t>
      </w:r>
      <w:r>
        <w:rPr>
          <w:rFonts w:hint="eastAsia" w:ascii="Times New Roman" w:hAnsi="Times New Roman"/>
          <w:szCs w:val="28"/>
        </w:rPr>
        <w:t>：乌鲁木齐市血液中心已制定相应的财务和业务管理制度，如《血站质量管理规范》《血站实验室质量管理规范》《市血液中心落实“三重一大”制度实施细则》《突发公共卫生事件应急条例》《血站技术操作规程（2019版）》《血站基本标准》等制度，且制度合法、合规、完整，为项目顺利实施提供重要保障。故管理制度健全性得分为3分。</w:t>
      </w:r>
    </w:p>
    <w:p w14:paraId="68996BED">
      <w:pPr>
        <w:spacing w:line="360" w:lineRule="auto"/>
        <w:ind w:firstLine="562"/>
        <w:rPr>
          <w:rFonts w:ascii="Times New Roman" w:hAnsi="Times New Roman"/>
          <w:szCs w:val="28"/>
        </w:rPr>
      </w:pPr>
      <w:r>
        <w:rPr>
          <w:rFonts w:hint="eastAsia" w:ascii="Times New Roman" w:hAnsi="Times New Roman"/>
          <w:b/>
          <w:bCs/>
          <w:szCs w:val="28"/>
        </w:rPr>
        <w:t>制度执行有效性：</w:t>
      </w:r>
      <w:r>
        <w:rPr>
          <w:rFonts w:hint="eastAsia" w:ascii="Times New Roman" w:hAnsi="Times New Roman"/>
          <w:szCs w:val="28"/>
        </w:rPr>
        <w:t>根据评价小组核查情况，乌鲁木齐市血液中心严格遵守相关法律法规和相关管理规定，项目调整及支出调整手续完备，整体管理合理有序，项目完成后，及时将会计凭证、采购合同、中标通知书等相关资料分类归档，制度执行有效。故制度执行有效性指标得分</w:t>
      </w:r>
      <w:r>
        <w:rPr>
          <w:rFonts w:ascii="Times New Roman" w:hAnsi="Times New Roman"/>
          <w:szCs w:val="28"/>
        </w:rPr>
        <w:t>4</w:t>
      </w:r>
      <w:r>
        <w:rPr>
          <w:rFonts w:hint="eastAsia" w:ascii="Times New Roman" w:hAnsi="Times New Roman"/>
          <w:szCs w:val="28"/>
        </w:rPr>
        <w:t>分。</w:t>
      </w:r>
    </w:p>
    <w:p w14:paraId="797FB45E">
      <w:pPr>
        <w:autoSpaceDE w:val="0"/>
        <w:spacing w:line="600" w:lineRule="exact"/>
        <w:ind w:firstLine="562"/>
        <w:rPr>
          <w:rFonts w:ascii="Times New Roman" w:hAnsi="Times New Roman" w:cs="宋体"/>
          <w:b/>
          <w:kern w:val="0"/>
          <w:szCs w:val="28"/>
        </w:rPr>
      </w:pPr>
      <w:bookmarkStart w:id="44" w:name="_Hlk67670213"/>
      <w:r>
        <w:rPr>
          <w:rFonts w:hint="eastAsia" w:ascii="Times New Roman" w:hAnsi="Times New Roman" w:cs="宋体"/>
          <w:b/>
          <w:kern w:val="0"/>
          <w:szCs w:val="28"/>
        </w:rPr>
        <w:t>综上，该指标满分</w:t>
      </w:r>
      <w:r>
        <w:rPr>
          <w:rFonts w:ascii="Times New Roman" w:hAnsi="Times New Roman" w:cs="宋体"/>
          <w:b/>
          <w:kern w:val="0"/>
          <w:szCs w:val="28"/>
        </w:rPr>
        <w:t>7</w:t>
      </w:r>
      <w:r>
        <w:rPr>
          <w:rFonts w:hint="eastAsia" w:ascii="Times New Roman" w:hAnsi="Times New Roman" w:cs="宋体"/>
          <w:b/>
          <w:kern w:val="0"/>
          <w:szCs w:val="28"/>
        </w:rPr>
        <w:t>分，得分</w:t>
      </w:r>
      <w:r>
        <w:rPr>
          <w:rFonts w:ascii="Times New Roman" w:hAnsi="Times New Roman" w:cs="宋体"/>
          <w:b/>
          <w:kern w:val="0"/>
          <w:szCs w:val="28"/>
        </w:rPr>
        <w:t>7</w:t>
      </w:r>
      <w:r>
        <w:rPr>
          <w:rFonts w:hint="eastAsia" w:ascii="Times New Roman" w:hAnsi="Times New Roman" w:cs="宋体"/>
          <w:b/>
          <w:kern w:val="0"/>
          <w:szCs w:val="28"/>
        </w:rPr>
        <w:t>分。</w:t>
      </w:r>
      <w:bookmarkEnd w:id="44"/>
    </w:p>
    <w:p w14:paraId="1211EE2D">
      <w:pPr>
        <w:pStyle w:val="3"/>
        <w:ind w:firstLine="643"/>
        <w:rPr>
          <w:rFonts w:ascii="Times New Roman" w:hAnsi="Times New Roman" w:eastAsia="仿宋"/>
          <w:lang w:bidi="en-US"/>
        </w:rPr>
      </w:pPr>
      <w:bookmarkStart w:id="45" w:name="_Toc67911614"/>
      <w:bookmarkStart w:id="46" w:name="_Toc29364"/>
      <w:r>
        <w:rPr>
          <w:rFonts w:hint="eastAsia" w:ascii="Times New Roman" w:hAnsi="Times New Roman" w:eastAsia="仿宋"/>
          <w:lang w:bidi="en-US"/>
        </w:rPr>
        <w:t>（三）项目产出情况</w:t>
      </w:r>
      <w:bookmarkEnd w:id="45"/>
      <w:bookmarkEnd w:id="46"/>
    </w:p>
    <w:p w14:paraId="683E91F3">
      <w:pPr>
        <w:spacing w:line="360" w:lineRule="auto"/>
        <w:ind w:firstLine="560"/>
        <w:rPr>
          <w:rFonts w:ascii="Times New Roman" w:hAnsi="Times New Roman"/>
          <w:szCs w:val="28"/>
          <w:highlight w:val="none"/>
        </w:rPr>
      </w:pPr>
      <w:r>
        <w:rPr>
          <w:rFonts w:hint="eastAsia" w:ascii="Times New Roman" w:hAnsi="Times New Roman"/>
          <w:szCs w:val="28"/>
        </w:rPr>
        <w:t>项目产出指标由</w:t>
      </w:r>
      <w:r>
        <w:rPr>
          <w:rFonts w:ascii="Times New Roman" w:hAnsi="Times New Roman"/>
          <w:szCs w:val="28"/>
        </w:rPr>
        <w:t>4</w:t>
      </w:r>
      <w:r>
        <w:rPr>
          <w:rFonts w:hint="eastAsia" w:ascii="Times New Roman" w:hAnsi="Times New Roman"/>
          <w:szCs w:val="28"/>
        </w:rPr>
        <w:t>个二级指标和1</w:t>
      </w:r>
      <w:r>
        <w:rPr>
          <w:rFonts w:ascii="Times New Roman" w:hAnsi="Times New Roman"/>
          <w:szCs w:val="28"/>
        </w:rPr>
        <w:t>3</w:t>
      </w:r>
      <w:r>
        <w:rPr>
          <w:rFonts w:hint="eastAsia" w:ascii="Times New Roman" w:hAnsi="Times New Roman"/>
          <w:szCs w:val="28"/>
        </w:rPr>
        <w:t>个三级</w:t>
      </w:r>
      <w:r>
        <w:rPr>
          <w:rFonts w:hint="eastAsia" w:ascii="Times New Roman" w:hAnsi="Times New Roman"/>
          <w:szCs w:val="28"/>
          <w:highlight w:val="none"/>
        </w:rPr>
        <w:t>指标构成，权重为</w:t>
      </w:r>
      <w:r>
        <w:rPr>
          <w:rFonts w:ascii="Times New Roman" w:hAnsi="Times New Roman"/>
          <w:szCs w:val="28"/>
          <w:highlight w:val="none"/>
        </w:rPr>
        <w:t>45</w:t>
      </w:r>
      <w:r>
        <w:rPr>
          <w:rFonts w:hint="eastAsia" w:ascii="Times New Roman" w:hAnsi="Times New Roman"/>
          <w:szCs w:val="28"/>
          <w:highlight w:val="none"/>
        </w:rPr>
        <w:t>分，实际得分3</w:t>
      </w:r>
      <w:r>
        <w:rPr>
          <w:rFonts w:ascii="Times New Roman" w:hAnsi="Times New Roman"/>
          <w:szCs w:val="28"/>
          <w:highlight w:val="none"/>
        </w:rPr>
        <w:t>9</w:t>
      </w:r>
      <w:r>
        <w:rPr>
          <w:rFonts w:hint="eastAsia" w:ascii="Times New Roman" w:hAnsi="Times New Roman"/>
          <w:szCs w:val="28"/>
          <w:highlight w:val="none"/>
        </w:rPr>
        <w:t>.99分。</w:t>
      </w:r>
    </w:p>
    <w:p w14:paraId="6E361C60">
      <w:pPr>
        <w:pStyle w:val="4"/>
        <w:ind w:firstLine="643"/>
        <w:rPr>
          <w:rFonts w:ascii="Times New Roman" w:hAnsi="Times New Roman"/>
        </w:rPr>
      </w:pPr>
      <w:bookmarkStart w:id="47" w:name="_Toc6693"/>
      <w:r>
        <w:rPr>
          <w:rFonts w:hint="eastAsia" w:ascii="Times New Roman" w:hAnsi="Times New Roman"/>
        </w:rPr>
        <w:t>1</w:t>
      </w:r>
      <w:r>
        <w:rPr>
          <w:rFonts w:ascii="Times New Roman" w:hAnsi="Times New Roman"/>
        </w:rPr>
        <w:t>.</w:t>
      </w:r>
      <w:r>
        <w:rPr>
          <w:rFonts w:hint="eastAsia" w:ascii="Times New Roman" w:hAnsi="Times New Roman"/>
        </w:rPr>
        <w:t>产出数量</w:t>
      </w:r>
      <w:bookmarkEnd w:id="47"/>
    </w:p>
    <w:p w14:paraId="5B08BC54">
      <w:pPr>
        <w:spacing w:line="360" w:lineRule="auto"/>
        <w:ind w:firstLine="560"/>
        <w:rPr>
          <w:rFonts w:ascii="Times New Roman" w:hAnsi="Times New Roman"/>
          <w:szCs w:val="28"/>
        </w:rPr>
      </w:pPr>
      <w:r>
        <w:rPr>
          <w:rFonts w:hint="eastAsia" w:ascii="Times New Roman" w:hAnsi="Times New Roman"/>
          <w:b/>
          <w:bCs/>
          <w:szCs w:val="28"/>
          <w:highlight w:val="none"/>
        </w:rPr>
        <w:t>数量指标“新疆血液信息数据中心系统项目”</w:t>
      </w:r>
      <w:r>
        <w:rPr>
          <w:rFonts w:hint="eastAsia" w:ascii="Times New Roman" w:hAnsi="Times New Roman"/>
          <w:bCs/>
          <w:szCs w:val="28"/>
        </w:rPr>
        <w:t>的目标值是=1项，2024</w:t>
      </w:r>
      <w:r>
        <w:rPr>
          <w:rFonts w:ascii="Times New Roman" w:hAnsi="Times New Roman"/>
          <w:bCs/>
          <w:szCs w:val="28"/>
        </w:rPr>
        <w:t>年度我单位实际完成</w:t>
      </w:r>
      <w:r>
        <w:rPr>
          <w:rFonts w:hint="eastAsia" w:ascii="Times New Roman" w:hAnsi="Times New Roman"/>
          <w:bCs/>
          <w:szCs w:val="28"/>
        </w:rPr>
        <w:t>1项。</w:t>
      </w:r>
      <w:r>
        <w:rPr>
          <w:rFonts w:hint="eastAsia" w:ascii="Times New Roman" w:hAnsi="Times New Roman"/>
          <w:b/>
          <w:bCs/>
          <w:szCs w:val="28"/>
        </w:rPr>
        <w:t>实际完成率：</w:t>
      </w:r>
      <w:r>
        <w:rPr>
          <w:rFonts w:hint="eastAsia" w:ascii="Times New Roman" w:hAnsi="Times New Roman"/>
          <w:bCs/>
          <w:szCs w:val="28"/>
        </w:rPr>
        <w:t>100%，</w:t>
      </w:r>
      <w:r>
        <w:rPr>
          <w:rFonts w:hint="eastAsia" w:ascii="Times New Roman" w:hAnsi="Times New Roman"/>
          <w:szCs w:val="28"/>
        </w:rPr>
        <w:t>故实际完成率得分为3分。</w:t>
      </w:r>
    </w:p>
    <w:p w14:paraId="217CCBA2">
      <w:pPr>
        <w:spacing w:line="360" w:lineRule="auto"/>
        <w:ind w:firstLine="560"/>
        <w:rPr>
          <w:rFonts w:ascii="Times New Roman" w:hAnsi="Times New Roman"/>
          <w:szCs w:val="28"/>
        </w:rPr>
      </w:pPr>
      <w:r>
        <w:rPr>
          <w:rFonts w:hint="eastAsia" w:ascii="Times New Roman" w:hAnsi="Times New Roman"/>
          <w:b/>
          <w:bCs/>
          <w:szCs w:val="28"/>
          <w:highlight w:val="none"/>
        </w:rPr>
        <w:t>数量指标“血站智慧化建设项目”</w:t>
      </w:r>
      <w:r>
        <w:rPr>
          <w:rFonts w:hint="eastAsia" w:ascii="Times New Roman" w:hAnsi="Times New Roman"/>
          <w:bCs/>
          <w:szCs w:val="28"/>
        </w:rPr>
        <w:t>的目标值是=1项，2024</w:t>
      </w:r>
      <w:r>
        <w:rPr>
          <w:rFonts w:ascii="Times New Roman" w:hAnsi="Times New Roman"/>
          <w:bCs/>
          <w:szCs w:val="28"/>
        </w:rPr>
        <w:t>年度我单位实际完成</w:t>
      </w:r>
      <w:r>
        <w:rPr>
          <w:rFonts w:hint="eastAsia" w:ascii="Times New Roman" w:hAnsi="Times New Roman"/>
          <w:bCs/>
          <w:szCs w:val="28"/>
        </w:rPr>
        <w:t>1项。</w:t>
      </w:r>
      <w:r>
        <w:rPr>
          <w:rFonts w:hint="eastAsia" w:ascii="Times New Roman" w:hAnsi="Times New Roman"/>
          <w:b/>
          <w:bCs/>
          <w:szCs w:val="28"/>
        </w:rPr>
        <w:t>实际完成率：</w:t>
      </w:r>
      <w:r>
        <w:rPr>
          <w:rFonts w:hint="eastAsia" w:ascii="Times New Roman" w:hAnsi="Times New Roman"/>
          <w:szCs w:val="28"/>
        </w:rPr>
        <w:t>100%，故实际完成率得分为3分。</w:t>
      </w:r>
    </w:p>
    <w:p w14:paraId="0E2EC0A3">
      <w:pPr>
        <w:spacing w:line="360" w:lineRule="auto"/>
        <w:ind w:firstLine="560"/>
        <w:rPr>
          <w:rFonts w:ascii="Times New Roman" w:hAnsi="Times New Roman"/>
          <w:bCs/>
          <w:szCs w:val="28"/>
          <w:highlight w:val="none"/>
        </w:rPr>
      </w:pPr>
      <w:r>
        <w:rPr>
          <w:rFonts w:hint="eastAsia" w:ascii="Times New Roman" w:hAnsi="Times New Roman"/>
          <w:b/>
          <w:bCs/>
          <w:szCs w:val="28"/>
          <w:highlight w:val="none"/>
        </w:rPr>
        <w:t>数量指标“核酸检测试剂”</w:t>
      </w:r>
      <w:r>
        <w:rPr>
          <w:rFonts w:hint="eastAsia" w:ascii="Times New Roman" w:hAnsi="Times New Roman"/>
          <w:bCs/>
          <w:szCs w:val="28"/>
        </w:rPr>
        <w:t>的目标值是≥100盒，2024</w:t>
      </w:r>
      <w:r>
        <w:rPr>
          <w:rFonts w:ascii="Times New Roman" w:hAnsi="Times New Roman"/>
          <w:bCs/>
          <w:szCs w:val="28"/>
        </w:rPr>
        <w:t>年度我单位实际完成</w:t>
      </w:r>
      <w:r>
        <w:rPr>
          <w:rFonts w:hint="eastAsia" w:ascii="Times New Roman" w:hAnsi="Times New Roman"/>
          <w:bCs/>
          <w:szCs w:val="28"/>
        </w:rPr>
        <w:t>核酸检测试剂采购204盒，原因是核酸检测试剂因供应商发生变化，试剂耗材的规格变化，导致试剂采购盒数与年初设置指标时的预期完成值有较大差异</w:t>
      </w:r>
      <w:r>
        <w:rPr>
          <w:rFonts w:hint="eastAsia" w:ascii="Times New Roman" w:hAnsi="Times New Roman"/>
          <w:bCs/>
          <w:szCs w:val="28"/>
          <w:highlight w:val="none"/>
        </w:rPr>
        <w:t>。</w:t>
      </w:r>
      <w:r>
        <w:rPr>
          <w:rFonts w:hint="eastAsia" w:ascii="Times New Roman" w:hAnsi="Times New Roman"/>
          <w:b/>
          <w:bCs/>
          <w:szCs w:val="28"/>
          <w:highlight w:val="none"/>
        </w:rPr>
        <w:t>实际完成率：</w:t>
      </w:r>
      <w:r>
        <w:rPr>
          <w:rFonts w:ascii="Times New Roman" w:hAnsi="Times New Roman"/>
          <w:bCs/>
          <w:szCs w:val="28"/>
          <w:highlight w:val="none"/>
        </w:rPr>
        <w:t>204</w:t>
      </w:r>
      <w:r>
        <w:rPr>
          <w:rFonts w:hint="eastAsia" w:ascii="Times New Roman" w:hAnsi="Times New Roman"/>
          <w:bCs/>
          <w:szCs w:val="28"/>
          <w:highlight w:val="none"/>
        </w:rPr>
        <w:t>%，</w:t>
      </w:r>
      <w:r>
        <w:rPr>
          <w:rFonts w:hint="eastAsia" w:ascii="Times New Roman" w:hAnsi="Times New Roman"/>
          <w:szCs w:val="28"/>
          <w:highlight w:val="none"/>
        </w:rPr>
        <w:t>故实际完成率得分为3分。</w:t>
      </w:r>
    </w:p>
    <w:p w14:paraId="74D86FFD">
      <w:pPr>
        <w:spacing w:line="360" w:lineRule="auto"/>
        <w:ind w:firstLine="560"/>
        <w:rPr>
          <w:rFonts w:ascii="Times New Roman" w:hAnsi="Times New Roman"/>
          <w:szCs w:val="28"/>
        </w:rPr>
      </w:pPr>
      <w:r>
        <w:rPr>
          <w:rFonts w:hint="eastAsia" w:ascii="Times New Roman" w:hAnsi="Times New Roman"/>
          <w:b/>
          <w:bCs/>
          <w:szCs w:val="28"/>
          <w:highlight w:val="none"/>
        </w:rPr>
        <w:t>数量指标“哨点监测”</w:t>
      </w:r>
      <w:r>
        <w:rPr>
          <w:rFonts w:hint="eastAsia" w:ascii="Times New Roman" w:hAnsi="Times New Roman"/>
          <w:bCs/>
          <w:szCs w:val="28"/>
          <w:highlight w:val="none"/>
        </w:rPr>
        <w:t>的</w:t>
      </w:r>
      <w:r>
        <w:rPr>
          <w:rFonts w:hint="eastAsia" w:ascii="Times New Roman" w:hAnsi="Times New Roman"/>
          <w:bCs/>
          <w:szCs w:val="28"/>
        </w:rPr>
        <w:t>目标值是≥15盒，</w:t>
      </w:r>
      <w:r>
        <w:rPr>
          <w:rFonts w:ascii="Times New Roman" w:hAnsi="Times New Roman"/>
          <w:bCs/>
          <w:szCs w:val="28"/>
        </w:rPr>
        <w:t>2024年度我单位实际完成</w:t>
      </w:r>
      <w:r>
        <w:rPr>
          <w:rFonts w:hint="eastAsia" w:ascii="Times New Roman" w:hAnsi="Times New Roman"/>
          <w:bCs/>
          <w:szCs w:val="28"/>
        </w:rPr>
        <w:t>哨点监测试剂采购61盒，原因是核酸检测试剂因供应商发生变化，试剂耗材的规格变化，导致试剂采购盒数与年初设置指标时的预期完成值有较大差</w:t>
      </w:r>
      <w:r>
        <w:rPr>
          <w:rFonts w:hint="eastAsia" w:ascii="Times New Roman" w:hAnsi="Times New Roman"/>
          <w:bCs/>
          <w:szCs w:val="28"/>
          <w:highlight w:val="none"/>
        </w:rPr>
        <w:t>异。</w:t>
      </w:r>
      <w:r>
        <w:rPr>
          <w:rFonts w:hint="eastAsia" w:ascii="Times New Roman" w:hAnsi="Times New Roman"/>
          <w:b/>
          <w:bCs/>
          <w:szCs w:val="28"/>
          <w:highlight w:val="none"/>
        </w:rPr>
        <w:t>实际完成率：</w:t>
      </w:r>
      <w:r>
        <w:rPr>
          <w:rFonts w:ascii="Times New Roman" w:hAnsi="Times New Roman"/>
          <w:szCs w:val="28"/>
          <w:highlight w:val="none"/>
        </w:rPr>
        <w:t>406.67</w:t>
      </w:r>
      <w:r>
        <w:rPr>
          <w:rFonts w:hint="eastAsia" w:ascii="Times New Roman" w:hAnsi="Times New Roman"/>
          <w:szCs w:val="28"/>
          <w:highlight w:val="none"/>
        </w:rPr>
        <w:t>%，故实际完成</w:t>
      </w:r>
      <w:r>
        <w:rPr>
          <w:rFonts w:hint="eastAsia" w:ascii="Times New Roman" w:hAnsi="Times New Roman"/>
          <w:szCs w:val="28"/>
        </w:rPr>
        <w:t>率得分为3分。</w:t>
      </w:r>
    </w:p>
    <w:p w14:paraId="417F9D18">
      <w:pPr>
        <w:spacing w:line="360" w:lineRule="auto"/>
        <w:ind w:firstLine="560"/>
        <w:rPr>
          <w:rFonts w:ascii="Times New Roman" w:hAnsi="Times New Roman"/>
          <w:szCs w:val="28"/>
        </w:rPr>
      </w:pPr>
      <w:r>
        <w:rPr>
          <w:rFonts w:hint="eastAsia" w:ascii="Times New Roman" w:hAnsi="Times New Roman"/>
          <w:b/>
          <w:bCs/>
          <w:szCs w:val="28"/>
          <w:highlight w:val="none"/>
        </w:rPr>
        <w:t>数量指标“无偿献血宣传合作媒体数量”</w:t>
      </w:r>
      <w:r>
        <w:rPr>
          <w:rFonts w:hint="eastAsia" w:ascii="Times New Roman" w:hAnsi="Times New Roman"/>
          <w:bCs/>
          <w:szCs w:val="28"/>
        </w:rPr>
        <w:t>的目标值是=3家，</w:t>
      </w:r>
      <w:r>
        <w:rPr>
          <w:rFonts w:ascii="Times New Roman" w:hAnsi="Times New Roman"/>
          <w:bCs/>
          <w:szCs w:val="28"/>
        </w:rPr>
        <w:t>2024年度我单位实际完成</w:t>
      </w:r>
      <w:r>
        <w:rPr>
          <w:rFonts w:hint="eastAsia" w:ascii="Times New Roman" w:hAnsi="Times New Roman"/>
          <w:bCs/>
          <w:szCs w:val="28"/>
        </w:rPr>
        <w:t>3家</w:t>
      </w:r>
      <w:r>
        <w:rPr>
          <w:rFonts w:hint="eastAsia" w:ascii="Times New Roman" w:hAnsi="Times New Roman"/>
          <w:bCs/>
          <w:szCs w:val="28"/>
          <w:lang w:eastAsia="zh-CN"/>
        </w:rPr>
        <w:t>。</w:t>
      </w:r>
      <w:r>
        <w:rPr>
          <w:rFonts w:hint="eastAsia" w:ascii="Times New Roman" w:hAnsi="Times New Roman"/>
          <w:bCs/>
          <w:szCs w:val="28"/>
          <w:lang w:val="en-US" w:eastAsia="zh-CN"/>
        </w:rPr>
        <w:t>通过邀请招标的方式，邀请覆盖自治区、市级的多家网络媒体、广告媒体，根据我单位的需求及对方提供的文案和报价，最终选择新疆魔毯影视传媒有限公司和新疆网传媒科技有限公司。通过政府采购平台公开招标选择新疆集彩堂文化传媒有限公司。</w:t>
      </w:r>
      <w:r>
        <w:rPr>
          <w:rFonts w:hint="eastAsia" w:ascii="Times New Roman" w:hAnsi="Times New Roman"/>
          <w:b/>
          <w:bCs/>
          <w:szCs w:val="28"/>
        </w:rPr>
        <w:t>实际完成率：</w:t>
      </w:r>
      <w:r>
        <w:rPr>
          <w:rFonts w:hint="eastAsia" w:ascii="Times New Roman" w:hAnsi="Times New Roman"/>
          <w:szCs w:val="28"/>
        </w:rPr>
        <w:t>100%，故实际完成率得分为3分。</w:t>
      </w:r>
    </w:p>
    <w:p w14:paraId="7CD4CBCC">
      <w:pPr>
        <w:spacing w:line="360" w:lineRule="auto"/>
        <w:ind w:firstLine="560"/>
        <w:rPr>
          <w:rFonts w:ascii="Times New Roman" w:hAnsi="Times New Roman"/>
          <w:b/>
          <w:bCs/>
          <w:szCs w:val="28"/>
          <w:highlight w:val="none"/>
        </w:rPr>
      </w:pPr>
      <w:r>
        <w:rPr>
          <w:rFonts w:ascii="Times New Roman" w:hAnsi="Times New Roman"/>
          <w:b/>
          <w:bCs/>
          <w:szCs w:val="28"/>
          <w:highlight w:val="none"/>
        </w:rPr>
        <w:t>综上，数量指标的实际完成率182.13%，赋分</w:t>
      </w:r>
      <w:r>
        <w:rPr>
          <w:rFonts w:hint="eastAsia" w:ascii="Times New Roman" w:hAnsi="Times New Roman"/>
          <w:b/>
          <w:bCs/>
          <w:szCs w:val="28"/>
          <w:highlight w:val="none"/>
        </w:rPr>
        <w:t>1</w:t>
      </w:r>
      <w:r>
        <w:rPr>
          <w:rFonts w:ascii="Times New Roman" w:hAnsi="Times New Roman"/>
          <w:b/>
          <w:bCs/>
          <w:szCs w:val="28"/>
          <w:highlight w:val="none"/>
        </w:rPr>
        <w:t>5分，得分为</w:t>
      </w:r>
      <w:r>
        <w:rPr>
          <w:rFonts w:hint="eastAsia" w:ascii="Times New Roman" w:hAnsi="Times New Roman"/>
          <w:b/>
          <w:bCs/>
          <w:szCs w:val="28"/>
          <w:highlight w:val="none"/>
        </w:rPr>
        <w:t>15</w:t>
      </w:r>
      <w:r>
        <w:rPr>
          <w:rFonts w:ascii="Times New Roman" w:hAnsi="Times New Roman"/>
          <w:b/>
          <w:bCs/>
          <w:szCs w:val="28"/>
          <w:highlight w:val="none"/>
        </w:rPr>
        <w:t>分。</w:t>
      </w:r>
    </w:p>
    <w:p w14:paraId="0F6762C3">
      <w:pPr>
        <w:pStyle w:val="4"/>
        <w:ind w:firstLine="643"/>
        <w:rPr>
          <w:rFonts w:ascii="Times New Roman" w:hAnsi="Times New Roman"/>
        </w:rPr>
      </w:pPr>
      <w:bookmarkStart w:id="48" w:name="_Toc7045"/>
      <w:r>
        <w:rPr>
          <w:rFonts w:hint="eastAsia" w:ascii="Times New Roman" w:hAnsi="Times New Roman"/>
        </w:rPr>
        <w:t>2</w:t>
      </w:r>
      <w:r>
        <w:rPr>
          <w:rFonts w:ascii="Times New Roman" w:hAnsi="Times New Roman"/>
        </w:rPr>
        <w:t>.</w:t>
      </w:r>
      <w:r>
        <w:rPr>
          <w:rFonts w:hint="eastAsia" w:ascii="Times New Roman" w:hAnsi="Times New Roman"/>
        </w:rPr>
        <w:t>产出质量</w:t>
      </w:r>
      <w:bookmarkEnd w:id="48"/>
    </w:p>
    <w:p w14:paraId="6350C7A1">
      <w:pPr>
        <w:spacing w:line="360" w:lineRule="auto"/>
        <w:ind w:firstLine="562"/>
        <w:rPr>
          <w:rFonts w:ascii="Times New Roman" w:hAnsi="Times New Roman"/>
          <w:szCs w:val="28"/>
        </w:rPr>
      </w:pPr>
      <w:r>
        <w:rPr>
          <w:rFonts w:hint="eastAsia" w:ascii="Times New Roman" w:hAnsi="Times New Roman"/>
          <w:b/>
          <w:bCs/>
          <w:szCs w:val="28"/>
        </w:rPr>
        <w:t>临床用血核酸检测覆盖率：</w:t>
      </w:r>
      <w:r>
        <w:rPr>
          <w:rFonts w:hint="eastAsia" w:ascii="Times New Roman" w:hAnsi="Times New Roman"/>
          <w:szCs w:val="28"/>
        </w:rPr>
        <w:t>为保障临床用血安全，我单位对临床用血100%进行核酸检测，临床用血核酸检测覆盖率得分为5分。</w:t>
      </w:r>
    </w:p>
    <w:p w14:paraId="50A3F99A">
      <w:pPr>
        <w:spacing w:line="360" w:lineRule="auto"/>
        <w:ind w:firstLine="562"/>
        <w:rPr>
          <w:rFonts w:ascii="Times New Roman" w:hAnsi="Times New Roman"/>
          <w:szCs w:val="28"/>
        </w:rPr>
      </w:pPr>
      <w:r>
        <w:rPr>
          <w:rFonts w:hint="eastAsia" w:ascii="Times New Roman" w:hAnsi="Times New Roman"/>
          <w:b/>
          <w:bCs/>
          <w:szCs w:val="28"/>
        </w:rPr>
        <w:t>符合《血站质量管理规范》：</w:t>
      </w:r>
      <w:r>
        <w:rPr>
          <w:rFonts w:hint="eastAsia" w:ascii="Times New Roman" w:hAnsi="Times New Roman"/>
          <w:szCs w:val="28"/>
        </w:rPr>
        <w:t>我单位质管科负责对各业务科室进行监管，各项检测操作均符合《血站质量管理规范》，故符合《血站质量管理规范》指标得分为5分。</w:t>
      </w:r>
    </w:p>
    <w:p w14:paraId="179BA806">
      <w:pPr>
        <w:spacing w:line="360" w:lineRule="auto"/>
        <w:ind w:firstLine="562"/>
        <w:rPr>
          <w:rFonts w:ascii="Times New Roman" w:hAnsi="Times New Roman"/>
          <w:szCs w:val="28"/>
        </w:rPr>
      </w:pPr>
      <w:r>
        <w:rPr>
          <w:rFonts w:hint="eastAsia" w:ascii="Times New Roman" w:hAnsi="Times New Roman"/>
          <w:b/>
          <w:bCs/>
          <w:szCs w:val="28"/>
        </w:rPr>
        <w:t>符合《血站技术操作规程》：</w:t>
      </w:r>
      <w:r>
        <w:rPr>
          <w:rFonts w:hint="eastAsia" w:ascii="Times New Roman" w:hAnsi="Times New Roman"/>
          <w:szCs w:val="28"/>
        </w:rPr>
        <w:t>我单位质管科负责对各业务科室进行监管，各项检测操作均符合《血站技术操作规程》，故符合《血站技术操作规程》指标得分为5分。</w:t>
      </w:r>
    </w:p>
    <w:p w14:paraId="773CABD9">
      <w:pPr>
        <w:autoSpaceDE w:val="0"/>
        <w:spacing w:line="600" w:lineRule="exact"/>
        <w:ind w:firstLine="562"/>
        <w:rPr>
          <w:rFonts w:ascii="Times New Roman" w:hAnsi="Times New Roman" w:cs="宋体"/>
          <w:b/>
          <w:kern w:val="0"/>
          <w:szCs w:val="28"/>
        </w:rPr>
      </w:pPr>
      <w:bookmarkStart w:id="49" w:name="_Toc21438"/>
      <w:r>
        <w:rPr>
          <w:rFonts w:hint="eastAsia" w:ascii="Times New Roman" w:hAnsi="Times New Roman" w:cs="宋体"/>
          <w:b/>
          <w:kern w:val="0"/>
          <w:szCs w:val="28"/>
        </w:rPr>
        <w:t>综上，该指标满分</w:t>
      </w:r>
      <w:r>
        <w:rPr>
          <w:rFonts w:ascii="Times New Roman" w:hAnsi="Times New Roman" w:cs="宋体"/>
          <w:b/>
          <w:kern w:val="0"/>
          <w:szCs w:val="28"/>
        </w:rPr>
        <w:t>1</w:t>
      </w:r>
      <w:r>
        <w:rPr>
          <w:rFonts w:hint="eastAsia" w:ascii="Times New Roman" w:hAnsi="Times New Roman" w:cs="宋体"/>
          <w:b/>
          <w:kern w:val="0"/>
          <w:szCs w:val="28"/>
          <w:lang w:val="en-US" w:eastAsia="zh-CN"/>
        </w:rPr>
        <w:t>5</w:t>
      </w:r>
      <w:r>
        <w:rPr>
          <w:rFonts w:hint="eastAsia" w:ascii="Times New Roman" w:hAnsi="Times New Roman" w:cs="宋体"/>
          <w:b/>
          <w:kern w:val="0"/>
          <w:szCs w:val="28"/>
        </w:rPr>
        <w:t>分，得分1</w:t>
      </w:r>
      <w:r>
        <w:rPr>
          <w:rFonts w:hint="eastAsia" w:ascii="Times New Roman" w:hAnsi="Times New Roman" w:cs="宋体"/>
          <w:b/>
          <w:kern w:val="0"/>
          <w:szCs w:val="28"/>
          <w:lang w:val="en-US" w:eastAsia="zh-CN"/>
        </w:rPr>
        <w:t>5</w:t>
      </w:r>
      <w:r>
        <w:rPr>
          <w:rFonts w:hint="eastAsia" w:ascii="Times New Roman" w:hAnsi="Times New Roman" w:cs="宋体"/>
          <w:b/>
          <w:kern w:val="0"/>
          <w:szCs w:val="28"/>
        </w:rPr>
        <w:t>分。</w:t>
      </w:r>
    </w:p>
    <w:p w14:paraId="56EF69EE">
      <w:pPr>
        <w:pStyle w:val="4"/>
        <w:ind w:firstLine="643"/>
        <w:rPr>
          <w:rFonts w:ascii="Times New Roman" w:hAnsi="Times New Roman"/>
        </w:rPr>
      </w:pPr>
      <w:r>
        <w:rPr>
          <w:rFonts w:hint="eastAsia" w:ascii="Times New Roman" w:hAnsi="Times New Roman"/>
        </w:rPr>
        <w:t>3</w:t>
      </w:r>
      <w:r>
        <w:rPr>
          <w:rFonts w:ascii="Times New Roman" w:hAnsi="Times New Roman"/>
        </w:rPr>
        <w:t>.</w:t>
      </w:r>
      <w:r>
        <w:rPr>
          <w:rFonts w:hint="eastAsia" w:ascii="Times New Roman" w:hAnsi="Times New Roman"/>
        </w:rPr>
        <w:t>产出时效</w:t>
      </w:r>
      <w:bookmarkEnd w:id="49"/>
    </w:p>
    <w:p w14:paraId="3EABE7AB">
      <w:pPr>
        <w:spacing w:line="360" w:lineRule="auto"/>
        <w:ind w:firstLine="562"/>
        <w:rPr>
          <w:rFonts w:hint="eastAsia" w:ascii="Times New Roman" w:hAnsi="Times New Roman"/>
          <w:bCs/>
          <w:szCs w:val="28"/>
          <w:highlight w:val="none"/>
        </w:rPr>
      </w:pPr>
      <w:r>
        <w:rPr>
          <w:rFonts w:hint="eastAsia" w:ascii="Times New Roman" w:hAnsi="Times New Roman"/>
          <w:b/>
          <w:bCs/>
          <w:szCs w:val="28"/>
          <w:highlight w:val="none"/>
        </w:rPr>
        <w:t>项目按时完成率：</w:t>
      </w:r>
      <w:r>
        <w:rPr>
          <w:rFonts w:hint="eastAsia" w:ascii="Times New Roman" w:hAnsi="Times New Roman"/>
          <w:bCs/>
          <w:szCs w:val="28"/>
          <w:highlight w:val="none"/>
        </w:rPr>
        <w:t>本项目按时完成</w:t>
      </w:r>
      <w:r>
        <w:rPr>
          <w:rFonts w:hint="eastAsia" w:ascii="Times New Roman" w:hAnsi="Times New Roman"/>
          <w:bCs/>
          <w:szCs w:val="28"/>
          <w:highlight w:val="none"/>
          <w:lang w:val="en-US" w:eastAsia="zh-CN"/>
        </w:rPr>
        <w:t>当年的</w:t>
      </w:r>
      <w:r>
        <w:rPr>
          <w:rFonts w:hint="eastAsia" w:ascii="Times New Roman" w:hAnsi="Times New Roman"/>
          <w:bCs/>
          <w:szCs w:val="28"/>
          <w:highlight w:val="none"/>
        </w:rPr>
        <w:t>献血宣传活动、试剂耗材采购和血液核酸检测、哨点</w:t>
      </w:r>
      <w:r>
        <w:rPr>
          <w:rFonts w:hint="eastAsia" w:ascii="Times New Roman" w:hAnsi="Times New Roman"/>
          <w:bCs/>
          <w:szCs w:val="28"/>
          <w:highlight w:val="none"/>
          <w:lang w:val="en-US" w:eastAsia="zh-CN"/>
        </w:rPr>
        <w:t>监测</w:t>
      </w:r>
      <w:r>
        <w:rPr>
          <w:rFonts w:hint="eastAsia" w:ascii="Times New Roman" w:hAnsi="Times New Roman"/>
          <w:bCs/>
          <w:szCs w:val="28"/>
          <w:highlight w:val="none"/>
        </w:rPr>
        <w:t>，</w:t>
      </w:r>
      <w:r>
        <w:rPr>
          <w:rFonts w:hint="eastAsia" w:ascii="Times New Roman" w:hAnsi="Times New Roman"/>
          <w:bCs/>
          <w:szCs w:val="28"/>
          <w:highlight w:val="none"/>
          <w:lang w:val="en-US" w:eastAsia="zh-CN"/>
        </w:rPr>
        <w:t>完成了2024年重大传染病防治项目中艾滋病防治的年度工作，</w:t>
      </w:r>
      <w:r>
        <w:rPr>
          <w:rFonts w:hint="eastAsia" w:ascii="Times New Roman" w:hAnsi="Times New Roman"/>
          <w:bCs/>
          <w:szCs w:val="28"/>
          <w:highlight w:val="none"/>
        </w:rPr>
        <w:t>按时完成率1</w:t>
      </w:r>
      <w:r>
        <w:rPr>
          <w:rFonts w:ascii="Times New Roman" w:hAnsi="Times New Roman"/>
          <w:bCs/>
          <w:szCs w:val="28"/>
          <w:highlight w:val="none"/>
        </w:rPr>
        <w:t>00%。</w:t>
      </w:r>
    </w:p>
    <w:p w14:paraId="09E0764A">
      <w:pPr>
        <w:autoSpaceDE w:val="0"/>
        <w:spacing w:line="600" w:lineRule="exact"/>
        <w:ind w:firstLine="562"/>
        <w:rPr>
          <w:rFonts w:hint="eastAsia" w:ascii="Times New Roman" w:hAnsi="Times New Roman" w:cs="宋体"/>
          <w:b/>
          <w:kern w:val="0"/>
          <w:szCs w:val="28"/>
        </w:rPr>
      </w:pPr>
      <w:r>
        <w:rPr>
          <w:rFonts w:hint="eastAsia" w:ascii="Times New Roman" w:hAnsi="Times New Roman" w:cs="宋体"/>
          <w:b/>
          <w:kern w:val="0"/>
          <w:szCs w:val="28"/>
        </w:rPr>
        <w:t>故项目按时完成率100%，得分为5分。</w:t>
      </w:r>
    </w:p>
    <w:p w14:paraId="7186D91A">
      <w:pPr>
        <w:pStyle w:val="4"/>
        <w:ind w:firstLine="643"/>
        <w:rPr>
          <w:rFonts w:ascii="Times New Roman" w:hAnsi="Times New Roman"/>
        </w:rPr>
      </w:pPr>
      <w:bookmarkStart w:id="50" w:name="_Toc67911615"/>
      <w:bookmarkStart w:id="51" w:name="_Toc19381"/>
      <w:r>
        <w:rPr>
          <w:rFonts w:hint="eastAsia" w:ascii="Times New Roman" w:hAnsi="Times New Roman"/>
        </w:rPr>
        <w:t>4</w:t>
      </w:r>
      <w:r>
        <w:rPr>
          <w:rFonts w:ascii="Times New Roman" w:hAnsi="Times New Roman"/>
        </w:rPr>
        <w:t>.</w:t>
      </w:r>
      <w:r>
        <w:rPr>
          <w:rFonts w:hint="eastAsia" w:ascii="Times New Roman" w:hAnsi="Times New Roman"/>
        </w:rPr>
        <w:t>产出成本</w:t>
      </w:r>
      <w:bookmarkEnd w:id="50"/>
      <w:bookmarkEnd w:id="51"/>
    </w:p>
    <w:p w14:paraId="289028BA">
      <w:pPr>
        <w:spacing w:line="360" w:lineRule="auto"/>
        <w:ind w:firstLine="562"/>
        <w:rPr>
          <w:rFonts w:ascii="Times New Roman" w:hAnsi="Times New Roman"/>
          <w:bCs/>
          <w:szCs w:val="28"/>
        </w:rPr>
      </w:pPr>
      <w:r>
        <w:rPr>
          <w:rFonts w:hint="eastAsia" w:ascii="Times New Roman" w:hAnsi="Times New Roman"/>
          <w:b/>
          <w:bCs/>
          <w:szCs w:val="28"/>
        </w:rPr>
        <w:t>经济成本</w:t>
      </w:r>
      <w:r>
        <w:rPr>
          <w:rFonts w:ascii="Times New Roman" w:hAnsi="Times New Roman"/>
          <w:b/>
          <w:bCs/>
          <w:szCs w:val="28"/>
        </w:rPr>
        <w:t>：</w:t>
      </w:r>
      <w:r>
        <w:rPr>
          <w:rFonts w:hint="eastAsia" w:ascii="Times New Roman" w:hAnsi="Times New Roman"/>
          <w:b/>
          <w:bCs/>
          <w:szCs w:val="28"/>
        </w:rPr>
        <w:t>新疆血液信息数据中心系统的更新维护：</w:t>
      </w:r>
      <w:r>
        <w:rPr>
          <w:rFonts w:hint="eastAsia" w:ascii="Times New Roman" w:hAnsi="Times New Roman"/>
          <w:bCs/>
          <w:szCs w:val="28"/>
        </w:rPr>
        <w:t>本项目新疆血液信息数据中心系统的更新维护预算30万元，实际支付0万元，新疆血液信息中心系统的更新维护项目采购流程较长，招标后，未能在2024年达到支付状态，因此资金结转至2025年进行支付，得分为0分。</w:t>
      </w:r>
    </w:p>
    <w:p w14:paraId="6F536445">
      <w:pPr>
        <w:spacing w:line="360" w:lineRule="auto"/>
        <w:ind w:firstLine="562"/>
        <w:rPr>
          <w:rFonts w:ascii="Times New Roman" w:hAnsi="Times New Roman"/>
          <w:bCs/>
          <w:szCs w:val="28"/>
        </w:rPr>
      </w:pPr>
      <w:r>
        <w:rPr>
          <w:rFonts w:hint="eastAsia" w:ascii="Times New Roman" w:hAnsi="Times New Roman"/>
          <w:b/>
          <w:bCs/>
          <w:szCs w:val="28"/>
        </w:rPr>
        <w:t>经济成本</w:t>
      </w:r>
      <w:r>
        <w:rPr>
          <w:rFonts w:ascii="Times New Roman" w:hAnsi="Times New Roman"/>
          <w:b/>
          <w:bCs/>
          <w:szCs w:val="28"/>
        </w:rPr>
        <w:t>：</w:t>
      </w:r>
      <w:r>
        <w:rPr>
          <w:rFonts w:hint="eastAsia" w:ascii="Times New Roman" w:hAnsi="Times New Roman"/>
          <w:b/>
          <w:bCs/>
          <w:szCs w:val="28"/>
        </w:rPr>
        <w:t>血站智慧化建设：</w:t>
      </w:r>
      <w:r>
        <w:rPr>
          <w:rFonts w:hint="eastAsia" w:ascii="Times New Roman" w:hAnsi="Times New Roman"/>
          <w:bCs/>
          <w:szCs w:val="28"/>
        </w:rPr>
        <w:t>本项目血站智慧化建设预算20万元，实际支出34.5万元。由于</w:t>
      </w:r>
      <w:r>
        <w:rPr>
          <w:rFonts w:hint="eastAsia" w:ascii="Times New Roman" w:hAnsi="Times New Roman"/>
          <w:bCs/>
          <w:szCs w:val="28"/>
          <w:lang w:val="en-US" w:eastAsia="zh-CN"/>
        </w:rPr>
        <w:t>经济成本</w:t>
      </w:r>
      <w:r>
        <w:rPr>
          <w:rFonts w:hint="eastAsia" w:ascii="Times New Roman" w:hAnsi="Times New Roman"/>
          <w:bCs/>
          <w:szCs w:val="28"/>
        </w:rPr>
        <w:t>指标</w:t>
      </w:r>
      <w:r>
        <w:rPr>
          <w:rFonts w:hint="eastAsia" w:ascii="Times New Roman" w:hAnsi="Times New Roman"/>
          <w:bCs/>
          <w:szCs w:val="28"/>
          <w:lang w:eastAsia="zh-CN"/>
        </w:rPr>
        <w:t>“</w:t>
      </w:r>
      <w:r>
        <w:rPr>
          <w:rFonts w:hint="eastAsia" w:ascii="Times New Roman" w:hAnsi="Times New Roman"/>
          <w:bCs/>
          <w:szCs w:val="28"/>
        </w:rPr>
        <w:t>新疆血液信息数据中心系统的更新维护</w:t>
      </w:r>
      <w:r>
        <w:rPr>
          <w:rFonts w:hint="eastAsia" w:ascii="Times New Roman" w:hAnsi="Times New Roman"/>
          <w:bCs/>
          <w:szCs w:val="28"/>
          <w:lang w:eastAsia="zh-CN"/>
        </w:rPr>
        <w:t>”</w:t>
      </w:r>
      <w:r>
        <w:rPr>
          <w:rFonts w:hint="eastAsia" w:ascii="Times New Roman" w:hAnsi="Times New Roman"/>
          <w:bCs/>
          <w:szCs w:val="28"/>
        </w:rPr>
        <w:t>与本指标共用同一个经济分类科目，我单位在预算实际执行时按照实际情况进行资金的分配和支付，与年初设置的指标完成值有偏差，得分为0分。</w:t>
      </w:r>
    </w:p>
    <w:p w14:paraId="53C99308">
      <w:pPr>
        <w:spacing w:line="360" w:lineRule="auto"/>
        <w:ind w:firstLine="562"/>
        <w:rPr>
          <w:rFonts w:ascii="Times New Roman" w:hAnsi="Times New Roman"/>
          <w:bCs/>
          <w:szCs w:val="28"/>
        </w:rPr>
      </w:pPr>
      <w:r>
        <w:rPr>
          <w:rFonts w:hint="eastAsia" w:ascii="Times New Roman" w:hAnsi="Times New Roman"/>
          <w:b/>
          <w:bCs/>
          <w:szCs w:val="28"/>
        </w:rPr>
        <w:t>经济成本</w:t>
      </w:r>
      <w:r>
        <w:rPr>
          <w:rFonts w:ascii="Times New Roman" w:hAnsi="Times New Roman"/>
          <w:b/>
          <w:bCs/>
          <w:szCs w:val="28"/>
        </w:rPr>
        <w:t>：</w:t>
      </w:r>
      <w:r>
        <w:rPr>
          <w:rFonts w:hint="eastAsia" w:ascii="Times New Roman" w:hAnsi="Times New Roman"/>
          <w:b/>
          <w:bCs/>
          <w:szCs w:val="28"/>
        </w:rPr>
        <w:t>无偿献血宣传活动：</w:t>
      </w:r>
      <w:r>
        <w:rPr>
          <w:rFonts w:hint="eastAsia" w:ascii="Times New Roman" w:hAnsi="Times New Roman"/>
          <w:bCs/>
          <w:szCs w:val="28"/>
        </w:rPr>
        <w:t>本项目无偿献血宣传活动预算20万元，实际支出20万元。故得分为2.5分。</w:t>
      </w:r>
    </w:p>
    <w:p w14:paraId="6F1BFB81">
      <w:pPr>
        <w:spacing w:line="360" w:lineRule="auto"/>
        <w:ind w:firstLine="562"/>
        <w:rPr>
          <w:rFonts w:ascii="Times New Roman" w:hAnsi="Times New Roman"/>
          <w:bCs/>
          <w:szCs w:val="28"/>
        </w:rPr>
      </w:pPr>
      <w:r>
        <w:rPr>
          <w:rFonts w:hint="eastAsia" w:ascii="Times New Roman" w:hAnsi="Times New Roman"/>
          <w:b/>
          <w:bCs/>
          <w:szCs w:val="28"/>
        </w:rPr>
        <w:t>经济成本：试剂耗材：</w:t>
      </w:r>
      <w:r>
        <w:rPr>
          <w:rFonts w:hint="eastAsia" w:ascii="Times New Roman" w:hAnsi="Times New Roman"/>
          <w:bCs/>
          <w:szCs w:val="28"/>
        </w:rPr>
        <w:t>本项目试剂耗材及外调血费预算391.5万元，实际支出390.03万元，未支出金额为试剂耗材招标采购差额。故得分为2.49分。</w:t>
      </w:r>
    </w:p>
    <w:p w14:paraId="77D82CF2">
      <w:pPr>
        <w:autoSpaceDE w:val="0"/>
        <w:spacing w:line="600" w:lineRule="exact"/>
        <w:ind w:firstLine="562"/>
        <w:rPr>
          <w:rFonts w:hint="eastAsia" w:ascii="Times New Roman" w:hAnsi="Times New Roman"/>
          <w:b/>
          <w:bCs/>
          <w:szCs w:val="28"/>
          <w:highlight w:val="none"/>
        </w:rPr>
      </w:pPr>
      <w:r>
        <w:rPr>
          <w:rFonts w:hint="eastAsia" w:ascii="Times New Roman" w:hAnsi="Times New Roman" w:cs="宋体"/>
          <w:b/>
          <w:kern w:val="0"/>
          <w:szCs w:val="28"/>
          <w:highlight w:val="none"/>
        </w:rPr>
        <w:t>综上，</w:t>
      </w:r>
      <w:r>
        <w:rPr>
          <w:rFonts w:hint="eastAsia" w:ascii="Times New Roman" w:hAnsi="Times New Roman" w:cs="宋体"/>
          <w:b/>
          <w:kern w:val="0"/>
          <w:szCs w:val="28"/>
          <w:highlight w:val="none"/>
          <w:lang w:val="en-US" w:eastAsia="zh-CN"/>
        </w:rPr>
        <w:t>经济成本</w:t>
      </w:r>
      <w:r>
        <w:rPr>
          <w:rFonts w:hint="eastAsia" w:ascii="Times New Roman" w:hAnsi="Times New Roman" w:cs="宋体"/>
          <w:b/>
          <w:kern w:val="0"/>
          <w:szCs w:val="28"/>
          <w:highlight w:val="none"/>
        </w:rPr>
        <w:t>指标满分</w:t>
      </w:r>
      <w:r>
        <w:rPr>
          <w:rFonts w:ascii="Times New Roman" w:hAnsi="Times New Roman" w:cs="宋体"/>
          <w:b/>
          <w:kern w:val="0"/>
          <w:szCs w:val="28"/>
          <w:highlight w:val="none"/>
        </w:rPr>
        <w:t>10</w:t>
      </w:r>
      <w:r>
        <w:rPr>
          <w:rFonts w:hint="eastAsia" w:ascii="Times New Roman" w:hAnsi="Times New Roman" w:cs="宋体"/>
          <w:b/>
          <w:kern w:val="0"/>
          <w:szCs w:val="28"/>
          <w:highlight w:val="none"/>
        </w:rPr>
        <w:t>分，得分</w:t>
      </w:r>
      <w:r>
        <w:rPr>
          <w:rFonts w:hint="eastAsia" w:ascii="Times New Roman" w:hAnsi="Times New Roman" w:cs="宋体"/>
          <w:b/>
          <w:kern w:val="0"/>
          <w:szCs w:val="28"/>
          <w:highlight w:val="none"/>
          <w:lang w:val="en-US" w:eastAsia="zh-CN"/>
        </w:rPr>
        <w:t>4.99</w:t>
      </w:r>
      <w:r>
        <w:rPr>
          <w:rFonts w:hint="eastAsia" w:ascii="Times New Roman" w:hAnsi="Times New Roman" w:cs="宋体"/>
          <w:b/>
          <w:kern w:val="0"/>
          <w:szCs w:val="28"/>
          <w:highlight w:val="none"/>
        </w:rPr>
        <w:t>分。</w:t>
      </w:r>
    </w:p>
    <w:p w14:paraId="0B648F39">
      <w:pPr>
        <w:pStyle w:val="3"/>
        <w:ind w:firstLine="643"/>
        <w:rPr>
          <w:rFonts w:ascii="Times New Roman" w:hAnsi="Times New Roman" w:eastAsia="仿宋"/>
          <w:lang w:bidi="en-US"/>
        </w:rPr>
      </w:pPr>
      <w:bookmarkStart w:id="52" w:name="_Toc16600"/>
      <w:r>
        <w:rPr>
          <w:rFonts w:ascii="Times New Roman" w:hAnsi="Times New Roman" w:eastAsia="仿宋"/>
          <w:lang w:bidi="en-US"/>
        </w:rPr>
        <w:t>（四）项目效益</w:t>
      </w:r>
      <w:bookmarkEnd w:id="52"/>
    </w:p>
    <w:p w14:paraId="447B1B25">
      <w:pPr>
        <w:spacing w:line="360" w:lineRule="auto"/>
        <w:ind w:firstLine="560"/>
        <w:rPr>
          <w:rFonts w:ascii="Times New Roman" w:hAnsi="Times New Roman"/>
          <w:szCs w:val="28"/>
        </w:rPr>
      </w:pPr>
      <w:r>
        <w:rPr>
          <w:rFonts w:hint="eastAsia" w:ascii="Times New Roman" w:hAnsi="Times New Roman"/>
          <w:szCs w:val="28"/>
        </w:rPr>
        <w:t>项目效益指标由</w:t>
      </w:r>
      <w:r>
        <w:rPr>
          <w:rFonts w:ascii="Times New Roman" w:hAnsi="Times New Roman"/>
          <w:szCs w:val="28"/>
        </w:rPr>
        <w:t>1</w:t>
      </w:r>
      <w:r>
        <w:rPr>
          <w:rFonts w:hint="eastAsia" w:ascii="Times New Roman" w:hAnsi="Times New Roman"/>
          <w:szCs w:val="28"/>
        </w:rPr>
        <w:t>个二级指标和1个三级指标构成，权重为</w:t>
      </w:r>
      <w:r>
        <w:rPr>
          <w:rFonts w:ascii="Times New Roman" w:hAnsi="Times New Roman"/>
          <w:szCs w:val="28"/>
        </w:rPr>
        <w:t>5</w:t>
      </w:r>
      <w:r>
        <w:rPr>
          <w:rFonts w:hint="eastAsia" w:ascii="Times New Roman" w:hAnsi="Times New Roman"/>
          <w:szCs w:val="28"/>
        </w:rPr>
        <w:t>分，实际得分</w:t>
      </w:r>
      <w:r>
        <w:rPr>
          <w:rFonts w:ascii="Times New Roman" w:hAnsi="Times New Roman"/>
          <w:szCs w:val="28"/>
        </w:rPr>
        <w:t>5</w:t>
      </w:r>
      <w:r>
        <w:rPr>
          <w:rFonts w:hint="eastAsia" w:ascii="Times New Roman" w:hAnsi="Times New Roman"/>
          <w:szCs w:val="28"/>
        </w:rPr>
        <w:t>分。</w:t>
      </w:r>
    </w:p>
    <w:p w14:paraId="11B9C5EE">
      <w:pPr>
        <w:spacing w:line="360" w:lineRule="auto"/>
        <w:ind w:firstLine="562"/>
        <w:rPr>
          <w:rFonts w:ascii="Times New Roman" w:hAnsi="Times New Roman"/>
          <w:b/>
          <w:bCs/>
          <w:szCs w:val="28"/>
        </w:rPr>
      </w:pPr>
      <w:r>
        <w:rPr>
          <w:rFonts w:hint="eastAsia" w:ascii="Times New Roman" w:hAnsi="Times New Roman"/>
          <w:b/>
          <w:bCs/>
          <w:szCs w:val="28"/>
        </w:rPr>
        <w:t>（1）实施效益</w:t>
      </w:r>
    </w:p>
    <w:p w14:paraId="72FD4271">
      <w:pPr>
        <w:spacing w:line="360" w:lineRule="auto"/>
        <w:ind w:firstLine="562"/>
        <w:rPr>
          <w:rFonts w:ascii="Times New Roman" w:hAnsi="Times New Roman"/>
          <w:szCs w:val="28"/>
        </w:rPr>
      </w:pPr>
      <w:r>
        <w:rPr>
          <w:rFonts w:hint="eastAsia" w:ascii="Times New Roman" w:hAnsi="Times New Roman"/>
          <w:b/>
          <w:bCs/>
          <w:szCs w:val="28"/>
        </w:rPr>
        <w:t>经济效益指标：</w:t>
      </w:r>
      <w:r>
        <w:rPr>
          <w:rFonts w:hint="eastAsia" w:ascii="Times New Roman" w:hAnsi="Times New Roman"/>
          <w:szCs w:val="28"/>
        </w:rPr>
        <w:t>不适用。</w:t>
      </w:r>
    </w:p>
    <w:p w14:paraId="2542F65D">
      <w:pPr>
        <w:spacing w:line="360" w:lineRule="auto"/>
        <w:ind w:firstLine="562"/>
        <w:rPr>
          <w:rFonts w:ascii="Times New Roman" w:hAnsi="Times New Roman"/>
          <w:szCs w:val="28"/>
        </w:rPr>
      </w:pPr>
      <w:r>
        <w:rPr>
          <w:rFonts w:hint="eastAsia" w:ascii="Times New Roman" w:hAnsi="Times New Roman"/>
          <w:b/>
          <w:bCs/>
          <w:szCs w:val="28"/>
        </w:rPr>
        <w:t>社会效益指标</w:t>
      </w:r>
      <w:r>
        <w:rPr>
          <w:rFonts w:hint="eastAsia" w:ascii="Times New Roman" w:hAnsi="Times New Roman"/>
          <w:szCs w:val="28"/>
        </w:rPr>
        <w:t>：评价指标“提高临床用血安全”，指标值：有效提高，实际完成值：基本达成年度指标。本项目的实施完成了血站智慧化建设项目采招标及采购，采购核酸检测试剂204盒、哨点检测试剂61盒，与3家媒体合作进行无偿献血宣传活动。支付血站智慧化建设项目34.5万元，宣传费20万元，试剂耗材390.03万元，基本达到预期效果，有效保障了临床用血安全。</w:t>
      </w:r>
    </w:p>
    <w:p w14:paraId="107720DF">
      <w:pPr>
        <w:spacing w:line="360" w:lineRule="auto"/>
        <w:ind w:firstLine="562"/>
        <w:rPr>
          <w:rFonts w:ascii="Times New Roman" w:hAnsi="Times New Roman"/>
          <w:szCs w:val="28"/>
        </w:rPr>
      </w:pPr>
      <w:r>
        <w:rPr>
          <w:rFonts w:hint="eastAsia" w:ascii="Times New Roman" w:hAnsi="Times New Roman"/>
          <w:b/>
          <w:bCs/>
          <w:szCs w:val="28"/>
        </w:rPr>
        <w:t>生态效益指标</w:t>
      </w:r>
      <w:r>
        <w:rPr>
          <w:rFonts w:hint="eastAsia" w:ascii="Times New Roman" w:hAnsi="Times New Roman"/>
          <w:szCs w:val="28"/>
        </w:rPr>
        <w:t>：不适用。</w:t>
      </w:r>
    </w:p>
    <w:p w14:paraId="40C26D70">
      <w:pPr>
        <w:autoSpaceDE w:val="0"/>
        <w:spacing w:line="600" w:lineRule="exact"/>
        <w:ind w:firstLine="562"/>
        <w:rPr>
          <w:rFonts w:ascii="Times New Roman" w:hAnsi="Times New Roman" w:cs="宋体"/>
          <w:b/>
          <w:kern w:val="0"/>
          <w:szCs w:val="28"/>
          <w:highlight w:val="none"/>
        </w:rPr>
      </w:pPr>
      <w:r>
        <w:rPr>
          <w:rFonts w:hint="eastAsia" w:ascii="Times New Roman" w:hAnsi="Times New Roman" w:cs="宋体"/>
          <w:b/>
          <w:kern w:val="0"/>
          <w:szCs w:val="28"/>
          <w:highlight w:val="none"/>
        </w:rPr>
        <w:t>综上，该指标满分</w:t>
      </w:r>
      <w:r>
        <w:rPr>
          <w:rFonts w:ascii="Times New Roman" w:hAnsi="Times New Roman" w:cs="宋体"/>
          <w:b/>
          <w:kern w:val="0"/>
          <w:szCs w:val="28"/>
          <w:highlight w:val="none"/>
        </w:rPr>
        <w:t>5</w:t>
      </w:r>
      <w:r>
        <w:rPr>
          <w:rFonts w:hint="eastAsia" w:ascii="Times New Roman" w:hAnsi="Times New Roman" w:cs="宋体"/>
          <w:b/>
          <w:kern w:val="0"/>
          <w:szCs w:val="28"/>
          <w:highlight w:val="none"/>
        </w:rPr>
        <w:t>分，得分</w:t>
      </w:r>
      <w:r>
        <w:rPr>
          <w:rFonts w:ascii="Times New Roman" w:hAnsi="Times New Roman" w:cs="宋体"/>
          <w:b/>
          <w:kern w:val="0"/>
          <w:szCs w:val="28"/>
          <w:highlight w:val="none"/>
        </w:rPr>
        <w:t>5</w:t>
      </w:r>
      <w:r>
        <w:rPr>
          <w:rFonts w:hint="eastAsia" w:ascii="Times New Roman" w:hAnsi="Times New Roman" w:cs="宋体"/>
          <w:b/>
          <w:kern w:val="0"/>
          <w:szCs w:val="28"/>
          <w:highlight w:val="none"/>
        </w:rPr>
        <w:t>分。</w:t>
      </w:r>
    </w:p>
    <w:p w14:paraId="2E19FA0F">
      <w:pPr>
        <w:pStyle w:val="3"/>
        <w:ind w:firstLine="643"/>
        <w:rPr>
          <w:rFonts w:ascii="Times New Roman" w:hAnsi="Times New Roman" w:eastAsia="仿宋"/>
          <w:lang w:bidi="en-US"/>
        </w:rPr>
      </w:pPr>
      <w:bookmarkStart w:id="53" w:name="_Toc19849"/>
      <w:r>
        <w:rPr>
          <w:rFonts w:hint="eastAsia" w:ascii="Times New Roman" w:hAnsi="Times New Roman" w:eastAsia="仿宋"/>
          <w:lang w:bidi="en-US"/>
        </w:rPr>
        <w:t>（五）</w:t>
      </w:r>
      <w:r>
        <w:rPr>
          <w:rFonts w:ascii="Times New Roman" w:hAnsi="Times New Roman" w:eastAsia="仿宋"/>
          <w:lang w:bidi="en-US"/>
        </w:rPr>
        <w:t>满意度指标完成情况分析</w:t>
      </w:r>
      <w:bookmarkEnd w:id="53"/>
    </w:p>
    <w:p w14:paraId="2C700601">
      <w:pPr>
        <w:spacing w:line="360" w:lineRule="auto"/>
        <w:ind w:firstLine="562"/>
        <w:rPr>
          <w:rFonts w:ascii="Times New Roman" w:hAnsi="Times New Roman"/>
          <w:b/>
          <w:bCs/>
          <w:szCs w:val="28"/>
        </w:rPr>
      </w:pPr>
      <w:r>
        <w:rPr>
          <w:rFonts w:hint="eastAsia" w:ascii="Times New Roman" w:hAnsi="Times New Roman"/>
          <w:b/>
          <w:bCs/>
          <w:szCs w:val="28"/>
        </w:rPr>
        <w:t>（</w:t>
      </w:r>
      <w:r>
        <w:rPr>
          <w:rFonts w:ascii="Times New Roman" w:hAnsi="Times New Roman"/>
          <w:b/>
          <w:bCs/>
          <w:szCs w:val="28"/>
        </w:rPr>
        <w:t>1</w:t>
      </w:r>
      <w:r>
        <w:rPr>
          <w:rFonts w:hint="eastAsia" w:ascii="Times New Roman" w:hAnsi="Times New Roman"/>
          <w:b/>
          <w:bCs/>
          <w:szCs w:val="28"/>
        </w:rPr>
        <w:t>）满意度指标</w:t>
      </w:r>
    </w:p>
    <w:p w14:paraId="7A39F816">
      <w:pPr>
        <w:spacing w:line="360" w:lineRule="auto"/>
        <w:ind w:firstLine="562"/>
        <w:rPr>
          <w:rFonts w:ascii="Times New Roman" w:hAnsi="Times New Roman"/>
          <w:szCs w:val="28"/>
        </w:rPr>
      </w:pPr>
      <w:r>
        <w:rPr>
          <w:rFonts w:hint="eastAsia" w:ascii="Times New Roman" w:hAnsi="Times New Roman"/>
          <w:b/>
          <w:bCs/>
          <w:szCs w:val="28"/>
        </w:rPr>
        <w:t>群众满意度：</w:t>
      </w:r>
      <w:r>
        <w:rPr>
          <w:rFonts w:hint="eastAsia" w:ascii="Times New Roman" w:hAnsi="Times New Roman"/>
          <w:szCs w:val="28"/>
        </w:rPr>
        <w:t>评价指标“献血者满意度”，指标值：</w:t>
      </w:r>
      <w:r>
        <w:rPr>
          <w:rFonts w:hint="eastAsia" w:ascii="Times New Roman" w:hAnsi="Times New Roman" w:eastAsia="华文宋体"/>
          <w:szCs w:val="28"/>
        </w:rPr>
        <w:t>≥90</w:t>
      </w:r>
      <w:r>
        <w:rPr>
          <w:rFonts w:hint="eastAsia" w:ascii="Times New Roman" w:hAnsi="Times New Roman"/>
          <w:szCs w:val="28"/>
        </w:rPr>
        <w:t>%，实际完成值：9</w:t>
      </w:r>
      <w:r>
        <w:rPr>
          <w:rFonts w:ascii="Times New Roman" w:hAnsi="Times New Roman"/>
          <w:szCs w:val="28"/>
        </w:rPr>
        <w:t>7</w:t>
      </w:r>
      <w:r>
        <w:rPr>
          <w:rFonts w:hint="eastAsia" w:ascii="Times New Roman" w:hAnsi="Times New Roman"/>
          <w:szCs w:val="28"/>
        </w:rPr>
        <w:t>%。通过设置问卷调查的方式进行考评评价，</w:t>
      </w:r>
      <w:r>
        <w:rPr>
          <w:rFonts w:hint="eastAsia" w:ascii="Times New Roman" w:hAnsi="Times New Roman"/>
          <w:szCs w:val="28"/>
          <w:lang w:val="en-US" w:eastAsia="zh-CN"/>
        </w:rPr>
        <w:t>于中心献血大厅随机抽取献血者进行问卷调查，</w:t>
      </w:r>
      <w:r>
        <w:rPr>
          <w:rFonts w:hint="eastAsia" w:ascii="Times New Roman" w:hAnsi="Times New Roman"/>
          <w:szCs w:val="28"/>
        </w:rPr>
        <w:t>共计调查样本总量为20个样本，有效调查问卷20份。其中，统计“献血者满意度”的平均值为97%。故满意度指标得分为10分。</w:t>
      </w:r>
    </w:p>
    <w:p w14:paraId="04E7DF04">
      <w:pPr>
        <w:autoSpaceDE w:val="0"/>
        <w:spacing w:line="600" w:lineRule="exact"/>
        <w:ind w:firstLine="562"/>
        <w:rPr>
          <w:rFonts w:ascii="Times New Roman" w:hAnsi="Times New Roman" w:cs="宋体"/>
          <w:b/>
          <w:kern w:val="0"/>
          <w:szCs w:val="28"/>
        </w:rPr>
      </w:pPr>
      <w:r>
        <w:rPr>
          <w:rFonts w:hint="eastAsia" w:ascii="Times New Roman" w:hAnsi="Times New Roman" w:cs="宋体"/>
          <w:b/>
          <w:kern w:val="0"/>
          <w:szCs w:val="28"/>
        </w:rPr>
        <w:t>综上，该指标满分</w:t>
      </w:r>
      <w:r>
        <w:rPr>
          <w:rFonts w:ascii="Times New Roman" w:hAnsi="Times New Roman" w:cs="宋体"/>
          <w:b/>
          <w:kern w:val="0"/>
          <w:szCs w:val="28"/>
        </w:rPr>
        <w:t>10</w:t>
      </w:r>
      <w:r>
        <w:rPr>
          <w:rFonts w:hint="eastAsia" w:ascii="Times New Roman" w:hAnsi="Times New Roman" w:cs="宋体"/>
          <w:b/>
          <w:kern w:val="0"/>
          <w:szCs w:val="28"/>
        </w:rPr>
        <w:t>分，得分10分。</w:t>
      </w:r>
    </w:p>
    <w:p w14:paraId="2DA87371">
      <w:pPr>
        <w:pStyle w:val="2"/>
        <w:ind w:firstLine="0" w:firstLineChars="0"/>
        <w:jc w:val="left"/>
        <w:rPr>
          <w:rFonts w:ascii="Times New Roman" w:hAnsi="Times New Roman" w:eastAsia="仿宋"/>
          <w:sz w:val="36"/>
          <w:szCs w:val="36"/>
          <w:lang w:bidi="en-US"/>
        </w:rPr>
      </w:pPr>
      <w:bookmarkStart w:id="54" w:name="_Toc6549"/>
      <w:bookmarkStart w:id="55" w:name="_Toc67911617"/>
      <w:r>
        <w:rPr>
          <w:rFonts w:hint="eastAsia" w:ascii="Times New Roman" w:hAnsi="Times New Roman" w:eastAsia="仿宋"/>
          <w:sz w:val="36"/>
          <w:szCs w:val="36"/>
          <w:lang w:bidi="en-US"/>
        </w:rPr>
        <w:t>五、主要经验及做法、存在的问题及原因分析</w:t>
      </w:r>
      <w:bookmarkEnd w:id="54"/>
      <w:bookmarkEnd w:id="55"/>
    </w:p>
    <w:p w14:paraId="1D572C46">
      <w:pPr>
        <w:pStyle w:val="3"/>
        <w:ind w:firstLine="643"/>
        <w:rPr>
          <w:rFonts w:ascii="Times New Roman" w:hAnsi="Times New Roman" w:eastAsia="仿宋"/>
          <w:lang w:bidi="en-US"/>
        </w:rPr>
      </w:pPr>
      <w:bookmarkStart w:id="56" w:name="_Toc31684"/>
      <w:bookmarkStart w:id="57" w:name="_Toc67911618"/>
      <w:r>
        <w:rPr>
          <w:rFonts w:hint="eastAsia" w:ascii="Times New Roman" w:hAnsi="Times New Roman" w:eastAsia="仿宋"/>
          <w:lang w:bidi="en-US"/>
        </w:rPr>
        <w:t>（一）主要经验及做法</w:t>
      </w:r>
      <w:bookmarkEnd w:id="56"/>
      <w:bookmarkEnd w:id="57"/>
    </w:p>
    <w:p w14:paraId="66269949">
      <w:pPr>
        <w:spacing w:line="540" w:lineRule="exact"/>
        <w:ind w:firstLine="562"/>
        <w:rPr>
          <w:rFonts w:ascii="Times New Roman" w:hAnsi="Times New Roman"/>
          <w:szCs w:val="28"/>
        </w:rPr>
      </w:pPr>
      <w:r>
        <w:rPr>
          <w:rStyle w:val="17"/>
          <w:rFonts w:hint="eastAsia" w:ascii="Times New Roman" w:hAnsi="Times New Roman" w:eastAsia="楷体" w:cs="Times New Roman"/>
          <w:b w:val="0"/>
          <w:bCs w:val="0"/>
          <w:spacing w:val="-4"/>
          <w:sz w:val="32"/>
          <w:szCs w:val="32"/>
        </w:rPr>
        <w:t>1.</w:t>
      </w:r>
      <w:r>
        <w:rPr>
          <w:rFonts w:hint="eastAsia" w:ascii="Times New Roman" w:hAnsi="Times New Roman"/>
          <w:szCs w:val="28"/>
        </w:rPr>
        <w:t>项目立项符合法律法规、相关政策、发展规划以及部门职责，立项程序要规范，预算额度测算依据充分，资金分配额度合理，严格按照文件规定的支出功能分类科目，支出经济分类科目执行资金，做到专款专用，同时加快项目执行进度。做好绩效全过程监督，保证项目顺利完成。</w:t>
      </w:r>
    </w:p>
    <w:p w14:paraId="6929AF55">
      <w:pPr>
        <w:spacing w:line="540" w:lineRule="exact"/>
        <w:ind w:firstLine="624"/>
        <w:rPr>
          <w:rFonts w:ascii="Times New Roman" w:hAnsi="Times New Roman"/>
          <w:szCs w:val="28"/>
        </w:rPr>
      </w:pPr>
      <w:r>
        <w:rPr>
          <w:rStyle w:val="17"/>
          <w:rFonts w:hint="eastAsia" w:ascii="Times New Roman" w:hAnsi="Times New Roman" w:eastAsia="楷体"/>
          <w:b w:val="0"/>
          <w:bCs w:val="0"/>
          <w:spacing w:val="-4"/>
          <w:sz w:val="32"/>
          <w:szCs w:val="32"/>
        </w:rPr>
        <w:t>2.</w:t>
      </w:r>
      <w:r>
        <w:rPr>
          <w:rFonts w:hint="eastAsia" w:ascii="Times New Roman" w:hAnsi="Times New Roman"/>
          <w:szCs w:val="28"/>
        </w:rPr>
        <w:t>加强领导，落实责任，明确各部门的工作职责。确保项目建设中存在的问题得到及时解决。</w:t>
      </w:r>
    </w:p>
    <w:p w14:paraId="30EF191A">
      <w:pPr>
        <w:autoSpaceDE w:val="0"/>
        <w:spacing w:line="600" w:lineRule="exact"/>
        <w:ind w:firstLine="624"/>
        <w:rPr>
          <w:rFonts w:ascii="Times New Roman" w:hAnsi="Times New Roman" w:cs="宋体"/>
          <w:kern w:val="0"/>
          <w:szCs w:val="28"/>
        </w:rPr>
      </w:pPr>
      <w:r>
        <w:rPr>
          <w:rStyle w:val="17"/>
          <w:rFonts w:hint="eastAsia" w:ascii="Times New Roman" w:hAnsi="Times New Roman" w:eastAsia="楷体"/>
          <w:b w:val="0"/>
          <w:bCs w:val="0"/>
          <w:spacing w:val="-4"/>
          <w:sz w:val="32"/>
          <w:szCs w:val="32"/>
        </w:rPr>
        <w:t>3.</w:t>
      </w:r>
      <w:r>
        <w:rPr>
          <w:rFonts w:hint="eastAsia" w:ascii="Times New Roman" w:hAnsi="Times New Roman"/>
          <w:szCs w:val="28"/>
        </w:rPr>
        <w:t>落实资金问题，严格程序，确保资金效益。项目建设坚持层层审批原则，做到操作程序规范，严格按照上级审批要求开展工作，并严格按照资金使用的相关管理要求执行，严格资金使用范围，保证项目资金专款专用。杜绝截留、挪用、滞留、浪费资金等现象的发生，确保资金使用安全和最大效益的发挥。</w:t>
      </w:r>
    </w:p>
    <w:p w14:paraId="48BA5418">
      <w:pPr>
        <w:pStyle w:val="3"/>
        <w:ind w:firstLine="643"/>
        <w:rPr>
          <w:rFonts w:ascii="Times New Roman" w:hAnsi="Times New Roman" w:eastAsia="仿宋"/>
          <w:lang w:bidi="en-US"/>
        </w:rPr>
      </w:pPr>
      <w:bookmarkStart w:id="58" w:name="_Toc27698"/>
      <w:r>
        <w:rPr>
          <w:rFonts w:hint="eastAsia" w:ascii="Times New Roman" w:hAnsi="Times New Roman" w:eastAsia="仿宋"/>
          <w:lang w:bidi="en-US"/>
        </w:rPr>
        <w:t>（二）存在的问题及原因分析</w:t>
      </w:r>
      <w:bookmarkEnd w:id="58"/>
    </w:p>
    <w:p w14:paraId="003E7D43">
      <w:pPr>
        <w:spacing w:line="360" w:lineRule="auto"/>
        <w:ind w:firstLine="624"/>
        <w:rPr>
          <w:rFonts w:ascii="Times New Roman" w:hAnsi="Times New Roman" w:cs="宋体"/>
          <w:kern w:val="0"/>
          <w:szCs w:val="28"/>
        </w:rPr>
      </w:pPr>
      <w:r>
        <w:rPr>
          <w:rStyle w:val="17"/>
          <w:rFonts w:hint="eastAsia" w:ascii="Times New Roman" w:hAnsi="Times New Roman" w:eastAsia="楷体" w:cs="Times New Roman"/>
          <w:b w:val="0"/>
          <w:bCs w:val="0"/>
          <w:spacing w:val="-4"/>
          <w:sz w:val="32"/>
          <w:szCs w:val="32"/>
        </w:rPr>
        <w:t>1.</w:t>
      </w:r>
      <w:r>
        <w:rPr>
          <w:rFonts w:hint="eastAsia" w:ascii="Times New Roman" w:hAnsi="Times New Roman" w:cs="宋体"/>
          <w:kern w:val="0"/>
          <w:szCs w:val="28"/>
        </w:rPr>
        <w:t>部门协同需加强。项目绩效评价，财务仅了解资金到位及支付情况，具体项目实施及进展不太了解，需消耗很长时间了解项目整体情况，所以填报评价报告时有一定难度，需与业务科室详细沟通后才能填写评价报告。在后期的项目执行中，需加强财务科与其他业务科室的协同合作。</w:t>
      </w:r>
    </w:p>
    <w:p w14:paraId="2A9B7DAE">
      <w:pPr>
        <w:spacing w:line="360" w:lineRule="auto"/>
        <w:ind w:firstLine="624"/>
        <w:rPr>
          <w:rFonts w:ascii="Times New Roman" w:hAnsi="Times New Roman" w:cs="宋体"/>
          <w:kern w:val="0"/>
          <w:szCs w:val="28"/>
        </w:rPr>
      </w:pPr>
      <w:r>
        <w:rPr>
          <w:rStyle w:val="17"/>
          <w:rFonts w:hint="eastAsia" w:ascii="Times New Roman" w:hAnsi="Times New Roman" w:eastAsia="楷体" w:cs="Times New Roman"/>
          <w:b w:val="0"/>
          <w:bCs w:val="0"/>
          <w:spacing w:val="-4"/>
          <w:sz w:val="32"/>
          <w:szCs w:val="32"/>
        </w:rPr>
        <w:t>2.</w:t>
      </w:r>
      <w:r>
        <w:rPr>
          <w:rFonts w:hint="eastAsia" w:ascii="Times New Roman" w:hAnsi="Times New Roman" w:cs="宋体"/>
          <w:kern w:val="0"/>
          <w:szCs w:val="28"/>
        </w:rPr>
        <w:t>绩效管理意识需要加强。我单位对于项目绩效管理，缺少针对历年延续内容的汇总和分析。在今后的工作中，要树立绩效管理理念，加强各科室的参与度，及时归集绩效成果资料，注重绩效过程资料总结和数据汇总分析，注重建立长效机制，全面绩效管理，全面真实项目实施效果。</w:t>
      </w:r>
    </w:p>
    <w:p w14:paraId="34B7284F">
      <w:pPr>
        <w:pStyle w:val="2"/>
        <w:ind w:firstLine="0" w:firstLineChars="0"/>
        <w:jc w:val="left"/>
        <w:rPr>
          <w:rFonts w:ascii="Times New Roman" w:hAnsi="Times New Roman" w:eastAsia="仿宋"/>
          <w:sz w:val="36"/>
          <w:szCs w:val="36"/>
          <w:lang w:bidi="en-US"/>
        </w:rPr>
      </w:pPr>
      <w:bookmarkStart w:id="59" w:name="_Toc67911620"/>
      <w:bookmarkStart w:id="60" w:name="_Toc22568"/>
      <w:bookmarkStart w:id="61" w:name="_Toc67911619"/>
      <w:r>
        <w:rPr>
          <w:rFonts w:hint="eastAsia" w:ascii="Times New Roman" w:hAnsi="Times New Roman" w:eastAsia="仿宋"/>
          <w:sz w:val="36"/>
          <w:szCs w:val="36"/>
          <w:lang w:bidi="en-US"/>
        </w:rPr>
        <w:t>六、有关建议</w:t>
      </w:r>
      <w:bookmarkEnd w:id="59"/>
      <w:bookmarkEnd w:id="60"/>
    </w:p>
    <w:p w14:paraId="3B6F1125">
      <w:pPr>
        <w:pStyle w:val="2"/>
        <w:spacing w:before="0" w:after="0" w:line="360" w:lineRule="auto"/>
        <w:ind w:firstLine="560"/>
        <w:jc w:val="left"/>
        <w:rPr>
          <w:rFonts w:ascii="Times New Roman" w:hAnsi="Times New Roman"/>
          <w:b w:val="0"/>
          <w:bCs w:val="0"/>
          <w:kern w:val="2"/>
          <w:sz w:val="28"/>
          <w:szCs w:val="28"/>
        </w:rPr>
      </w:pPr>
      <w:bookmarkStart w:id="62" w:name="_Toc5622"/>
      <w:r>
        <w:rPr>
          <w:rFonts w:hint="eastAsia" w:ascii="Times New Roman" w:hAnsi="Times New Roman"/>
          <w:b w:val="0"/>
          <w:bCs w:val="0"/>
          <w:kern w:val="2"/>
          <w:sz w:val="28"/>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bookmarkEnd w:id="62"/>
    </w:p>
    <w:p w14:paraId="4C3A6EEF">
      <w:pPr>
        <w:spacing w:line="540" w:lineRule="exact"/>
        <w:ind w:firstLine="560"/>
        <w:rPr>
          <w:rFonts w:ascii="Times New Roman" w:hAnsi="Times New Roman" w:cs="宋体"/>
          <w:kern w:val="0"/>
          <w:szCs w:val="28"/>
        </w:rPr>
      </w:pPr>
      <w:r>
        <w:rPr>
          <w:rFonts w:hint="eastAsia" w:ascii="Times New Roman" w:hAnsi="Times New Roman" w:cs="宋体"/>
          <w:kern w:val="0"/>
          <w:szCs w:val="28"/>
        </w:rPr>
        <w:t>对项目决策的建议：该项目全面性、完整性较好，真实、准确，保证采血、供血安全，保证血液的采集、检测、储存和临床用血的供应，开展成分血制备。我单位继续做好年初目标值的测算，保证尽可能准确。</w:t>
      </w:r>
    </w:p>
    <w:p w14:paraId="2CEE1E42">
      <w:pPr>
        <w:spacing w:line="540" w:lineRule="exact"/>
        <w:ind w:firstLine="560"/>
        <w:rPr>
          <w:rFonts w:ascii="Times New Roman" w:hAnsi="Times New Roman" w:cs="宋体"/>
          <w:kern w:val="0"/>
          <w:szCs w:val="28"/>
        </w:rPr>
      </w:pPr>
      <w:r>
        <w:rPr>
          <w:rFonts w:hint="eastAsia" w:ascii="Times New Roman" w:hAnsi="Times New Roman" w:cs="宋体"/>
          <w:kern w:val="0"/>
          <w:szCs w:val="28"/>
        </w:rPr>
        <w:t>对预算安排与执行的建议:针对临床用血需求，保证采供血业务的正常开展，保证血液的采集、检测、储存和临床用血的供应，建议按照预算安排的项目资金，办理相关支付，保障项目的正常支付。</w:t>
      </w:r>
    </w:p>
    <w:p w14:paraId="3168D696">
      <w:pPr>
        <w:spacing w:line="540" w:lineRule="exact"/>
        <w:ind w:firstLine="560"/>
        <w:rPr>
          <w:rFonts w:ascii="Times New Roman" w:hAnsi="Times New Roman" w:cs="宋体"/>
          <w:kern w:val="0"/>
          <w:szCs w:val="28"/>
        </w:rPr>
      </w:pPr>
      <w:r>
        <w:rPr>
          <w:rFonts w:hint="eastAsia" w:ascii="Times New Roman" w:hAnsi="Times New Roman" w:cs="宋体"/>
          <w:kern w:val="0"/>
          <w:szCs w:val="28"/>
        </w:rPr>
        <w:t>对资金管理的建议：针对临床用血需求，保证采供血业务的正常开展，保证血液的采集、检测、储存和临床用血的供应，建议按照预算安排的项目资金，办理相关支付，保障项目的正常支付。</w:t>
      </w:r>
    </w:p>
    <w:p w14:paraId="16E41606">
      <w:pPr>
        <w:spacing w:line="540" w:lineRule="exact"/>
        <w:ind w:firstLine="560"/>
        <w:rPr>
          <w:rFonts w:ascii="Times New Roman" w:hAnsi="Times New Roman" w:eastAsia="仿宋"/>
          <w:sz w:val="36"/>
          <w:szCs w:val="36"/>
          <w:lang w:bidi="en-US"/>
        </w:rPr>
      </w:pPr>
      <w:r>
        <w:rPr>
          <w:rFonts w:hint="eastAsia" w:ascii="Times New Roman" w:hAnsi="Times New Roman" w:cs="宋体"/>
          <w:kern w:val="0"/>
          <w:szCs w:val="28"/>
        </w:rPr>
        <w:t>项目管理的建议：项目执行过程中有序开展工作，财务科要应与业务科室协同工作按时收集数据资料。在项目实施过程中药加强事前、事中、事后管理，争取项目保质保量的完成，以保障采供血业务的正常开展，保证血液采集、检测、储存和临床用血的供应。</w:t>
      </w:r>
    </w:p>
    <w:p w14:paraId="3AB3A51E">
      <w:pPr>
        <w:pStyle w:val="2"/>
        <w:ind w:firstLine="0" w:firstLineChars="0"/>
        <w:jc w:val="left"/>
        <w:rPr>
          <w:rFonts w:ascii="Times New Roman" w:hAnsi="Times New Roman" w:eastAsia="仿宋"/>
          <w:sz w:val="36"/>
          <w:szCs w:val="36"/>
          <w:lang w:bidi="en-US"/>
        </w:rPr>
      </w:pPr>
      <w:bookmarkStart w:id="63" w:name="_Toc27433"/>
      <w:r>
        <w:rPr>
          <w:rFonts w:hint="eastAsia" w:ascii="Times New Roman" w:hAnsi="Times New Roman" w:eastAsia="仿宋"/>
          <w:sz w:val="36"/>
          <w:szCs w:val="36"/>
          <w:lang w:bidi="en-US"/>
        </w:rPr>
        <w:t>七、其他需要说明的问题</w:t>
      </w:r>
      <w:bookmarkEnd w:id="61"/>
      <w:bookmarkEnd w:id="63"/>
    </w:p>
    <w:p w14:paraId="04380726">
      <w:pPr>
        <w:spacing w:line="360" w:lineRule="auto"/>
        <w:ind w:firstLine="560"/>
        <w:rPr>
          <w:rFonts w:hint="eastAsia" w:ascii="Times New Roman" w:hAnsi="Times New Roman"/>
          <w:szCs w:val="28"/>
        </w:rPr>
      </w:pPr>
      <w:r>
        <w:rPr>
          <w:rFonts w:hint="eastAsia" w:ascii="Times New Roman" w:hAnsi="Times New Roman"/>
          <w:szCs w:val="28"/>
          <w:lang w:val="en-US" w:eastAsia="zh-CN"/>
        </w:rPr>
        <w:t>1.</w:t>
      </w:r>
      <w:r>
        <w:rPr>
          <w:rFonts w:hint="eastAsia" w:ascii="仿宋_GB2312"/>
          <w:szCs w:val="28"/>
        </w:rPr>
        <w:t>项目支出政策和路径设计科学，符合实际需要</w:t>
      </w:r>
      <w:r>
        <w:rPr>
          <w:rFonts w:hint="eastAsia" w:ascii="仿宋_GB2312"/>
          <w:szCs w:val="28"/>
          <w:lang w:eastAsia="zh-CN"/>
        </w:rPr>
        <w:t>。</w:t>
      </w:r>
      <w:r>
        <w:rPr>
          <w:rFonts w:hint="eastAsia" w:ascii="Times New Roman" w:hAnsi="Times New Roman"/>
          <w:szCs w:val="28"/>
        </w:rPr>
        <w:t>该项目支出政策与路径设计紧密贴合实际需求，构建了科学高效的管理体系。资金分配上，</w:t>
      </w:r>
      <w:r>
        <w:rPr>
          <w:rFonts w:hint="eastAsia" w:ascii="Times New Roman" w:hAnsi="Times New Roman"/>
          <w:szCs w:val="28"/>
          <w:lang w:val="en-US" w:eastAsia="zh-CN"/>
        </w:rPr>
        <w:t>资金分类</w:t>
      </w:r>
      <w:r>
        <w:rPr>
          <w:rFonts w:hint="eastAsia" w:ascii="Times New Roman" w:hAnsi="Times New Roman"/>
          <w:szCs w:val="28"/>
        </w:rPr>
        <w:t>精准匹配业务：无偿献血宣传以“集中活动+长效传播”覆盖2次大型活动及3家媒体合作，针对人口流动特点提升触达率；严格依据《血站技术操作规程》设备周期要求</w:t>
      </w:r>
      <w:r>
        <w:rPr>
          <w:rFonts w:hint="eastAsia" w:ascii="Times New Roman" w:hAnsi="Times New Roman"/>
          <w:szCs w:val="28"/>
          <w:lang w:eastAsia="zh-CN"/>
        </w:rPr>
        <w:t>，</w:t>
      </w:r>
      <w:r>
        <w:rPr>
          <w:rFonts w:hint="eastAsia" w:ascii="Times New Roman" w:hAnsi="Times New Roman"/>
          <w:szCs w:val="28"/>
        </w:rPr>
        <w:t>设备更新优先保障采血车、储血库等关键设施；试剂耗材根据年均检测量及100%核酸检测强制标准测算，凸显资金向安全核心环节倾斜。</w:t>
      </w:r>
    </w:p>
    <w:p w14:paraId="3C1AE0FE">
      <w:pPr>
        <w:spacing w:line="360" w:lineRule="auto"/>
        <w:ind w:firstLine="560"/>
        <w:rPr>
          <w:rFonts w:hint="eastAsia" w:ascii="Times New Roman" w:hAnsi="Times New Roman"/>
          <w:szCs w:val="28"/>
        </w:rPr>
      </w:pPr>
      <w:r>
        <w:rPr>
          <w:rFonts w:hint="eastAsia" w:ascii="Times New Roman" w:hAnsi="Times New Roman"/>
          <w:szCs w:val="28"/>
          <w:lang w:val="en-US" w:eastAsia="zh-CN"/>
        </w:rPr>
        <w:t>2.</w:t>
      </w:r>
      <w:r>
        <w:rPr>
          <w:rFonts w:hint="eastAsia" w:ascii="仿宋_GB2312"/>
          <w:szCs w:val="28"/>
        </w:rPr>
        <w:t>未发现虚假行为和骗取财政资金的问题。</w:t>
      </w:r>
      <w:r>
        <w:rPr>
          <w:rFonts w:hint="eastAsia" w:ascii="Times New Roman" w:hAnsi="Times New Roman"/>
          <w:szCs w:val="28"/>
        </w:rPr>
        <w:t>经全面核查，该项目在资金使用全流程中未发现虚假操作、套取挪用或骗取财政资金等违规行为。项目严格执行《中华人民共和国预算法》《财政资金管理办法》及专项资金管理细则，资金申请、审批、支付均通过财政一体化系统留痕，关键节点设置三级联审，</w:t>
      </w:r>
      <w:r>
        <w:rPr>
          <w:rFonts w:hint="eastAsia" w:ascii="Times New Roman" w:hAnsi="Times New Roman"/>
          <w:szCs w:val="28"/>
          <w:lang w:val="en-US" w:eastAsia="zh-CN"/>
        </w:rPr>
        <w:t>当年</w:t>
      </w:r>
      <w:r>
        <w:rPr>
          <w:rFonts w:hint="eastAsia" w:ascii="Times New Roman" w:hAnsi="Times New Roman"/>
          <w:szCs w:val="28"/>
        </w:rPr>
        <w:t>支付款项均附有合同、验收单等完整佐证材料，未出现无依据支付或超范围列支情况。综合表明，该项目资金管理规范透明，有效防范了虚报冒领风险，切实保障了财政资金安全。</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15E38">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8A5DB">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E0147">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40F6AE59">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10</w:t>
        </w:r>
        <w:r>
          <w:rPr>
            <w:rFonts w:hint="eastAsia" w:ascii="仿宋_GB2312" w:eastAsia="仿宋_GB2312"/>
            <w:sz w:val="21"/>
            <w:szCs w:val="21"/>
          </w:rPr>
          <w:fldChar w:fldCharType="end"/>
        </w:r>
      </w:p>
    </w:sdtContent>
  </w:sdt>
  <w:p w14:paraId="5AAC2086">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16A81365">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31</w:t>
        </w:r>
        <w:r>
          <w:rPr>
            <w:rFonts w:hint="eastAsia" w:ascii="仿宋_GB2312" w:eastAsia="仿宋_GB2312"/>
            <w:sz w:val="21"/>
            <w:szCs w:val="21"/>
          </w:rPr>
          <w:fldChar w:fldCharType="end"/>
        </w:r>
      </w:p>
    </w:sdtContent>
  </w:sdt>
  <w:p w14:paraId="61655889">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6E0539E1">
      <w:pPr>
        <w:pStyle w:val="12"/>
        <w:ind w:firstLine="0" w:firstLineChars="0"/>
        <w:jc w:val="both"/>
        <w:rPr>
          <w:rFonts w:ascii="仿宋_GB2312"/>
        </w:rPr>
      </w:pPr>
      <w:r>
        <w:rPr>
          <w:rStyle w:val="19"/>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391AB303">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C13D2">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BFC4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13102">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F85F3">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EE0EF">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ZWFiYWQ4ODczNDIyY2E1NmRkOTljMDE2ZDBhZTgifQ=="/>
  </w:docVars>
  <w:rsids>
    <w:rsidRoot w:val="00000000"/>
    <w:rsid w:val="0361583C"/>
    <w:rsid w:val="6B462261"/>
    <w:rsid w:val="6D6A682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bCs/>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footnote reference"/>
    <w:basedOn w:val="16"/>
    <w:semiHidden/>
    <w:unhideWhenUsed/>
    <w:qFormat/>
    <w:uiPriority w:val="99"/>
    <w:rPr>
      <w:vertAlign w:val="superscript"/>
    </w:rPr>
  </w:style>
  <w:style w:type="paragraph" w:customStyle="1" w:styleId="20">
    <w:name w:val="Comment Text"/>
    <w:basedOn w:val="1"/>
    <w:link w:val="32"/>
    <w:unhideWhenUsed/>
    <w:qFormat/>
    <w:uiPriority w:val="99"/>
    <w:pPr>
      <w:jc w:val="left"/>
    </w:pPr>
  </w:style>
  <w:style w:type="paragraph" w:customStyle="1" w:styleId="21">
    <w:name w:val="Comment Subject"/>
    <w:basedOn w:val="20"/>
    <w:next w:val="20"/>
    <w:link w:val="33"/>
    <w:semiHidden/>
    <w:unhideWhenUsed/>
    <w:qFormat/>
    <w:uiPriority w:val="99"/>
    <w:rPr>
      <w:b/>
      <w:bCs/>
    </w:rPr>
  </w:style>
  <w:style w:type="character" w:customStyle="1" w:styleId="22">
    <w:name w:val="Comment Reference"/>
    <w:basedOn w:val="16"/>
    <w:semiHidden/>
    <w:unhideWhenUsed/>
    <w:qFormat/>
    <w:uiPriority w:val="99"/>
    <w:rPr>
      <w:sz w:val="21"/>
      <w:szCs w:val="21"/>
    </w:rPr>
  </w:style>
  <w:style w:type="character" w:customStyle="1" w:styleId="23">
    <w:name w:val="页眉 Char"/>
    <w:basedOn w:val="16"/>
    <w:link w:val="10"/>
    <w:qFormat/>
    <w:uiPriority w:val="99"/>
    <w:rPr>
      <w:sz w:val="18"/>
      <w:szCs w:val="18"/>
    </w:rPr>
  </w:style>
  <w:style w:type="character" w:customStyle="1" w:styleId="24">
    <w:name w:val="页脚 Char"/>
    <w:basedOn w:val="16"/>
    <w:link w:val="9"/>
    <w:qFormat/>
    <w:uiPriority w:val="99"/>
    <w:rPr>
      <w:sz w:val="18"/>
      <w:szCs w:val="18"/>
    </w:rPr>
  </w:style>
  <w:style w:type="character" w:customStyle="1" w:styleId="25">
    <w:name w:val="日期 Char"/>
    <w:basedOn w:val="16"/>
    <w:link w:val="7"/>
    <w:semiHidden/>
    <w:qFormat/>
    <w:uiPriority w:val="99"/>
    <w:rPr>
      <w:rFonts w:ascii="Calibri" w:hAnsi="Calibri" w:eastAsia="仿宋_GB2312" w:cs="黑体"/>
      <w:sz w:val="28"/>
    </w:rPr>
  </w:style>
  <w:style w:type="character" w:customStyle="1" w:styleId="26">
    <w:name w:val="标题 2 Char"/>
    <w:basedOn w:val="16"/>
    <w:link w:val="3"/>
    <w:qFormat/>
    <w:uiPriority w:val="9"/>
    <w:rPr>
      <w:rFonts w:asciiTheme="majorHAnsi" w:hAnsiTheme="majorHAnsi" w:eastAsiaTheme="majorEastAsia" w:cstheme="majorBidi"/>
      <w:b/>
      <w:bCs/>
      <w:sz w:val="32"/>
      <w:szCs w:val="32"/>
    </w:rPr>
  </w:style>
  <w:style w:type="character" w:customStyle="1" w:styleId="27">
    <w:name w:val="脚注文本 Char"/>
    <w:basedOn w:val="16"/>
    <w:link w:val="12"/>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6"/>
    <w:link w:val="2"/>
    <w:qFormat/>
    <w:uiPriority w:val="9"/>
    <w:rPr>
      <w:rFonts w:ascii="Calibri" w:hAnsi="Calibri" w:eastAsia="仿宋_GB2312" w:cs="黑体"/>
      <w:b/>
      <w:bCs/>
      <w:kern w:val="44"/>
      <w:sz w:val="44"/>
      <w:szCs w:val="44"/>
    </w:rPr>
  </w:style>
  <w:style w:type="paragraph" w:customStyle="1" w:styleId="31">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6"/>
    <w:link w:val="20"/>
    <w:qFormat/>
    <w:uiPriority w:val="99"/>
    <w:rPr>
      <w:rFonts w:ascii="Calibri" w:hAnsi="Calibri" w:eastAsia="仿宋_GB2312" w:cs="黑体"/>
      <w:sz w:val="28"/>
    </w:rPr>
  </w:style>
  <w:style w:type="character" w:customStyle="1" w:styleId="33">
    <w:name w:val="批注主题 Char"/>
    <w:basedOn w:val="32"/>
    <w:link w:val="21"/>
    <w:semiHidden/>
    <w:qFormat/>
    <w:uiPriority w:val="99"/>
    <w:rPr>
      <w:rFonts w:ascii="Calibri" w:hAnsi="Calibri" w:eastAsia="仿宋_GB2312" w:cs="黑体"/>
      <w:b/>
      <w:bCs/>
      <w:sz w:val="28"/>
    </w:rPr>
  </w:style>
  <w:style w:type="character" w:customStyle="1" w:styleId="34">
    <w:name w:val="批注框文本 Char"/>
    <w:basedOn w:val="16"/>
    <w:link w:val="8"/>
    <w:semiHidden/>
    <w:qFormat/>
    <w:uiPriority w:val="99"/>
    <w:rPr>
      <w:rFonts w:ascii="Calibri" w:hAnsi="Calibri" w:eastAsia="仿宋_GB2312" w:cs="黑体"/>
      <w:sz w:val="18"/>
      <w:szCs w:val="18"/>
    </w:rPr>
  </w:style>
  <w:style w:type="character" w:customStyle="1" w:styleId="35">
    <w:name w:val="标题 3 Char"/>
    <w:basedOn w:val="16"/>
    <w:link w:val="4"/>
    <w:qFormat/>
    <w:uiPriority w:val="9"/>
    <w:rPr>
      <w:rFonts w:ascii="Calibri" w:hAnsi="Calibri" w:eastAsia="仿宋_GB2312" w:cs="黑体"/>
      <w:b/>
      <w:bCs/>
      <w:sz w:val="32"/>
      <w:szCs w:val="32"/>
    </w:rPr>
  </w:style>
  <w:style w:type="character" w:customStyle="1" w:styleId="36">
    <w:name w:val="font11"/>
    <w:basedOn w:val="16"/>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C1B7C012626A4DB8A82B5DA9A3501ACE_12</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C1B7C012626A4DB8A82B5DA9A3501ACE_12</vt:lpwstr>
  </property>
</Properties>
</file>

<file path=customXml/itemProps1.xml><?xml version="1.0" encoding="utf-8"?>
<ds:datastoreItem xmlns:ds="http://schemas.openxmlformats.org/officeDocument/2006/customXml" ds:itemID="{fd8dca0e-98f4-40b4-bdeb-b557e99a05d7}">
  <ds:schemaRefs/>
</ds:datastoreItem>
</file>

<file path=customXml/itemProps2.xml><?xml version="1.0" encoding="utf-8"?>
<ds:datastoreItem xmlns:ds="http://schemas.openxmlformats.org/officeDocument/2006/customXml" ds:itemID="{B3D4FE36-74EB-4847-B587-274E480477AE}">
  <ds:schemaRefs/>
</ds:datastoreItem>
</file>

<file path=customXml/itemProps3.xml><?xml version="1.0" encoding="utf-8"?>
<ds:datastoreItem xmlns:ds="http://schemas.openxmlformats.org/officeDocument/2006/customXml" ds:itemID="{bf514e29-fa6a-4700-8ab9-8f4e6df3f552}">
  <ds:schemaRefs/>
</ds:datastoreItem>
</file>

<file path=docProps/app.xml><?xml version="1.0" encoding="utf-8"?>
<Properties xmlns="http://schemas.openxmlformats.org/officeDocument/2006/extended-properties" xmlns:vt="http://schemas.openxmlformats.org/officeDocument/2006/docPropsVTypes">
  <Template>Normal</Template>
  <Pages>34</Pages>
  <Words>13999</Words>
  <Characters>14637</Characters>
  <Lines>122</Lines>
  <Paragraphs>34</Paragraphs>
  <TotalTime>10</TotalTime>
  <ScaleCrop>false</ScaleCrop>
  <LinksUpToDate>false</LinksUpToDate>
  <CharactersWithSpaces>14760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2025-05-15T09:06:00Z</dcterms:created>
  <dc:creator>张 宇</dc:creator>
  <cp:lastModifiedBy>lenovo</cp:lastModifiedBy>
  <cp:lastPrinted>2023-04-11T02:57:00Z</cp:lastPrinted>
  <dcterms:modified xsi:type="dcterms:W3CDTF">2025-10-09T03:35:17Z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C1B7C012626A4DB8A82B5DA9A3501ACE_12</vt:lpwstr>
  </property>
</Properties>
</file>