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r/>
    </w:p>
    <w:p>
      <w:pPr>
        <w:spacing w:line="480" w:lineRule="auto"/>
        <w:ind w:firstLine="0" w:firstLineChars="0"/>
        <w:rPr>
          <w:rFonts w:ascii="Times New Roman" w:eastAsia="黑体" w:hAnsi="Times New Roman" w:cs="Times New Roman"/>
          <w:b/>
          <w:kern w:val="0"/>
          <w:sz w:val="50"/>
          <w:szCs w:val="50"/>
          <w:lang w:bidi="en-US"/>
        </w:rPr>
      </w:pPr>
      <w:bookmarkStart w:id="0" w:name="_GoBack"/>
      <w:bookmarkEnd w:id="0"/>
    </w:p>
    <w:p>
      <w:pPr>
        <w:spacing w:line="480" w:lineRule="auto"/>
        <w:ind w:firstLine="0" w:firstLineChars="0"/>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before="120" w:after="120" w:line="480" w:lineRule="auto"/>
        <w:ind w:firstLine="0" w:firstLineChars="0"/>
        <w:jc w:val="center"/>
        <w:rPr>
          <w:rFonts w:ascii="仿宋_GB2312" w:hAnsi="Arial"/>
          <w:b/>
          <w:sz w:val="44"/>
          <w:szCs w:val="44"/>
        </w:rPr>
      </w:pPr>
      <w:r>
        <w:rPr>
          <w:rFonts w:ascii="仿宋_GB2312" w:hAnsi="Arial" w:hint="eastAsia"/>
          <w:b/>
          <w:sz w:val="44"/>
          <w:szCs w:val="44"/>
        </w:rPr>
        <w:t xml:space="preserve">财政项目支出绩效评价报告</w:t>
      </w: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仿宋_GB2312" w:hAnsi="Times New Roman" w:cs="Times New Roman"/>
          <w:kern w:val="0"/>
          <w:sz w:val="30"/>
          <w:szCs w:val="30"/>
          <w:lang w:bidi="en-US"/>
        </w:rPr>
      </w:pPr>
    </w:p>
    <w:p>
      <w:pPr>
        <w:spacing w:line="480" w:lineRule="auto"/>
        <w:ind w:firstLine="1411" w:firstLineChars="441"/>
        <w:jc w:val="left"/>
        <w:rPr>
          <w:rFonts w:ascii="仿宋_GB2312" w:hAnsi="Times New Roman" w:cs="Times New Roman"/>
          <w:spacing w:val="-20"/>
          <w:kern w:val="0"/>
          <w:sz w:val="32"/>
          <w:szCs w:val="32"/>
          <w:lang w:bidi="en-US"/>
        </w:rPr>
      </w:pPr>
      <w:r>
        <w:rPr>
          <w:rFonts w:ascii="仿宋_GB2312" w:hAnsi="Times New Roman" w:cs="Times New Roman" w:hint="eastAsia"/>
          <w:kern w:val="0"/>
          <w:sz w:val="32"/>
          <w:szCs w:val="32"/>
          <w:lang w:bidi="en-US"/>
        </w:rPr>
        <w:t xml:space="preserve">项目名称：</w:t>
      </w:r>
      <w:r>
        <w:rPr>
          <w:rFonts w:ascii="仿宋_GB2312" w:hAnsi="Times New Roman" w:cs="Times New Roman" w:hint="eastAsia"/>
          <w:spacing w:val="-20"/>
          <w:kern w:val="0"/>
          <w:sz w:val="32"/>
          <w:szCs w:val="32"/>
          <w:lang w:bidi="en-US"/>
        </w:rPr>
        <w:t xml:space="preserve">关于提前下达2024年中央林业草原生态保护恢复资金的通知（乌鲁木齐市重大林业有害生物专项调查）</w:t>
      </w:r>
    </w:p>
    <w:p>
      <w:pPr>
        <w:spacing w:line="480" w:lineRule="auto"/>
        <w:ind w:left="280" w:firstLine="1091" w:leftChars="100" w:firstLineChars="341"/>
        <w:jc w:val="left"/>
        <w:rPr>
          <w:rFonts w:ascii="仿宋_GB2312" w:hAnsi="Times New Roman" w:cs="Times New Roman"/>
          <w:kern w:val="0"/>
          <w:sz w:val="32"/>
          <w:szCs w:val="32"/>
          <w:lang w:bidi="en-US"/>
        </w:rPr>
      </w:pPr>
      <w:r>
        <w:rPr>
          <w:rFonts w:ascii="仿宋_GB2312" w:hAnsi="Times New Roman" w:cs="Times New Roman" w:hint="eastAsia"/>
          <w:kern w:val="0"/>
          <w:sz w:val="32"/>
          <w:szCs w:val="32"/>
          <w:lang w:bidi="en-US"/>
        </w:rPr>
        <w:t xml:space="preserve">项目单位：乌鲁木齐市林业有害生物防治检疫站（乌鲁木齐市草原监测站）</w:t>
      </w:r>
    </w:p>
    <w:p>
      <w:pPr>
        <w:spacing w:line="480" w:lineRule="auto"/>
        <w:ind w:left="280" w:firstLine="1091" w:leftChars="100" w:firstLineChars="341"/>
        <w:jc w:val="left"/>
        <w:rPr>
          <w:rFonts w:ascii="仿宋_GB2312" w:hAnsi="Times New Roman" w:cs="Times New Roman"/>
          <w:kern w:val="0"/>
          <w:sz w:val="32"/>
          <w:szCs w:val="32"/>
          <w:lang w:bidi="en-US"/>
        </w:rPr>
      </w:pPr>
      <w:r>
        <w:rPr>
          <w:rFonts w:ascii="仿宋_GB2312" w:hAnsi="Times New Roman" w:cs="Times New Roman" w:hint="eastAsia"/>
          <w:kern w:val="0"/>
          <w:sz w:val="32"/>
          <w:szCs w:val="32"/>
          <w:lang w:bidi="en-US"/>
        </w:rPr>
        <w:t xml:space="preserve">主管部门：乌鲁木齐市林业与草原局（乌鲁木齐市园林管理局）</w:t>
      </w:r>
    </w:p>
    <w:p>
      <w:pPr>
        <w:spacing w:line="480" w:lineRule="auto"/>
        <w:ind w:firstLine="1411" w:firstLineChars="441"/>
        <w:jc w:val="left"/>
        <w:rPr>
          <w:rFonts w:ascii="仿宋_GB2312" w:hAnsi="Times New Roman" w:cs="Times New Roman"/>
          <w:kern w:val="0"/>
          <w:sz w:val="32"/>
          <w:szCs w:val="32"/>
          <w:lang w:bidi="en-US"/>
        </w:rPr>
      </w:pPr>
    </w:p>
    <w:p>
      <w:pPr>
        <w:spacing w:line="480" w:lineRule="auto"/>
        <w:ind w:firstLine="0" w:firstLineChars="0"/>
        <w:rPr>
          <w:rFonts w:ascii="黑体" w:eastAsia="黑体" w:hAnsi="Times New Roman" w:cs="Times New Roman"/>
          <w:b/>
          <w:kern w:val="0"/>
          <w:sz w:val="32"/>
          <w:szCs w:val="32"/>
          <w:lang w:bidi="en-US"/>
        </w:rPr>
      </w:pPr>
    </w:p>
    <w:p>
      <w:pPr>
        <w:spacing w:line="480" w:lineRule="auto"/>
        <w:ind w:firstLine="0" w:firstLineChars="0"/>
        <w:rPr>
          <w:rFonts w:ascii="黑体" w:eastAsia="黑体" w:hAnsi="Times New Roman" w:cs="Times New Roman"/>
          <w:b/>
          <w:kern w:val="0"/>
          <w:sz w:val="32"/>
          <w:szCs w:val="32"/>
          <w:lang w:bidi="en-US"/>
        </w:rPr>
      </w:pPr>
    </w:p>
    <w:p>
      <w:pPr>
        <w:spacing w:line="480" w:lineRule="auto"/>
        <w:ind w:firstLine="0" w:firstLineChars="0"/>
        <w:jc w:val="center"/>
        <w:rPr>
          <w:rFonts w:ascii="仿宋_GB2312" w:hAnsi="Times New Roman" w:cs="Times New Roman"/>
          <w:kern w:val="0"/>
          <w:sz w:val="32"/>
          <w:szCs w:val="32"/>
          <w:lang w:bidi="en-US"/>
        </w:rPr>
      </w:pPr>
      <w:r>
        <w:rPr>
          <w:rFonts w:ascii="仿宋_GB2312" w:hAnsi="Times New Roman" w:cs="Times New Roman" w:hint="eastAsia"/>
          <w:kern w:val="0"/>
          <w:sz w:val="32"/>
          <w:szCs w:val="32"/>
          <w:lang w:bidi="en-US"/>
        </w:rPr>
        <w:t xml:space="preserve">2024年0</w:t>
      </w:r>
      <w:r>
        <w:rPr>
          <w:rFonts w:ascii="仿宋_GB2312" w:hAnsi="Times New Roman" w:cs="Times New Roman"/>
          <w:kern w:val="0"/>
          <w:sz w:val="32"/>
          <w:szCs w:val="32"/>
          <w:lang w:bidi="en-US"/>
        </w:rPr>
        <w:t xml:space="preserve">4</w:t>
      </w:r>
      <w:r>
        <w:rPr>
          <w:rFonts w:ascii="仿宋_GB2312" w:hAnsi="Times New Roman" w:cs="Times New Roman" w:hint="eastAsia"/>
          <w:kern w:val="0"/>
          <w:sz w:val="32"/>
          <w:szCs w:val="32"/>
          <w:lang w:bidi="en-US"/>
        </w:rPr>
        <w:t xml:space="preserve">月</w:t>
      </w:r>
    </w:p>
    <w:p>
      <w:pPr>
        <w:spacing w:line="480" w:lineRule="auto"/>
        <w:ind w:firstLine="0" w:firstLineChars="0"/>
        <w:jc w:val="center"/>
        <w:rPr>
          <w:rFonts w:ascii="仿宋_GB2312" w:hAnsi="Times New Roman" w:cs="Times New Roman"/>
          <w:kern w:val="0"/>
          <w:sz w:val="32"/>
          <w:szCs w:val="32"/>
          <w:lang w:bidi="en-US"/>
        </w:rPr>
      </w:pPr>
    </w:p>
    <w:p>
      <w:pPr>
        <w:tabs>
          <w:tab w:val="left" w:pos="3324"/>
        </w:tabs>
        <w:spacing w:line="480" w:lineRule="auto"/>
        <w:ind w:firstLine="0" w:firstLineChars="0"/>
        <w:rPr>
          <w:rFonts w:ascii="仿宋_GB2312" w:hAnsi="Times New Roman" w:cs="Times New Roman"/>
          <w:kern w:val="0"/>
          <w:sz w:val="32"/>
          <w:szCs w:val="32"/>
          <w:lang w:bidi="en-US"/>
        </w:rPr>
      </w:pPr>
      <w:r>
        <w:rPr>
          <w:rFonts w:ascii="仿宋_GB2312" w:hAnsi="Times New Roman" w:cs="Times New Roman"/>
          <w:kern w:val="0"/>
          <w:sz w:val="32"/>
          <w:szCs w:val="32"/>
          <w:lang w:bidi="en-US"/>
        </w:rPr>
        <w:tab/>
      </w:r>
    </w:p>
    <w:p>
      <w:pPr>
        <w:ind w:firstLine="640"/>
        <w:rPr>
          <w:rFonts w:ascii="仿宋_GB2312" w:hAnsi="Times New Roman" w:cs="Times New Roman"/>
          <w:kern w:val="0"/>
          <w:sz w:val="32"/>
          <w:szCs w:val="32"/>
          <w:lang w:bidi="en-US"/>
        </w:rPr>
      </w:pPr>
    </w:p>
    <w:p>
      <w:pPr>
        <w:pStyle w:val="TOC标题1"/>
        <w:ind w:firstLine="560"/>
        <w:jc w:val="center"/>
      </w:pPr>
      <w:r>
        <w:rPr>
          <w:lang w:val="zh-CN"/>
        </w:rPr>
        <w:t xml:space="preserve">目录</w:t>
      </w:r>
    </w:p>
    <w:p>
      <w:pPr>
        <w:pStyle w:val="TOC1"/>
        <w:tabs>
          <w:tab w:val="right" w:leader="dot" w:pos="8296"/>
        </w:tabs>
        <w:ind w:firstLine="560"/>
        <w:rPr>
          <w:rFonts w:ascii="等线" w:eastAsia="等线" w:hAnsi="等线" w:cs="宋体"/>
          <w:sz w:val="21"/>
        </w:rPr>
      </w:pPr>
      <w:r>
        <w:fldChar w:fldCharType="begin"/>
      </w:r>
      <w:r>
        <w:instrText xml:space="preserve">TOC \o "1-3" \h \z \u</w:instrText>
      </w:r>
      <w:r>
        <w:fldChar w:fldCharType="separate"/>
      </w:r>
      <w:hyperlink w:anchor="_Toc165277220" w:history="1">
        <w:r>
          <w:rPr>
            <w:rStyle w:val="Hyperlink"/>
            <w:rFonts w:ascii="仿宋" w:eastAsia="仿宋" w:hAnsi="仿宋" w:hint="eastAsia"/>
            <w:lang w:bidi="en-US"/>
          </w:rPr>
          <w:t xml:space="preserve">一、基本情况</w:t>
        </w:r>
        <w:r>
          <w:tab/>
        </w:r>
        <w:r>
          <w:fldChar w:fldCharType="begin"/>
        </w:r>
        <w:r>
          <w:instrText xml:space="preserve"> PAGEREF _Toc165277220 \h </w:instrText>
        </w:r>
        <w:r>
          <w:fldChar w:fldCharType="separate"/>
        </w:r>
        <w:r>
          <w:t xml:space="preserve">1</w:t>
        </w:r>
        <w:r>
          <w:fldChar w:fldCharType="end"/>
        </w:r>
      </w:hyperlink>
    </w:p>
    <w:p>
      <w:pPr>
        <w:pStyle w:val="TOC2"/>
        <w:tabs>
          <w:tab w:val="right" w:leader="dot" w:pos="8296"/>
        </w:tabs>
        <w:ind w:left="560" w:firstLine="560"/>
        <w:rPr>
          <w:rFonts w:ascii="等线" w:eastAsia="等线" w:hAnsi="等线" w:cs="宋体"/>
          <w:sz w:val="21"/>
        </w:rPr>
      </w:pPr>
      <w:hyperlink w:anchor="_Toc165277221" w:history="1">
        <w:r>
          <w:rPr>
            <w:rStyle w:val="Hyperlink"/>
            <w:rFonts w:ascii="仿宋" w:eastAsia="仿宋" w:hAnsi="仿宋" w:hint="eastAsia"/>
            <w:lang w:bidi="en-US"/>
          </w:rPr>
          <w:t xml:space="preserve">（一）项目概况：</w:t>
        </w:r>
        <w:r>
          <w:tab/>
        </w:r>
        <w:r>
          <w:fldChar w:fldCharType="begin"/>
        </w:r>
        <w:r>
          <w:instrText xml:space="preserve"> PAGEREF _Toc165277221 \h </w:instrText>
        </w:r>
        <w:r>
          <w:fldChar w:fldCharType="separate"/>
        </w:r>
        <w:r>
          <w:t xml:space="preserve">1</w:t>
        </w:r>
        <w:r>
          <w:fldChar w:fldCharType="end"/>
        </w:r>
      </w:hyperlink>
    </w:p>
    <w:p>
      <w:pPr>
        <w:pStyle w:val="TOC3"/>
        <w:tabs>
          <w:tab w:val="right" w:leader="dot" w:pos="8296"/>
        </w:tabs>
        <w:ind w:left="1120" w:firstLine="560"/>
        <w:rPr>
          <w:rFonts w:ascii="等线" w:eastAsia="等线" w:hAnsi="等线" w:cs="宋体"/>
          <w:sz w:val="21"/>
        </w:rPr>
      </w:pPr>
      <w:hyperlink w:anchor="_Toc165277222" w:history="1">
        <w:r>
          <w:rPr>
            <w:rStyle w:val="Hyperlink"/>
          </w:rPr>
          <w:t xml:space="preserve">1</w:t>
        </w:r>
        <w:r>
          <w:rPr>
            <w:rStyle w:val="Hyperlink"/>
            <w:rFonts w:hint="eastAsia"/>
          </w:rPr>
          <w:t xml:space="preserve">．项目背景、主要内容及实施情况</w:t>
        </w:r>
        <w:r>
          <w:tab/>
        </w:r>
        <w:r>
          <w:fldChar w:fldCharType="begin"/>
        </w:r>
        <w:r>
          <w:instrText xml:space="preserve"> PAGEREF _Toc165277222 \h </w:instrText>
        </w:r>
        <w:r>
          <w:fldChar w:fldCharType="separate"/>
        </w:r>
        <w:r>
          <w:t xml:space="preserve">1</w:t>
        </w:r>
        <w:r>
          <w:fldChar w:fldCharType="end"/>
        </w:r>
      </w:hyperlink>
    </w:p>
    <w:p>
      <w:pPr>
        <w:pStyle w:val="TOC3"/>
        <w:tabs>
          <w:tab w:val="right" w:leader="dot" w:pos="8296"/>
        </w:tabs>
        <w:ind w:left="1120" w:firstLine="560"/>
        <w:rPr>
          <w:rFonts w:ascii="等线" w:eastAsia="等线" w:hAnsi="等线" w:cs="宋体"/>
          <w:sz w:val="21"/>
        </w:rPr>
      </w:pPr>
      <w:hyperlink w:anchor="_Toc165277223" w:history="1">
        <w:r>
          <w:rPr>
            <w:rStyle w:val="Hyperlink"/>
          </w:rPr>
          <w:t xml:space="preserve">2.</w:t>
        </w:r>
        <w:r>
          <w:rPr>
            <w:rStyle w:val="Hyperlink"/>
            <w:rFonts w:hint="eastAsia"/>
          </w:rPr>
          <w:t xml:space="preserve">资金投入和使用情况</w:t>
        </w:r>
        <w:r>
          <w:tab/>
        </w:r>
        <w:r>
          <w:fldChar w:fldCharType="begin"/>
        </w:r>
        <w:r>
          <w:instrText xml:space="preserve"> PAGEREF _Toc165277223 \h </w:instrText>
        </w:r>
        <w:r>
          <w:fldChar w:fldCharType="separate"/>
        </w:r>
        <w:r>
          <w:t xml:space="preserve">1</w:t>
        </w:r>
        <w:r>
          <w:fldChar w:fldCharType="end"/>
        </w:r>
      </w:hyperlink>
    </w:p>
    <w:p>
      <w:pPr>
        <w:pStyle w:val="TOC2"/>
        <w:tabs>
          <w:tab w:val="right" w:leader="dot" w:pos="8296"/>
        </w:tabs>
        <w:ind w:left="560" w:firstLine="560"/>
        <w:rPr>
          <w:rFonts w:ascii="等线" w:eastAsia="等线" w:hAnsi="等线" w:cs="宋体"/>
          <w:sz w:val="21"/>
        </w:rPr>
      </w:pPr>
      <w:hyperlink w:anchor="_Toc165277224" w:history="1">
        <w:r>
          <w:rPr>
            <w:rStyle w:val="Hyperlink"/>
            <w:rFonts w:ascii="仿宋" w:eastAsia="仿宋" w:hAnsi="仿宋" w:hint="eastAsia"/>
            <w:lang w:bidi="en-US"/>
          </w:rPr>
          <w:t xml:space="preserve">（二）项目绩效目标：</w:t>
        </w:r>
        <w:r>
          <w:tab/>
        </w:r>
        <w:r>
          <w:fldChar w:fldCharType="begin"/>
        </w:r>
        <w:r>
          <w:instrText xml:space="preserve"> PAGEREF _Toc165277224 \h </w:instrText>
        </w:r>
        <w:r>
          <w:fldChar w:fldCharType="separate"/>
        </w:r>
        <w:r>
          <w:t xml:space="preserve">1</w:t>
        </w:r>
        <w:r>
          <w:fldChar w:fldCharType="end"/>
        </w:r>
      </w:hyperlink>
    </w:p>
    <w:p>
      <w:pPr>
        <w:pStyle w:val="TOC1"/>
        <w:tabs>
          <w:tab w:val="right" w:leader="dot" w:pos="8296"/>
        </w:tabs>
        <w:ind w:firstLine="560"/>
        <w:rPr>
          <w:rFonts w:ascii="等线" w:eastAsia="等线" w:hAnsi="等线" w:cs="宋体"/>
          <w:sz w:val="21"/>
        </w:rPr>
      </w:pPr>
      <w:hyperlink w:anchor="_Toc165277225" w:history="1">
        <w:r>
          <w:rPr>
            <w:rStyle w:val="Hyperlink"/>
            <w:rFonts w:ascii="仿宋" w:eastAsia="仿宋" w:hAnsi="仿宋" w:hint="eastAsia"/>
            <w:lang w:bidi="en-US"/>
          </w:rPr>
          <w:t xml:space="preserve">二、绩效评价工作开展情况</w:t>
        </w:r>
        <w:r>
          <w:tab/>
        </w:r>
        <w:r>
          <w:fldChar w:fldCharType="begin"/>
        </w:r>
        <w:r>
          <w:instrText xml:space="preserve"> PAGEREF _Toc165277225 \h </w:instrText>
        </w:r>
        <w:r>
          <w:fldChar w:fldCharType="separate"/>
        </w:r>
        <w:r>
          <w:t xml:space="preserve">2</w:t>
        </w:r>
        <w:r>
          <w:fldChar w:fldCharType="end"/>
        </w:r>
      </w:hyperlink>
    </w:p>
    <w:p>
      <w:pPr>
        <w:pStyle w:val="TOC2"/>
        <w:tabs>
          <w:tab w:val="right" w:leader="dot" w:pos="8296"/>
        </w:tabs>
        <w:ind w:left="560" w:firstLine="560"/>
        <w:rPr>
          <w:rFonts w:ascii="等线" w:eastAsia="等线" w:hAnsi="等线" w:cs="宋体"/>
          <w:sz w:val="21"/>
        </w:rPr>
      </w:pPr>
      <w:hyperlink w:anchor="_Toc165277226" w:history="1">
        <w:r>
          <w:rPr>
            <w:rStyle w:val="Hyperlink"/>
            <w:rFonts w:ascii="仿宋" w:eastAsia="仿宋" w:hAnsi="仿宋" w:hint="eastAsia"/>
            <w:lang w:bidi="en-US"/>
          </w:rPr>
          <w:t xml:space="preserve">（一）绩效评价目的、对象和范围</w:t>
        </w:r>
        <w:r>
          <w:tab/>
        </w:r>
        <w:r>
          <w:fldChar w:fldCharType="begin"/>
        </w:r>
        <w:r>
          <w:instrText xml:space="preserve"> PAGEREF _Toc165277226 \h </w:instrText>
        </w:r>
        <w:r>
          <w:fldChar w:fldCharType="separate"/>
        </w:r>
        <w:r>
          <w:t xml:space="preserve">2</w:t>
        </w:r>
        <w:r>
          <w:fldChar w:fldCharType="end"/>
        </w:r>
      </w:hyperlink>
    </w:p>
    <w:p>
      <w:pPr>
        <w:pStyle w:val="TOC3"/>
        <w:tabs>
          <w:tab w:val="right" w:leader="dot" w:pos="8296"/>
        </w:tabs>
        <w:ind w:left="1120" w:firstLine="560"/>
        <w:rPr>
          <w:rFonts w:ascii="等线" w:eastAsia="等线" w:hAnsi="等线" w:cs="宋体"/>
          <w:sz w:val="21"/>
        </w:rPr>
      </w:pPr>
      <w:hyperlink w:anchor="_Toc165277227" w:history="1">
        <w:r>
          <w:rPr>
            <w:rStyle w:val="Hyperlink"/>
          </w:rPr>
          <w:t xml:space="preserve">1.</w:t>
        </w:r>
        <w:r>
          <w:rPr>
            <w:rStyle w:val="Hyperlink"/>
            <w:rFonts w:hint="eastAsia"/>
          </w:rPr>
          <w:t xml:space="preserve">绩效评价完整性</w:t>
        </w:r>
        <w:r>
          <w:tab/>
        </w:r>
        <w:r>
          <w:fldChar w:fldCharType="begin"/>
        </w:r>
        <w:r>
          <w:instrText xml:space="preserve"> PAGEREF _Toc165277227 \h </w:instrText>
        </w:r>
        <w:r>
          <w:fldChar w:fldCharType="separate"/>
        </w:r>
        <w:r>
          <w:t xml:space="preserve">2</w:t>
        </w:r>
        <w:r>
          <w:fldChar w:fldCharType="end"/>
        </w:r>
      </w:hyperlink>
    </w:p>
    <w:p>
      <w:pPr>
        <w:pStyle w:val="TOC3"/>
        <w:tabs>
          <w:tab w:val="right" w:leader="dot" w:pos="8296"/>
        </w:tabs>
        <w:ind w:left="1120" w:firstLine="560"/>
        <w:rPr>
          <w:rFonts w:ascii="等线" w:eastAsia="等线" w:hAnsi="等线" w:cs="宋体"/>
          <w:sz w:val="21"/>
        </w:rPr>
      </w:pPr>
      <w:hyperlink w:anchor="_Toc165277228" w:history="1">
        <w:r>
          <w:rPr>
            <w:rStyle w:val="Hyperlink"/>
          </w:rPr>
          <w:t xml:space="preserve">2.</w:t>
        </w:r>
        <w:r>
          <w:rPr>
            <w:rStyle w:val="Hyperlink"/>
            <w:rFonts w:hint="eastAsia"/>
          </w:rPr>
          <w:t xml:space="preserve">评价目的</w:t>
        </w:r>
        <w:r>
          <w:tab/>
        </w:r>
        <w:r>
          <w:fldChar w:fldCharType="begin"/>
        </w:r>
        <w:r>
          <w:instrText xml:space="preserve"> PAGEREF _Toc165277228 \h </w:instrText>
        </w:r>
        <w:r>
          <w:fldChar w:fldCharType="separate"/>
        </w:r>
        <w:r>
          <w:t xml:space="preserve">3</w:t>
        </w:r>
        <w:r>
          <w:fldChar w:fldCharType="end"/>
        </w:r>
      </w:hyperlink>
    </w:p>
    <w:p>
      <w:pPr>
        <w:pStyle w:val="TOC3"/>
        <w:tabs>
          <w:tab w:val="right" w:leader="dot" w:pos="8296"/>
        </w:tabs>
        <w:ind w:left="1120" w:firstLine="560"/>
        <w:rPr>
          <w:rFonts w:ascii="等线" w:eastAsia="等线" w:hAnsi="等线" w:cs="宋体"/>
          <w:sz w:val="21"/>
        </w:rPr>
      </w:pPr>
      <w:hyperlink w:anchor="_Toc165277229" w:history="1">
        <w:r>
          <w:rPr>
            <w:rStyle w:val="Hyperlink"/>
          </w:rPr>
          <w:t xml:space="preserve">3.</w:t>
        </w:r>
        <w:r>
          <w:rPr>
            <w:rStyle w:val="Hyperlink"/>
            <w:rFonts w:hint="eastAsia"/>
          </w:rPr>
          <w:t xml:space="preserve">评价对象</w:t>
        </w:r>
        <w:r>
          <w:tab/>
        </w:r>
        <w:r>
          <w:fldChar w:fldCharType="begin"/>
        </w:r>
        <w:r>
          <w:instrText xml:space="preserve"> PAGEREF _Toc165277229 \h </w:instrText>
        </w:r>
        <w:r>
          <w:fldChar w:fldCharType="separate"/>
        </w:r>
        <w:r>
          <w:t xml:space="preserve">3</w:t>
        </w:r>
        <w:r>
          <w:fldChar w:fldCharType="end"/>
        </w:r>
      </w:hyperlink>
    </w:p>
    <w:p>
      <w:pPr>
        <w:pStyle w:val="TOC3"/>
        <w:tabs>
          <w:tab w:val="right" w:leader="dot" w:pos="8296"/>
        </w:tabs>
        <w:ind w:left="1120" w:firstLine="560"/>
        <w:rPr>
          <w:rFonts w:ascii="等线" w:eastAsia="等线" w:hAnsi="等线" w:cs="宋体"/>
          <w:sz w:val="21"/>
        </w:rPr>
      </w:pPr>
      <w:hyperlink w:anchor="_Toc165277230" w:history="1">
        <w:r>
          <w:rPr>
            <w:rStyle w:val="Hyperlink"/>
          </w:rPr>
          <w:t xml:space="preserve">4.</w:t>
        </w:r>
        <w:r>
          <w:rPr>
            <w:rStyle w:val="Hyperlink"/>
            <w:rFonts w:hint="eastAsia"/>
          </w:rPr>
          <w:t xml:space="preserve">绩效评价范围</w:t>
        </w:r>
        <w:r>
          <w:tab/>
        </w:r>
        <w:r>
          <w:fldChar w:fldCharType="begin"/>
        </w:r>
        <w:r>
          <w:instrText xml:space="preserve"> PAGEREF _Toc165277230 \h </w:instrText>
        </w:r>
        <w:r>
          <w:fldChar w:fldCharType="separate"/>
        </w:r>
        <w:r>
          <w:t xml:space="preserve">3</w:t>
        </w:r>
        <w:r>
          <w:fldChar w:fldCharType="end"/>
        </w:r>
      </w:hyperlink>
    </w:p>
    <w:p>
      <w:pPr>
        <w:pStyle w:val="TOC2"/>
        <w:tabs>
          <w:tab w:val="right" w:leader="dot" w:pos="8296"/>
        </w:tabs>
        <w:ind w:left="560" w:firstLine="560"/>
        <w:rPr>
          <w:rFonts w:ascii="等线" w:eastAsia="等线" w:hAnsi="等线" w:cs="宋体"/>
          <w:sz w:val="21"/>
        </w:rPr>
      </w:pPr>
      <w:hyperlink w:anchor="_Toc165277231" w:history="1">
        <w:r>
          <w:rPr>
            <w:rStyle w:val="Hyperlink"/>
            <w:rFonts w:ascii="仿宋" w:eastAsia="仿宋" w:hAnsi="仿宋" w:hint="eastAsia"/>
            <w:lang w:bidi="en-US"/>
          </w:rPr>
          <w:t xml:space="preserve">（二）绩效评价原则、指标体系、方法及标准</w:t>
        </w:r>
        <w:r>
          <w:tab/>
        </w:r>
        <w:r>
          <w:fldChar w:fldCharType="begin"/>
        </w:r>
        <w:r>
          <w:instrText xml:space="preserve"> PAGEREF _Toc165277231 \h </w:instrText>
        </w:r>
        <w:r>
          <w:fldChar w:fldCharType="separate"/>
        </w:r>
        <w:r>
          <w:t xml:space="preserve">4</w:t>
        </w:r>
        <w:r>
          <w:fldChar w:fldCharType="end"/>
        </w:r>
      </w:hyperlink>
    </w:p>
    <w:p>
      <w:pPr>
        <w:pStyle w:val="TOC3"/>
        <w:tabs>
          <w:tab w:val="right" w:leader="dot" w:pos="8296"/>
        </w:tabs>
        <w:ind w:left="1120" w:firstLine="560"/>
        <w:rPr>
          <w:rFonts w:ascii="等线" w:eastAsia="等线" w:hAnsi="等线" w:cs="宋体"/>
          <w:sz w:val="21"/>
        </w:rPr>
      </w:pPr>
      <w:hyperlink w:anchor="_Toc165277232" w:history="1">
        <w:r>
          <w:rPr>
            <w:rStyle w:val="Hyperlink"/>
          </w:rPr>
          <w:t xml:space="preserve">1.</w:t>
        </w:r>
        <w:r>
          <w:rPr>
            <w:rStyle w:val="Hyperlink"/>
            <w:rFonts w:hint="eastAsia"/>
          </w:rPr>
          <w:t xml:space="preserve">评价原则</w:t>
        </w:r>
        <w:r>
          <w:tab/>
        </w:r>
        <w:r>
          <w:fldChar w:fldCharType="begin"/>
        </w:r>
        <w:r>
          <w:instrText xml:space="preserve"> PAGEREF _Toc165277232 \h </w:instrText>
        </w:r>
        <w:r>
          <w:fldChar w:fldCharType="separate"/>
        </w:r>
        <w:r>
          <w:t xml:space="preserve">4</w:t>
        </w:r>
        <w:r>
          <w:fldChar w:fldCharType="end"/>
        </w:r>
      </w:hyperlink>
    </w:p>
    <w:p>
      <w:pPr>
        <w:pStyle w:val="TOC3"/>
        <w:tabs>
          <w:tab w:val="right" w:leader="dot" w:pos="8296"/>
        </w:tabs>
        <w:ind w:left="1120" w:firstLine="560"/>
        <w:rPr>
          <w:rFonts w:ascii="等线" w:eastAsia="等线" w:hAnsi="等线" w:cs="宋体"/>
          <w:sz w:val="21"/>
        </w:rPr>
      </w:pPr>
      <w:hyperlink w:anchor="_Toc165277233" w:history="1">
        <w:r>
          <w:rPr>
            <w:rStyle w:val="Hyperlink"/>
          </w:rPr>
          <w:t xml:space="preserve">2.</w:t>
        </w:r>
        <w:r>
          <w:rPr>
            <w:rStyle w:val="Hyperlink"/>
            <w:rFonts w:hint="eastAsia"/>
          </w:rPr>
          <w:t xml:space="preserve">评价指标体系</w:t>
        </w:r>
        <w:r>
          <w:tab/>
        </w:r>
        <w:r>
          <w:fldChar w:fldCharType="begin"/>
        </w:r>
        <w:r>
          <w:instrText xml:space="preserve"> PAGEREF _Toc165277233 \h </w:instrText>
        </w:r>
        <w:r>
          <w:fldChar w:fldCharType="separate"/>
        </w:r>
        <w:r>
          <w:t xml:space="preserve">4</w:t>
        </w:r>
        <w:r>
          <w:fldChar w:fldCharType="end"/>
        </w:r>
      </w:hyperlink>
    </w:p>
    <w:p>
      <w:pPr>
        <w:pStyle w:val="TOC3"/>
        <w:tabs>
          <w:tab w:val="right" w:leader="dot" w:pos="8296"/>
        </w:tabs>
        <w:ind w:left="1120" w:firstLine="560"/>
        <w:rPr>
          <w:rFonts w:ascii="等线" w:eastAsia="等线" w:hAnsi="等线" w:cs="宋体"/>
          <w:sz w:val="21"/>
        </w:rPr>
      </w:pPr>
      <w:hyperlink w:anchor="_Toc165277234" w:history="1">
        <w:r>
          <w:rPr>
            <w:rStyle w:val="Hyperlink"/>
          </w:rPr>
          <w:t xml:space="preserve">3.</w:t>
        </w:r>
        <w:r>
          <w:rPr>
            <w:rStyle w:val="Hyperlink"/>
            <w:rFonts w:hint="eastAsia"/>
          </w:rPr>
          <w:t xml:space="preserve">评价方法</w:t>
        </w:r>
        <w:r>
          <w:tab/>
        </w:r>
        <w:r>
          <w:fldChar w:fldCharType="begin"/>
        </w:r>
        <w:r>
          <w:instrText xml:space="preserve"> PAGEREF _Toc165277234 \h </w:instrText>
        </w:r>
        <w:r>
          <w:fldChar w:fldCharType="separate"/>
        </w:r>
        <w:r>
          <w:t xml:space="preserve">12</w:t>
        </w:r>
        <w:r>
          <w:fldChar w:fldCharType="end"/>
        </w:r>
      </w:hyperlink>
    </w:p>
    <w:p>
      <w:pPr>
        <w:pStyle w:val="TOC3"/>
        <w:tabs>
          <w:tab w:val="right" w:leader="dot" w:pos="8296"/>
        </w:tabs>
        <w:ind w:left="1120" w:firstLine="560"/>
        <w:rPr>
          <w:rFonts w:ascii="等线" w:eastAsia="等线" w:hAnsi="等线" w:cs="宋体"/>
          <w:sz w:val="21"/>
        </w:rPr>
      </w:pPr>
      <w:hyperlink w:anchor="_Toc165277235" w:history="1">
        <w:r>
          <w:rPr>
            <w:rStyle w:val="Hyperlink"/>
          </w:rPr>
          <w:t xml:space="preserve">4.</w:t>
        </w:r>
        <w:r>
          <w:rPr>
            <w:rStyle w:val="Hyperlink"/>
            <w:rFonts w:hint="eastAsia"/>
          </w:rPr>
          <w:t xml:space="preserve">评价标准</w:t>
        </w:r>
        <w:r>
          <w:tab/>
        </w:r>
        <w:r>
          <w:fldChar w:fldCharType="begin"/>
        </w:r>
        <w:r>
          <w:instrText xml:space="preserve"> PAGEREF _Toc165277235 \h </w:instrText>
        </w:r>
        <w:r>
          <w:fldChar w:fldCharType="separate"/>
        </w:r>
        <w:r>
          <w:t xml:space="preserve">13</w:t>
        </w:r>
        <w:r>
          <w:fldChar w:fldCharType="end"/>
        </w:r>
      </w:hyperlink>
    </w:p>
    <w:p>
      <w:pPr>
        <w:pStyle w:val="TOC2"/>
        <w:tabs>
          <w:tab w:val="right" w:leader="dot" w:pos="8296"/>
        </w:tabs>
        <w:ind w:left="560" w:firstLine="560"/>
        <w:rPr>
          <w:rFonts w:ascii="等线" w:eastAsia="等线" w:hAnsi="等线" w:cs="宋体"/>
          <w:sz w:val="21"/>
        </w:rPr>
      </w:pPr>
      <w:hyperlink w:anchor="_Toc165277236" w:history="1">
        <w:r>
          <w:rPr>
            <w:rStyle w:val="Hyperlink"/>
            <w:rFonts w:ascii="仿宋" w:eastAsia="仿宋" w:hAnsi="仿宋" w:hint="eastAsia"/>
            <w:lang w:bidi="en-US"/>
          </w:rPr>
          <w:t xml:space="preserve">（三）绩效评价工作过程</w:t>
        </w:r>
        <w:r>
          <w:tab/>
        </w:r>
        <w:r>
          <w:fldChar w:fldCharType="begin"/>
        </w:r>
        <w:r>
          <w:instrText xml:space="preserve"> PAGEREF _Toc165277236 \h </w:instrText>
        </w:r>
        <w:r>
          <w:fldChar w:fldCharType="separate"/>
        </w:r>
        <w:r>
          <w:t xml:space="preserve">13</w:t>
        </w:r>
        <w:r>
          <w:fldChar w:fldCharType="end"/>
        </w:r>
      </w:hyperlink>
    </w:p>
    <w:p>
      <w:pPr>
        <w:pStyle w:val="TOC1"/>
        <w:tabs>
          <w:tab w:val="right" w:leader="dot" w:pos="8296"/>
        </w:tabs>
        <w:ind w:firstLine="560"/>
        <w:rPr>
          <w:rFonts w:ascii="等线" w:eastAsia="等线" w:hAnsi="等线" w:cs="宋体"/>
          <w:sz w:val="21"/>
        </w:rPr>
      </w:pPr>
      <w:hyperlink w:anchor="_Toc165277237" w:history="1">
        <w:r>
          <w:rPr>
            <w:rStyle w:val="Hyperlink"/>
            <w:rFonts w:ascii="仿宋" w:eastAsia="仿宋" w:hAnsi="仿宋" w:hint="eastAsia"/>
            <w:lang w:bidi="en-US"/>
          </w:rPr>
          <w:t xml:space="preserve">三、综合评价情况及评价结论</w:t>
        </w:r>
        <w:r>
          <w:tab/>
        </w:r>
        <w:r>
          <w:fldChar w:fldCharType="begin"/>
        </w:r>
        <w:r>
          <w:instrText xml:space="preserve"> PAGEREF _Toc165277237 \h </w:instrText>
        </w:r>
        <w:r>
          <w:fldChar w:fldCharType="separate"/>
        </w:r>
        <w:r>
          <w:t xml:space="preserve">14</w:t>
        </w:r>
        <w:r>
          <w:fldChar w:fldCharType="end"/>
        </w:r>
      </w:hyperlink>
    </w:p>
    <w:p>
      <w:pPr>
        <w:pStyle w:val="TOC2"/>
        <w:tabs>
          <w:tab w:val="right" w:leader="dot" w:pos="8296"/>
        </w:tabs>
        <w:ind w:left="560" w:firstLine="560"/>
        <w:rPr>
          <w:rFonts w:ascii="等线" w:eastAsia="等线" w:hAnsi="等线" w:cs="宋体"/>
          <w:sz w:val="21"/>
        </w:rPr>
      </w:pPr>
      <w:hyperlink w:anchor="_Toc165277238" w:history="1">
        <w:r>
          <w:rPr>
            <w:rStyle w:val="Hyperlink"/>
            <w:rFonts w:ascii="仿宋" w:eastAsia="仿宋" w:hAnsi="仿宋" w:hint="eastAsia"/>
            <w:lang w:bidi="en-US"/>
          </w:rPr>
          <w:t xml:space="preserve">（一）评价结论</w:t>
        </w:r>
        <w:r>
          <w:tab/>
        </w:r>
        <w:r>
          <w:fldChar w:fldCharType="begin"/>
        </w:r>
        <w:r>
          <w:instrText xml:space="preserve"> PAGEREF _Toc165277238 \h </w:instrText>
        </w:r>
        <w:r>
          <w:fldChar w:fldCharType="separate"/>
        </w:r>
        <w:r>
          <w:t xml:space="preserve">14</w:t>
        </w:r>
        <w:r>
          <w:fldChar w:fldCharType="end"/>
        </w:r>
      </w:hyperlink>
    </w:p>
    <w:p>
      <w:pPr>
        <w:pStyle w:val="TOC2"/>
        <w:tabs>
          <w:tab w:val="right" w:leader="dot" w:pos="8296"/>
        </w:tabs>
        <w:ind w:left="560" w:firstLine="560"/>
        <w:rPr>
          <w:rFonts w:ascii="等线" w:eastAsia="等线" w:hAnsi="等线" w:cs="宋体"/>
          <w:sz w:val="21"/>
        </w:rPr>
      </w:pPr>
      <w:hyperlink w:anchor="_Toc165277239" w:history="1">
        <w:r>
          <w:rPr>
            <w:rStyle w:val="Hyperlink"/>
            <w:rFonts w:ascii="仿宋" w:eastAsia="仿宋" w:hAnsi="仿宋" w:hint="eastAsia"/>
            <w:lang w:bidi="en-US"/>
          </w:rPr>
          <w:t xml:space="preserve">（二）主要绩效</w:t>
        </w:r>
        <w:r>
          <w:tab/>
        </w:r>
        <w:r>
          <w:fldChar w:fldCharType="begin"/>
        </w:r>
        <w:r>
          <w:instrText xml:space="preserve"> PAGEREF _Toc165277239 \h </w:instrText>
        </w:r>
        <w:r>
          <w:fldChar w:fldCharType="separate"/>
        </w:r>
        <w:r>
          <w:t xml:space="preserve">15</w:t>
        </w:r>
        <w:r>
          <w:fldChar w:fldCharType="end"/>
        </w:r>
      </w:hyperlink>
    </w:p>
    <w:p>
      <w:pPr>
        <w:pStyle w:val="TOC1"/>
        <w:tabs>
          <w:tab w:val="right" w:leader="dot" w:pos="8296"/>
        </w:tabs>
        <w:ind w:firstLine="560"/>
        <w:rPr>
          <w:rFonts w:ascii="等线" w:eastAsia="等线" w:hAnsi="等线" w:cs="宋体"/>
          <w:sz w:val="21"/>
        </w:rPr>
      </w:pPr>
      <w:hyperlink w:anchor="_Toc165277240" w:history="1">
        <w:r>
          <w:rPr>
            <w:rStyle w:val="Hyperlink"/>
            <w:rFonts w:ascii="仿宋" w:eastAsia="仿宋" w:hAnsi="仿宋" w:hint="eastAsia"/>
            <w:lang w:bidi="en-US"/>
          </w:rPr>
          <w:t xml:space="preserve">四、绩效评价指标分析</w:t>
        </w:r>
        <w:r>
          <w:tab/>
        </w:r>
        <w:r>
          <w:fldChar w:fldCharType="begin"/>
        </w:r>
        <w:r>
          <w:instrText xml:space="preserve"> PAGEREF _Toc165277240 \h </w:instrText>
        </w:r>
        <w:r>
          <w:fldChar w:fldCharType="separate"/>
        </w:r>
        <w:r>
          <w:t xml:space="preserve">15</w:t>
        </w:r>
        <w:r>
          <w:fldChar w:fldCharType="end"/>
        </w:r>
      </w:hyperlink>
    </w:p>
    <w:p>
      <w:pPr>
        <w:pStyle w:val="TOC2"/>
        <w:tabs>
          <w:tab w:val="right" w:leader="dot" w:pos="8296"/>
        </w:tabs>
        <w:ind w:left="560" w:firstLine="560"/>
        <w:rPr>
          <w:rFonts w:ascii="等线" w:eastAsia="等线" w:hAnsi="等线" w:cs="宋体"/>
          <w:sz w:val="21"/>
        </w:rPr>
      </w:pPr>
      <w:hyperlink w:anchor="_Toc165277241" w:history="1">
        <w:r>
          <w:rPr>
            <w:rStyle w:val="Hyperlink"/>
            <w:rFonts w:ascii="仿宋" w:eastAsia="仿宋" w:hAnsi="仿宋" w:hint="eastAsia"/>
            <w:lang w:bidi="en-US"/>
          </w:rPr>
          <w:t xml:space="preserve">（一）项目决策情况</w:t>
        </w:r>
        <w:r>
          <w:tab/>
        </w:r>
        <w:r>
          <w:fldChar w:fldCharType="begin"/>
        </w:r>
        <w:r>
          <w:instrText xml:space="preserve"> PAGEREF _Toc165277241 \h </w:instrText>
        </w:r>
        <w:r>
          <w:fldChar w:fldCharType="separate"/>
        </w:r>
        <w:r>
          <w:t xml:space="preserve">15</w:t>
        </w:r>
        <w:r>
          <w:fldChar w:fldCharType="end"/>
        </w:r>
      </w:hyperlink>
    </w:p>
    <w:p>
      <w:pPr>
        <w:pStyle w:val="TOC3"/>
        <w:tabs>
          <w:tab w:val="right" w:leader="dot" w:pos="8296"/>
        </w:tabs>
        <w:ind w:left="1120" w:firstLine="560"/>
        <w:rPr>
          <w:rFonts w:ascii="等线" w:eastAsia="等线" w:hAnsi="等线" w:cs="宋体"/>
          <w:sz w:val="21"/>
        </w:rPr>
      </w:pPr>
      <w:hyperlink w:anchor="_Toc165277242" w:history="1">
        <w:r>
          <w:rPr>
            <w:rStyle w:val="Hyperlink"/>
          </w:rPr>
          <w:t xml:space="preserve">1.</w:t>
        </w:r>
        <w:r>
          <w:rPr>
            <w:rStyle w:val="Hyperlink"/>
            <w:rFonts w:hint="eastAsia"/>
          </w:rPr>
          <w:t xml:space="preserve">项目立项</w:t>
        </w:r>
        <w:r>
          <w:tab/>
        </w:r>
        <w:r>
          <w:fldChar w:fldCharType="begin"/>
        </w:r>
        <w:r>
          <w:instrText xml:space="preserve"> PAGEREF _Toc165277242 \h </w:instrText>
        </w:r>
        <w:r>
          <w:fldChar w:fldCharType="separate"/>
        </w:r>
        <w:r>
          <w:t xml:space="preserve">16</w:t>
        </w:r>
        <w:r>
          <w:fldChar w:fldCharType="end"/>
        </w:r>
      </w:hyperlink>
    </w:p>
    <w:p>
      <w:pPr>
        <w:pStyle w:val="TOC3"/>
        <w:tabs>
          <w:tab w:val="right" w:leader="dot" w:pos="8296"/>
        </w:tabs>
        <w:ind w:left="1120" w:firstLine="560"/>
        <w:rPr>
          <w:rFonts w:ascii="等线" w:eastAsia="等线" w:hAnsi="等线" w:cs="宋体"/>
          <w:sz w:val="21"/>
        </w:rPr>
      </w:pPr>
      <w:hyperlink w:anchor="_Toc165277243" w:history="1">
        <w:r>
          <w:rPr>
            <w:rStyle w:val="Hyperlink"/>
          </w:rPr>
          <w:t xml:space="preserve">2.</w:t>
        </w:r>
        <w:r>
          <w:rPr>
            <w:rStyle w:val="Hyperlink"/>
            <w:rFonts w:hint="eastAsia"/>
          </w:rPr>
          <w:t xml:space="preserve">绩效目标</w:t>
        </w:r>
        <w:r>
          <w:tab/>
        </w:r>
        <w:r>
          <w:fldChar w:fldCharType="begin"/>
        </w:r>
        <w:r>
          <w:instrText xml:space="preserve"> PAGEREF _Toc165277243 \h </w:instrText>
        </w:r>
        <w:r>
          <w:fldChar w:fldCharType="separate"/>
        </w:r>
        <w:r>
          <w:t xml:space="preserve">16</w:t>
        </w:r>
        <w:r>
          <w:fldChar w:fldCharType="end"/>
        </w:r>
      </w:hyperlink>
    </w:p>
    <w:p>
      <w:pPr>
        <w:pStyle w:val="TOC3"/>
        <w:tabs>
          <w:tab w:val="right" w:leader="dot" w:pos="8296"/>
        </w:tabs>
        <w:ind w:left="1120" w:firstLine="560"/>
        <w:rPr>
          <w:rFonts w:ascii="等线" w:eastAsia="等线" w:hAnsi="等线" w:cs="宋体"/>
          <w:sz w:val="21"/>
        </w:rPr>
      </w:pPr>
      <w:hyperlink w:anchor="_Toc165277244" w:history="1">
        <w:r>
          <w:rPr>
            <w:rStyle w:val="Hyperlink"/>
          </w:rPr>
          <w:t xml:space="preserve">3.</w:t>
        </w:r>
        <w:r>
          <w:rPr>
            <w:rStyle w:val="Hyperlink"/>
            <w:rFonts w:hint="eastAsia"/>
          </w:rPr>
          <w:t xml:space="preserve">资金投入</w:t>
        </w:r>
        <w:r>
          <w:tab/>
        </w:r>
        <w:r>
          <w:fldChar w:fldCharType="begin"/>
        </w:r>
        <w:r>
          <w:instrText xml:space="preserve"> PAGEREF _Toc165277244 \h </w:instrText>
        </w:r>
        <w:r>
          <w:fldChar w:fldCharType="separate"/>
        </w:r>
        <w:r>
          <w:t xml:space="preserve">17</w:t>
        </w:r>
        <w:r>
          <w:fldChar w:fldCharType="end"/>
        </w:r>
      </w:hyperlink>
    </w:p>
    <w:p>
      <w:pPr>
        <w:pStyle w:val="TOC2"/>
        <w:tabs>
          <w:tab w:val="right" w:leader="dot" w:pos="8296"/>
        </w:tabs>
        <w:ind w:left="560" w:firstLine="560"/>
        <w:rPr>
          <w:rFonts w:ascii="等线" w:eastAsia="等线" w:hAnsi="等线" w:cs="宋体"/>
          <w:sz w:val="21"/>
        </w:rPr>
      </w:pPr>
      <w:hyperlink w:anchor="_Toc165277245" w:history="1">
        <w:r>
          <w:rPr>
            <w:rStyle w:val="Hyperlink"/>
            <w:rFonts w:ascii="仿宋" w:eastAsia="仿宋" w:hAnsi="仿宋" w:hint="eastAsia"/>
            <w:lang w:bidi="en-US"/>
          </w:rPr>
          <w:t xml:space="preserve">（二）项目过程情况</w:t>
        </w:r>
        <w:r>
          <w:tab/>
        </w:r>
        <w:r>
          <w:fldChar w:fldCharType="begin"/>
        </w:r>
        <w:r>
          <w:instrText xml:space="preserve"> PAGEREF _Toc165277245 \h </w:instrText>
        </w:r>
        <w:r>
          <w:fldChar w:fldCharType="separate"/>
        </w:r>
        <w:r>
          <w:t xml:space="preserve">17</w:t>
        </w:r>
        <w:r>
          <w:fldChar w:fldCharType="end"/>
        </w:r>
      </w:hyperlink>
    </w:p>
    <w:p>
      <w:pPr>
        <w:pStyle w:val="TOC3"/>
        <w:tabs>
          <w:tab w:val="right" w:leader="dot" w:pos="8296"/>
        </w:tabs>
        <w:ind w:left="1120" w:firstLine="560"/>
        <w:rPr>
          <w:rFonts w:ascii="等线" w:eastAsia="等线" w:hAnsi="等线" w:cs="宋体"/>
          <w:sz w:val="21"/>
        </w:rPr>
      </w:pPr>
      <w:hyperlink w:anchor="_Toc165277246" w:history="1">
        <w:r>
          <w:rPr>
            <w:rStyle w:val="Hyperlink"/>
          </w:rPr>
          <w:t xml:space="preserve">1.</w:t>
        </w:r>
        <w:r>
          <w:rPr>
            <w:rStyle w:val="Hyperlink"/>
            <w:rFonts w:hint="eastAsia"/>
          </w:rPr>
          <w:t xml:space="preserve">资金管理</w:t>
        </w:r>
        <w:r>
          <w:tab/>
        </w:r>
        <w:r>
          <w:fldChar w:fldCharType="begin"/>
        </w:r>
        <w:r>
          <w:instrText xml:space="preserve"> PAGEREF _Toc165277246 \h </w:instrText>
        </w:r>
        <w:r>
          <w:fldChar w:fldCharType="separate"/>
        </w:r>
        <w:r>
          <w:t xml:space="preserve">17</w:t>
        </w:r>
        <w:r>
          <w:fldChar w:fldCharType="end"/>
        </w:r>
      </w:hyperlink>
    </w:p>
    <w:p>
      <w:pPr>
        <w:pStyle w:val="TOC3"/>
        <w:tabs>
          <w:tab w:val="right" w:leader="dot" w:pos="8296"/>
        </w:tabs>
        <w:ind w:left="1120" w:firstLine="560"/>
        <w:rPr>
          <w:rFonts w:ascii="等线" w:eastAsia="等线" w:hAnsi="等线" w:cs="宋体"/>
          <w:sz w:val="21"/>
        </w:rPr>
      </w:pPr>
      <w:hyperlink w:anchor="_Toc165277247" w:history="1">
        <w:r>
          <w:rPr>
            <w:rStyle w:val="Hyperlink"/>
          </w:rPr>
          <w:t xml:space="preserve">2.</w:t>
        </w:r>
        <w:r>
          <w:rPr>
            <w:rStyle w:val="Hyperlink"/>
            <w:rFonts w:hint="eastAsia"/>
          </w:rPr>
          <w:t xml:space="preserve">组织实施</w:t>
        </w:r>
        <w:r>
          <w:tab/>
        </w:r>
        <w:r>
          <w:fldChar w:fldCharType="begin"/>
        </w:r>
        <w:r>
          <w:instrText xml:space="preserve"> PAGEREF _Toc165277247 \h </w:instrText>
        </w:r>
        <w:r>
          <w:fldChar w:fldCharType="separate"/>
        </w:r>
        <w:r>
          <w:t xml:space="preserve">18</w:t>
        </w:r>
        <w:r>
          <w:fldChar w:fldCharType="end"/>
        </w:r>
      </w:hyperlink>
    </w:p>
    <w:p>
      <w:pPr>
        <w:pStyle w:val="TOC2"/>
        <w:tabs>
          <w:tab w:val="right" w:leader="dot" w:pos="8296"/>
        </w:tabs>
        <w:ind w:left="560" w:firstLine="560"/>
        <w:rPr>
          <w:rFonts w:ascii="等线" w:eastAsia="等线" w:hAnsi="等线" w:cs="宋体"/>
          <w:sz w:val="21"/>
        </w:rPr>
      </w:pPr>
      <w:hyperlink w:anchor="_Toc165277248" w:history="1">
        <w:r>
          <w:rPr>
            <w:rStyle w:val="Hyperlink"/>
            <w:rFonts w:ascii="仿宋" w:eastAsia="仿宋" w:hAnsi="仿宋" w:hint="eastAsia"/>
            <w:lang w:bidi="en-US"/>
          </w:rPr>
          <w:t xml:space="preserve">（三）项目产出情况</w:t>
        </w:r>
        <w:r>
          <w:tab/>
        </w:r>
        <w:r>
          <w:fldChar w:fldCharType="begin"/>
        </w:r>
        <w:r>
          <w:instrText xml:space="preserve"> PAGEREF _Toc165277248 \h </w:instrText>
        </w:r>
        <w:r>
          <w:fldChar w:fldCharType="separate"/>
        </w:r>
        <w:r>
          <w:t xml:space="preserve">18</w:t>
        </w:r>
        <w:r>
          <w:fldChar w:fldCharType="end"/>
        </w:r>
      </w:hyperlink>
    </w:p>
    <w:p>
      <w:pPr>
        <w:pStyle w:val="TOC3"/>
        <w:tabs>
          <w:tab w:val="right" w:leader="dot" w:pos="8296"/>
        </w:tabs>
        <w:ind w:left="1120" w:firstLine="560"/>
        <w:rPr>
          <w:rFonts w:ascii="等线" w:eastAsia="等线" w:hAnsi="等线" w:cs="宋体"/>
          <w:sz w:val="21"/>
        </w:rPr>
      </w:pPr>
      <w:hyperlink w:anchor="_Toc165277249" w:history="1">
        <w:r>
          <w:rPr>
            <w:rStyle w:val="Hyperlink"/>
          </w:rPr>
          <w:t xml:space="preserve">1.</w:t>
        </w:r>
        <w:r>
          <w:rPr>
            <w:rStyle w:val="Hyperlink"/>
            <w:rFonts w:hint="eastAsia"/>
          </w:rPr>
          <w:t xml:space="preserve">产出数量</w:t>
        </w:r>
        <w:r>
          <w:tab/>
        </w:r>
        <w:r>
          <w:fldChar w:fldCharType="begin"/>
        </w:r>
        <w:r>
          <w:instrText xml:space="preserve"> PAGEREF _Toc165277249 \h </w:instrText>
        </w:r>
        <w:r>
          <w:fldChar w:fldCharType="separate"/>
        </w:r>
        <w:r>
          <w:t xml:space="preserve">18</w:t>
        </w:r>
        <w:r>
          <w:fldChar w:fldCharType="end"/>
        </w:r>
      </w:hyperlink>
    </w:p>
    <w:p>
      <w:pPr>
        <w:pStyle w:val="TOC3"/>
        <w:tabs>
          <w:tab w:val="right" w:leader="dot" w:pos="8296"/>
        </w:tabs>
        <w:ind w:left="1120" w:firstLine="560"/>
        <w:rPr>
          <w:rFonts w:ascii="等线" w:eastAsia="等线" w:hAnsi="等线" w:cs="宋体"/>
          <w:sz w:val="21"/>
        </w:rPr>
      </w:pPr>
      <w:hyperlink w:anchor="_Toc165277250" w:history="1">
        <w:r>
          <w:rPr>
            <w:rStyle w:val="Hyperlink"/>
          </w:rPr>
          <w:t xml:space="preserve">2.</w:t>
        </w:r>
        <w:r>
          <w:rPr>
            <w:rStyle w:val="Hyperlink"/>
            <w:rFonts w:hint="eastAsia"/>
          </w:rPr>
          <w:t xml:space="preserve">产出质量</w:t>
        </w:r>
        <w:r>
          <w:tab/>
        </w:r>
        <w:r>
          <w:fldChar w:fldCharType="begin"/>
        </w:r>
        <w:r>
          <w:instrText xml:space="preserve"> PAGEREF _Toc165277250 \h </w:instrText>
        </w:r>
        <w:r>
          <w:fldChar w:fldCharType="separate"/>
        </w:r>
        <w:r>
          <w:t xml:space="preserve">19</w:t>
        </w:r>
        <w:r>
          <w:fldChar w:fldCharType="end"/>
        </w:r>
      </w:hyperlink>
    </w:p>
    <w:p>
      <w:pPr>
        <w:pStyle w:val="TOC3"/>
        <w:tabs>
          <w:tab w:val="right" w:leader="dot" w:pos="8296"/>
        </w:tabs>
        <w:ind w:left="1120" w:firstLine="560"/>
        <w:rPr>
          <w:rFonts w:ascii="等线" w:eastAsia="等线" w:hAnsi="等线" w:cs="宋体"/>
          <w:sz w:val="21"/>
        </w:rPr>
      </w:pPr>
      <w:hyperlink w:anchor="_Toc165277251" w:history="1">
        <w:r>
          <w:rPr>
            <w:rStyle w:val="Hyperlink"/>
          </w:rPr>
          <w:t xml:space="preserve">3.</w:t>
        </w:r>
        <w:r>
          <w:rPr>
            <w:rStyle w:val="Hyperlink"/>
            <w:rFonts w:hint="eastAsia"/>
          </w:rPr>
          <w:t xml:space="preserve">产出时效</w:t>
        </w:r>
        <w:r>
          <w:tab/>
        </w:r>
        <w:r>
          <w:fldChar w:fldCharType="begin"/>
        </w:r>
        <w:r>
          <w:instrText xml:space="preserve"> PAGEREF _Toc165277251 \h </w:instrText>
        </w:r>
        <w:r>
          <w:fldChar w:fldCharType="separate"/>
        </w:r>
        <w:r>
          <w:t xml:space="preserve">19</w:t>
        </w:r>
        <w:r>
          <w:fldChar w:fldCharType="end"/>
        </w:r>
      </w:hyperlink>
    </w:p>
    <w:p>
      <w:pPr>
        <w:pStyle w:val="TOC3"/>
        <w:tabs>
          <w:tab w:val="right" w:leader="dot" w:pos="8296"/>
        </w:tabs>
        <w:ind w:left="1120" w:firstLine="560"/>
        <w:rPr>
          <w:rFonts w:ascii="等线" w:eastAsia="等线" w:hAnsi="等线" w:cs="宋体"/>
          <w:sz w:val="21"/>
        </w:rPr>
      </w:pPr>
      <w:hyperlink w:anchor="_Toc165277252" w:history="1">
        <w:r>
          <w:rPr>
            <w:rStyle w:val="Hyperlink"/>
          </w:rPr>
          <w:t xml:space="preserve">4.</w:t>
        </w:r>
        <w:r>
          <w:rPr>
            <w:rStyle w:val="Hyperlink"/>
            <w:rFonts w:hint="eastAsia"/>
          </w:rPr>
          <w:t xml:space="preserve">产出成本</w:t>
        </w:r>
        <w:r>
          <w:tab/>
        </w:r>
        <w:r>
          <w:fldChar w:fldCharType="begin"/>
        </w:r>
        <w:r>
          <w:instrText xml:space="preserve"> PAGEREF _Toc165277252 \h </w:instrText>
        </w:r>
        <w:r>
          <w:fldChar w:fldCharType="separate"/>
        </w:r>
        <w:r>
          <w:t xml:space="preserve">19</w:t>
        </w:r>
        <w:r>
          <w:fldChar w:fldCharType="end"/>
        </w:r>
      </w:hyperlink>
    </w:p>
    <w:p>
      <w:pPr>
        <w:pStyle w:val="TOC2"/>
        <w:tabs>
          <w:tab w:val="right" w:leader="dot" w:pos="8296"/>
        </w:tabs>
        <w:ind w:left="560" w:firstLine="560"/>
        <w:rPr>
          <w:rFonts w:ascii="等线" w:eastAsia="等线" w:hAnsi="等线" w:cs="宋体"/>
          <w:sz w:val="21"/>
        </w:rPr>
      </w:pPr>
      <w:hyperlink w:anchor="_Toc165277253" w:history="1">
        <w:r>
          <w:rPr>
            <w:rStyle w:val="Hyperlink"/>
            <w:rFonts w:ascii="仿宋" w:eastAsia="仿宋" w:hAnsi="仿宋" w:hint="eastAsia"/>
            <w:lang w:bidi="en-US"/>
          </w:rPr>
          <w:t xml:space="preserve">（四）项目效益情况</w:t>
        </w:r>
        <w:r>
          <w:tab/>
        </w:r>
        <w:r>
          <w:fldChar w:fldCharType="begin"/>
        </w:r>
        <w:r>
          <w:instrText xml:space="preserve"> PAGEREF _Toc165277253 \h </w:instrText>
        </w:r>
        <w:r>
          <w:fldChar w:fldCharType="separate"/>
        </w:r>
        <w:r>
          <w:t xml:space="preserve">19</w:t>
        </w:r>
        <w:r>
          <w:fldChar w:fldCharType="end"/>
        </w:r>
      </w:hyperlink>
    </w:p>
    <w:p>
      <w:pPr>
        <w:pStyle w:val="TOC3"/>
        <w:tabs>
          <w:tab w:val="right" w:leader="dot" w:pos="8296"/>
        </w:tabs>
        <w:ind w:left="1120" w:firstLine="560"/>
        <w:rPr>
          <w:rFonts w:ascii="等线" w:eastAsia="等线" w:hAnsi="等线" w:cs="宋体"/>
          <w:sz w:val="21"/>
        </w:rPr>
      </w:pPr>
      <w:hyperlink w:anchor="_Toc165277254" w:history="1">
        <w:r>
          <w:rPr>
            <w:rStyle w:val="Hyperlink"/>
          </w:rPr>
          <w:t xml:space="preserve">1.</w:t>
        </w:r>
        <w:r>
          <w:rPr>
            <w:rStyle w:val="Hyperlink"/>
            <w:rFonts w:hint="eastAsia"/>
          </w:rPr>
          <w:t xml:space="preserve">项目效益</w:t>
        </w:r>
        <w:r>
          <w:tab/>
        </w:r>
        <w:r>
          <w:fldChar w:fldCharType="begin"/>
        </w:r>
        <w:r>
          <w:instrText xml:space="preserve"> PAGEREF _Toc165277254 \h </w:instrText>
        </w:r>
        <w:r>
          <w:fldChar w:fldCharType="separate"/>
        </w:r>
        <w:r>
          <w:t xml:space="preserve">19</w:t>
        </w:r>
        <w:r>
          <w:fldChar w:fldCharType="end"/>
        </w:r>
      </w:hyperlink>
    </w:p>
    <w:p>
      <w:pPr>
        <w:pStyle w:val="TOC3"/>
        <w:tabs>
          <w:tab w:val="right" w:leader="dot" w:pos="8296"/>
        </w:tabs>
        <w:ind w:left="1120" w:firstLine="560"/>
        <w:rPr>
          <w:rFonts w:ascii="等线" w:eastAsia="等线" w:hAnsi="等线" w:cs="宋体"/>
          <w:sz w:val="21"/>
        </w:rPr>
      </w:pPr>
      <w:hyperlink w:anchor="_Toc165277255" w:history="1">
        <w:r>
          <w:rPr>
            <w:rStyle w:val="Hyperlink"/>
          </w:rPr>
          <w:t xml:space="preserve">2. </w:t>
        </w:r>
        <w:r>
          <w:rPr>
            <w:rStyle w:val="Hyperlink"/>
            <w:rFonts w:hint="eastAsia"/>
          </w:rPr>
          <w:t xml:space="preserve">满意度指标完成情况分析</w:t>
        </w:r>
        <w:r>
          <w:tab/>
        </w:r>
        <w:r>
          <w:fldChar w:fldCharType="begin"/>
        </w:r>
        <w:r>
          <w:instrText xml:space="preserve"> PAGEREF _Toc165277255 \h </w:instrText>
        </w:r>
        <w:r>
          <w:fldChar w:fldCharType="separate"/>
        </w:r>
        <w:r>
          <w:t xml:space="preserve">20</w:t>
        </w:r>
        <w:r>
          <w:fldChar w:fldCharType="end"/>
        </w:r>
      </w:hyperlink>
    </w:p>
    <w:p>
      <w:pPr>
        <w:pStyle w:val="TOC1"/>
        <w:tabs>
          <w:tab w:val="right" w:leader="dot" w:pos="8296"/>
        </w:tabs>
        <w:ind w:firstLine="560"/>
        <w:rPr>
          <w:rFonts w:ascii="等线" w:eastAsia="等线" w:hAnsi="等线" w:cs="宋体"/>
          <w:sz w:val="21"/>
        </w:rPr>
      </w:pPr>
      <w:hyperlink w:anchor="_Toc165277256" w:history="1">
        <w:r>
          <w:rPr>
            <w:rStyle w:val="Hyperlink"/>
            <w:rFonts w:ascii="仿宋" w:eastAsia="仿宋" w:hAnsi="仿宋" w:hint="eastAsia"/>
            <w:lang w:bidi="en-US"/>
          </w:rPr>
          <w:t xml:space="preserve">五、主要经验及做法、存在的问题及原因分析</w:t>
        </w:r>
        <w:r>
          <w:tab/>
        </w:r>
        <w:r>
          <w:fldChar w:fldCharType="begin"/>
        </w:r>
        <w:r>
          <w:instrText xml:space="preserve"> PAGEREF _Toc165277256 \h </w:instrText>
        </w:r>
        <w:r>
          <w:fldChar w:fldCharType="separate"/>
        </w:r>
        <w:r>
          <w:t xml:space="preserve">20</w:t>
        </w:r>
        <w:r>
          <w:fldChar w:fldCharType="end"/>
        </w:r>
      </w:hyperlink>
    </w:p>
    <w:p>
      <w:pPr>
        <w:pStyle w:val="TOC2"/>
        <w:tabs>
          <w:tab w:val="right" w:leader="dot" w:pos="8296"/>
        </w:tabs>
        <w:ind w:left="560" w:firstLine="560"/>
        <w:rPr>
          <w:rFonts w:ascii="等线" w:eastAsia="等线" w:hAnsi="等线" w:cs="宋体"/>
          <w:sz w:val="21"/>
        </w:rPr>
      </w:pPr>
      <w:hyperlink w:anchor="_Toc165277257" w:history="1">
        <w:r>
          <w:rPr>
            <w:rStyle w:val="Hyperlink"/>
            <w:rFonts w:ascii="仿宋" w:eastAsia="仿宋" w:hAnsi="仿宋" w:hint="eastAsia"/>
            <w:lang w:bidi="en-US"/>
          </w:rPr>
          <w:t xml:space="preserve">（一）主要经验及做法</w:t>
        </w:r>
        <w:r>
          <w:tab/>
        </w:r>
        <w:r>
          <w:fldChar w:fldCharType="begin"/>
        </w:r>
        <w:r>
          <w:instrText xml:space="preserve"> PAGEREF _Toc165277257 \h </w:instrText>
        </w:r>
        <w:r>
          <w:fldChar w:fldCharType="separate"/>
        </w:r>
        <w:r>
          <w:t xml:space="preserve">20</w:t>
        </w:r>
        <w:r>
          <w:fldChar w:fldCharType="end"/>
        </w:r>
      </w:hyperlink>
    </w:p>
    <w:p>
      <w:pPr>
        <w:pStyle w:val="TOC2"/>
        <w:tabs>
          <w:tab w:val="right" w:leader="dot" w:pos="8296"/>
        </w:tabs>
        <w:ind w:left="560" w:firstLine="560"/>
        <w:rPr>
          <w:rFonts w:ascii="等线" w:eastAsia="等线" w:hAnsi="等线" w:cs="宋体"/>
          <w:sz w:val="21"/>
        </w:rPr>
      </w:pPr>
      <w:hyperlink w:anchor="_Toc165277258" w:history="1">
        <w:r>
          <w:rPr>
            <w:rStyle w:val="Hyperlink"/>
            <w:rFonts w:ascii="仿宋" w:eastAsia="仿宋" w:hAnsi="仿宋" w:hint="eastAsia"/>
            <w:lang w:bidi="en-US"/>
          </w:rPr>
          <w:t xml:space="preserve">（二）存在的问题及原因分析</w:t>
        </w:r>
        <w:r>
          <w:tab/>
        </w:r>
        <w:r>
          <w:fldChar w:fldCharType="begin"/>
        </w:r>
        <w:r>
          <w:instrText xml:space="preserve"> PAGEREF _Toc165277258 \h </w:instrText>
        </w:r>
        <w:r>
          <w:fldChar w:fldCharType="separate"/>
        </w:r>
        <w:r>
          <w:t xml:space="preserve">20</w:t>
        </w:r>
        <w:r>
          <w:fldChar w:fldCharType="end"/>
        </w:r>
      </w:hyperlink>
    </w:p>
    <w:p>
      <w:pPr>
        <w:pStyle w:val="TOC1"/>
        <w:tabs>
          <w:tab w:val="right" w:leader="dot" w:pos="8296"/>
        </w:tabs>
        <w:ind w:firstLine="560"/>
        <w:rPr>
          <w:rFonts w:ascii="等线" w:eastAsia="等线" w:hAnsi="等线" w:cs="宋体"/>
          <w:sz w:val="21"/>
        </w:rPr>
      </w:pPr>
      <w:hyperlink w:anchor="_Toc165277259" w:history="1">
        <w:r>
          <w:rPr>
            <w:rStyle w:val="Hyperlink"/>
            <w:rFonts w:ascii="仿宋" w:eastAsia="仿宋" w:hAnsi="仿宋" w:hint="eastAsia"/>
            <w:lang w:bidi="en-US"/>
          </w:rPr>
          <w:t xml:space="preserve">六、有关建议</w:t>
        </w:r>
        <w:r>
          <w:tab/>
        </w:r>
        <w:r>
          <w:fldChar w:fldCharType="begin"/>
        </w:r>
        <w:r>
          <w:instrText xml:space="preserve"> PAGEREF _Toc165277259 \h </w:instrText>
        </w:r>
        <w:r>
          <w:fldChar w:fldCharType="separate"/>
        </w:r>
        <w:r>
          <w:t xml:space="preserve">21</w:t>
        </w:r>
        <w:r>
          <w:fldChar w:fldCharType="end"/>
        </w:r>
      </w:hyperlink>
    </w:p>
    <w:p>
      <w:pPr>
        <w:pStyle w:val="TOC1"/>
        <w:tabs>
          <w:tab w:val="right" w:leader="dot" w:pos="8296"/>
        </w:tabs>
        <w:ind w:firstLine="560"/>
        <w:rPr>
          <w:rFonts w:ascii="等线" w:eastAsia="等线" w:hAnsi="等线" w:cs="宋体"/>
          <w:sz w:val="21"/>
        </w:rPr>
      </w:pPr>
      <w:hyperlink w:anchor="_Toc165277260" w:history="1">
        <w:r>
          <w:rPr>
            <w:rStyle w:val="Hyperlink"/>
            <w:rFonts w:ascii="仿宋" w:eastAsia="仿宋" w:hAnsi="仿宋" w:hint="eastAsia"/>
            <w:lang w:bidi="en-US"/>
          </w:rPr>
          <w:t xml:space="preserve">七、其他需要说明的问题</w:t>
        </w:r>
        <w:r>
          <w:tab/>
        </w:r>
        <w:r>
          <w:fldChar w:fldCharType="begin"/>
        </w:r>
        <w:r>
          <w:instrText xml:space="preserve"> PAGEREF _Toc165277260 \h </w:instrText>
        </w:r>
        <w:r>
          <w:fldChar w:fldCharType="separate"/>
        </w:r>
        <w:r>
          <w:t xml:space="preserve">21</w:t>
        </w:r>
        <w:r>
          <w:fldChar w:fldCharType="end"/>
        </w:r>
      </w:hyperlink>
    </w:p>
    <w:p>
      <w:pPr>
        <w:ind w:firstLine="562"/>
      </w:pPr>
      <w:r>
        <w:rPr>
          <w:b/>
          <w:bCs/>
          <w:lang w:val="zh-CN"/>
        </w:rPr>
        <w:fldChar w:fldCharType="end"/>
      </w:r>
    </w:p>
    <w:p>
      <w:pPr>
        <w:ind w:firstLine="598" w:firstLineChars="187"/>
        <w:rPr>
          <w:rFonts w:ascii="仿宋_GB2312" w:hAnsi="Times New Roman" w:cs="Times New Roman"/>
          <w:sz w:val="32"/>
          <w:szCs w:val="32"/>
          <w:lang w:bidi="en-US"/>
        </w:rPr>
        <w:sectPr>
          <w:headerReference w:type="even" r:id="rId4"/>
          <w:headerReference w:type="default" r:id="rId5"/>
          <w:headerReference w:type="first" r:id="rId6"/>
          <w:footerReference w:type="even" r:id="rId7"/>
          <w:footerReference w:type="default" r:id="rId8"/>
          <w:footerReference w:type="first" r:id="rId9"/>
          <w:pgSz w:w="11906" w:h="16838" w:orient="portrait"/>
          <w:pgMar w:top="1440" w:right="1800" w:bottom="1440" w:left="1800" w:header="851" w:footer="992" w:gutter="0"/>
          <w:pgBorders/>
          <w:cols w:num="1" w:space="425">
            <w:col w:w="8306" w:space="425"/>
          </w:cols>
          <w:docGrid w:type="lines" w:linePitch="312" w:charSpace="0"/>
        </w:sectPr>
      </w:pPr>
    </w:p>
    <w:p>
      <w:pPr>
        <w:pStyle w:val="Heading1"/>
        <w:ind w:firstLine="0" w:firstLineChars="0"/>
        <w:jc w:val="left"/>
        <w:rPr>
          <w:rFonts w:ascii="仿宋" w:eastAsia="仿宋" w:hAnsi="仿宋"/>
          <w:sz w:val="36"/>
          <w:szCs w:val="36"/>
          <w:lang w:bidi="en-US"/>
        </w:rPr>
      </w:pPr>
      <w:bookmarkStart w:id="1" w:name="_Toc67911601"/>
      <w:bookmarkStart w:id="2" w:name="_Toc165277220"/>
      <w:r>
        <w:rPr>
          <w:rFonts w:ascii="仿宋" w:eastAsia="仿宋" w:hAnsi="仿宋" w:hint="eastAsia"/>
          <w:sz w:val="36"/>
          <w:szCs w:val="36"/>
          <w:lang w:bidi="en-US"/>
        </w:rPr>
        <w:t xml:space="preserve">一、基本情况</w:t>
      </w:r>
      <w:bookmarkEnd w:id="1"/>
      <w:bookmarkEnd w:id="2"/>
    </w:p>
    <w:p>
      <w:pPr>
        <w:pStyle w:val="Heading2"/>
        <w:ind w:firstLine="643"/>
        <w:rPr>
          <w:rFonts w:ascii="仿宋" w:eastAsia="仿宋" w:hAnsi="仿宋"/>
          <w:lang w:bidi="en-US"/>
        </w:rPr>
      </w:pPr>
      <w:bookmarkStart w:id="3" w:name="_Toc165277221"/>
      <w:bookmarkStart w:id="4" w:name="_Toc67911602"/>
      <w:r>
        <w:rPr>
          <w:rFonts w:ascii="仿宋" w:eastAsia="仿宋" w:hAnsi="仿宋" w:hint="eastAsia"/>
          <w:lang w:bidi="en-US"/>
        </w:rPr>
        <w:t xml:space="preserve">（一）项目概况：</w:t>
      </w:r>
      <w:bookmarkEnd w:id="3"/>
      <w:bookmarkEnd w:id="4"/>
    </w:p>
    <w:p>
      <w:pPr>
        <w:pStyle w:val="Heading3"/>
        <w:ind w:firstLine="643"/>
      </w:pPr>
      <w:bookmarkStart w:id="5" w:name="_Toc165277222"/>
      <w:r>
        <w:rPr>
          <w:rFonts w:hint="eastAsia"/>
        </w:rPr>
        <w:t xml:space="preserve">1．项目背景、主要内容及实施情况</w:t>
      </w:r>
      <w:bookmarkEnd w:id="5"/>
    </w:p>
    <w:p>
      <w:pPr>
        <w:spacing w:line="360" w:lineRule="auto"/>
        <w:ind w:firstLine="560"/>
        <w:rPr>
          <w:rFonts w:ascii="仿宋_GB2312"/>
        </w:rPr>
      </w:pPr>
      <w:r>
        <w:rPr>
          <w:rFonts w:ascii="仿宋_GB2312" w:hint="eastAsia"/>
        </w:rPr>
        <w:t xml:space="preserve">该项目实施背景：</w:t>
      </w:r>
    </w:p>
    <w:p>
      <w:pPr>
        <w:autoSpaceDE w:val="0"/>
        <w:autoSpaceDN w:val="0"/>
        <w:adjustRightInd w:val="0"/>
        <w:snapToGrid w:val="0"/>
        <w:spacing w:line="560" w:lineRule="exact"/>
        <w:ind w:firstLine="560"/>
        <w:rPr>
          <w:rFonts w:ascii="仿宋_GB2312"/>
        </w:rPr>
      </w:pPr>
      <w:r>
        <w:rPr>
          <w:rFonts w:ascii="仿宋_GB2312" w:hint="eastAsia"/>
        </w:rPr>
        <w:t xml:space="preserve">党的十八大以来，以习近平同志为核心的党中央把生态文明建设纳入“五位一体”总体布局，将其摆在前所未有的高度，彰显了保护生态环境的坚定决心。习近平生态文明思想为新时代生态文明建设提供了根本遵循，“绿水青山就是金山银山”“山水林田湖草沙是生命共同体”等理念深入人心，推动我国生态文明建设进入从量变到质变的关键时期。项目以《国家林业局关于进一步加强林业有害生物防治工作的意见》、自治区人民政府《关于加强林业有害生物防控工作的意见》为指导，树立森林健康的理念，坚持“预防为主、科学治理、依法监管、强化责任”的原则，大力提倡和推广应用生物防治技术，充分发挥森林生态系统自身的调控作用，实现林业有害生物的可持续控制，确保乌鲁木齐林业生产的健康协调发展。</w:t>
      </w:r>
    </w:p>
    <w:p>
      <w:pPr>
        <w:spacing w:line="360" w:lineRule="auto"/>
        <w:ind w:firstLine="560"/>
        <w:rPr>
          <w:rFonts w:ascii="仿宋_GB2312"/>
        </w:rPr>
      </w:pPr>
      <w:r>
        <w:rPr>
          <w:rFonts w:ascii="仿宋_GB2312" w:hint="eastAsia"/>
        </w:rPr>
        <w:t xml:space="preserve">然而，林业有害生物灾害对林业生态系统构成严重威胁。随着全球气候变暖、国际贸易往来日益频繁以及林业产业快速发展，林业有害生物的种类不断增多，分布范围持续扩大，危害程度愈发严重。一些重大林业有害生物，一旦爆发成灾，将导致大片森林死亡，破坏森林生态系统的结构和功能，削弱其生态服务功能，还会造成巨大的经济损失，影响木材供应和林产品加工等相关产业。</w:t>
      </w:r>
    </w:p>
    <w:p>
      <w:pPr>
        <w:spacing w:line="360" w:lineRule="auto"/>
        <w:ind w:firstLine="560"/>
        <w:rPr>
          <w:rFonts w:ascii="仿宋_GB2312"/>
        </w:rPr>
      </w:pPr>
      <w:r>
        <w:rPr>
          <w:rFonts w:ascii="仿宋_GB2312" w:hint="eastAsia"/>
        </w:rPr>
        <w:t xml:space="preserve">开展重大林业有害生物专项调查，是践行习近平生态文明思想、加强林业草原生态保护修复的迫切需要。通过全面、系统地调查，可以准确掌握林业有害生物的种类、分布范围、发生面积、危害程度等信息，科学发布林业有害生物预测预报，为制定科学有效的防控策略提供依据，及时采取针对性措施，以达到保护区域生物多样性和有虫不成灾的预期防治目标。保护森林和草原资源，维护生态平衡，保障林业草原生态系统的健康稳定，为建设美丽中国筑牢生态根基。</w:t>
      </w:r>
    </w:p>
    <w:p>
      <w:pPr>
        <w:spacing w:line="360" w:lineRule="auto"/>
        <w:ind w:firstLine="560"/>
        <w:rPr>
          <w:rFonts w:ascii="仿宋_GB2312"/>
        </w:rPr>
      </w:pPr>
      <w:r>
        <w:rPr>
          <w:rFonts w:ascii="仿宋_GB2312"/>
        </w:rPr>
        <w:t xml:space="preserve">项目</w:t>
      </w:r>
      <w:r>
        <w:rPr>
          <w:rFonts w:ascii="仿宋_GB2312" w:hint="eastAsia"/>
        </w:rPr>
        <w:t xml:space="preserve">2024</w:t>
      </w:r>
      <w:r>
        <w:rPr>
          <w:rFonts w:ascii="仿宋_GB2312"/>
        </w:rPr>
        <w:t xml:space="preserve">年的主要实施内容：</w:t>
      </w:r>
      <w:r>
        <w:rPr>
          <w:rFonts w:ascii="仿宋_GB2312" w:hint="eastAsia"/>
        </w:rPr>
        <w:t xml:space="preserve">乌鲁木齐市重大林业有害生物专项调查辖区七区一县（天山区、沙依巴克区、水磨沟区、高新技术产业开发区（新市区）、经济技术产业开发区（头屯河区）、米东区、达扳城区、乌鲁木齐县），调查范围包括建城区绿化、道路绿化区、公园、林场及苗圃等绿化区内的所有白蜡窄吉丁、苹果小吉丁、苹果蠹蛾寄主树种。</w:t>
      </w:r>
    </w:p>
    <w:p>
      <w:pPr>
        <w:spacing w:line="360" w:lineRule="auto"/>
        <w:ind w:firstLine="560"/>
        <w:rPr>
          <w:rFonts w:ascii="仿宋_GB2312"/>
        </w:rPr>
      </w:pPr>
      <w:r>
        <w:rPr>
          <w:rFonts w:ascii="仿宋_GB2312" w:hint="eastAsia"/>
        </w:rPr>
        <w:t xml:space="preserve">实际完成情况为：专项调查通过人工踏查和悬挂信息素诱捕器对白蜡窄吉丁、苹果小吉丁、苹果蠹蛾的发生危害区（点）分布、发生面积（株 树）、危害程度进行专项调查。全市七区一县共调查街道506条、小区庭院及单位庭院1403个、公园游园30个、苗圃基地1个、防护林2个。共普查到林业有害生物21种，制作标本20盒。</w:t>
      </w:r>
    </w:p>
    <w:p>
      <w:pPr>
        <w:pStyle w:val="Heading3"/>
        <w:ind w:firstLine="643"/>
      </w:pPr>
      <w:bookmarkStart w:id="6" w:name="_Toc165277223"/>
      <w:r>
        <w:rPr>
          <w:rFonts w:hint="eastAsia"/>
        </w:rPr>
        <w:t xml:space="preserve">2</w:t>
      </w:r>
      <w:r>
        <w:t xml:space="preserve">.资金投入和使用情况</w:t>
      </w:r>
      <w:bookmarkEnd w:id="6"/>
    </w:p>
    <w:p>
      <w:pPr>
        <w:adjustRightInd w:val="0"/>
        <w:snapToGrid w:val="0"/>
        <w:spacing w:line="560" w:lineRule="exact"/>
        <w:ind w:firstLine="560"/>
        <w:rPr>
          <w:rFonts w:ascii="仿宋_GB2312"/>
        </w:rPr>
      </w:pPr>
      <w:r>
        <w:rPr>
          <w:rFonts w:ascii="仿宋_GB2312" w:hint="eastAsia"/>
        </w:rPr>
        <w:t xml:space="preserve">该项目资金投入情况：经《关于提前下达2024年中央林业草原生态保护恢复资金建设任务的通知》（新林规字〔2023〕212号）、《关于提前下达2024年中央林业草原生态保护恢复资金的通知》（乌财资环〔2024〕135号）文件批准，项目系</w:t>
      </w:r>
      <w:r>
        <w:rPr>
          <w:rFonts w:ascii="仿宋_GB2312"/>
        </w:rPr>
        <w:t xml:space="preserve">2024</w:t>
      </w:r>
      <w:r>
        <w:rPr>
          <w:rFonts w:ascii="仿宋_GB2312" w:hint="eastAsia"/>
        </w:rPr>
        <w:t xml:space="preserve">年中央等资金，共安排预算40万元，于2024年年初部分预算批复项目。</w:t>
      </w:r>
    </w:p>
    <w:p>
      <w:pPr>
        <w:adjustRightInd w:val="0"/>
        <w:snapToGrid w:val="0"/>
        <w:spacing w:line="560" w:lineRule="exact"/>
        <w:ind w:firstLine="560"/>
        <w:rPr>
          <w:rFonts w:ascii="仿宋_GB2312"/>
        </w:rPr>
      </w:pPr>
      <w:r>
        <w:rPr>
          <w:rFonts w:ascii="仿宋_GB2312" w:hint="eastAsia"/>
        </w:rPr>
        <w:t xml:space="preserve">项目资金使用情况：总预算40万元，2024年实际支付了40万元，其中专业调查材料费16万元，占实际支出40%；外业调查服务24万元，占实际支出60%，预算执行率为100%。</w:t>
      </w:r>
    </w:p>
    <w:p>
      <w:pPr>
        <w:pStyle w:val="Heading2"/>
        <w:ind w:firstLine="643"/>
        <w:rPr>
          <w:rFonts w:ascii="仿宋" w:eastAsia="仿宋" w:hAnsi="仿宋"/>
          <w:lang w:bidi="en-US"/>
        </w:rPr>
      </w:pPr>
      <w:bookmarkStart w:id="7" w:name="_Toc67911603"/>
      <w:bookmarkStart w:id="8" w:name="_Toc165277224"/>
      <w:r>
        <w:rPr>
          <w:rFonts w:ascii="仿宋" w:eastAsia="仿宋" w:hAnsi="仿宋" w:hint="eastAsia"/>
          <w:lang w:bidi="en-US"/>
        </w:rPr>
        <w:t xml:space="preserve">（二）项目绩效目标：</w:t>
      </w:r>
      <w:bookmarkEnd w:id="7"/>
      <w:bookmarkEnd w:id="8"/>
    </w:p>
    <w:p>
      <w:pPr>
        <w:spacing w:line="360" w:lineRule="auto"/>
        <w:ind w:firstLine="560"/>
        <w:rPr>
          <w:rFonts w:ascii="仿宋_GB2312" w:hAnsi="仿宋"/>
          <w:szCs w:val="28"/>
        </w:rPr>
      </w:pPr>
      <w:r>
        <w:rPr>
          <w:rFonts w:ascii="仿宋_GB2312" w:hAnsi="仿宋" w:hint="eastAsia"/>
          <w:szCs w:val="28"/>
        </w:rPr>
        <w:t xml:space="preserve">本项目依据《中共中央 国务院关于全面实施预算绩效管理的意见》（中发〔2018〕</w:t>
      </w:r>
      <w:r>
        <w:rPr>
          <w:rFonts w:ascii="仿宋_GB2312" w:hAnsi="仿宋"/>
          <w:szCs w:val="28"/>
        </w:rPr>
        <w:t xml:space="preserve">34</w:t>
      </w:r>
      <w:r>
        <w:rPr>
          <w:rFonts w:ascii="仿宋_GB2312" w:hAnsi="仿宋" w:hint="eastAsia"/>
          <w:szCs w:val="28"/>
        </w:rPr>
        <w:t xml:space="preserve">号）、《关于印发&lt;乌鲁木齐市本级部门预算绩效目标管理暂行办法</w:t>
      </w:r>
      <w:r>
        <w:rPr>
          <w:rFonts w:ascii="仿宋_GB2312" w:hAnsi="仿宋"/>
          <w:szCs w:val="28"/>
        </w:rPr>
        <w:t xml:space="preserve">&gt;</w:t>
      </w:r>
      <w:r>
        <w:rPr>
          <w:rFonts w:ascii="仿宋_GB2312" w:hAnsi="仿宋" w:hint="eastAsia"/>
          <w:szCs w:val="28"/>
        </w:rPr>
        <w:t xml:space="preserve">的通知》（乌财预</w:t>
      </w:r>
      <w:bookmarkStart w:id="9" w:name="_Hlk67566397"/>
      <w:r>
        <w:rPr>
          <w:rFonts w:ascii="仿宋_GB2312" w:hAnsi="仿宋" w:hint="eastAsia"/>
          <w:szCs w:val="28"/>
        </w:rPr>
        <w:t xml:space="preserve">〔2018〕</w:t>
      </w:r>
      <w:r>
        <w:rPr>
          <w:rFonts w:ascii="仿宋_GB2312" w:hAnsi="仿宋"/>
          <w:szCs w:val="28"/>
        </w:rPr>
        <w:t xml:space="preserve">5</w:t>
      </w:r>
      <w:r>
        <w:rPr>
          <w:rFonts w:ascii="仿宋_GB2312" w:hAnsi="仿宋" w:hint="eastAsia"/>
          <w:szCs w:val="28"/>
        </w:rPr>
        <w:t xml:space="preserve">6号</w:t>
      </w:r>
      <w:bookmarkEnd w:id="9"/>
      <w:r>
        <w:rPr>
          <w:rFonts w:ascii="仿宋_GB2312" w:hAnsi="仿宋" w:hint="eastAsia"/>
          <w:szCs w:val="28"/>
        </w:rPr>
        <w:t xml:space="preserve">）、《关于做好2</w:t>
      </w:r>
      <w:r>
        <w:rPr>
          <w:rFonts w:ascii="仿宋_GB2312" w:hAnsi="仿宋"/>
          <w:szCs w:val="28"/>
        </w:rPr>
        <w:t xml:space="preserve">019</w:t>
      </w:r>
      <w:r>
        <w:rPr>
          <w:rFonts w:ascii="仿宋_GB2312" w:hAnsi="仿宋" w:hint="eastAsia"/>
          <w:szCs w:val="28"/>
        </w:rPr>
        <w:t xml:space="preserve">年部门预算项目支出绩效目标管理有关事宜的通知》（乌财预〔20</w:t>
      </w:r>
      <w:r>
        <w:rPr>
          <w:rFonts w:ascii="仿宋_GB2312" w:hAnsi="仿宋"/>
          <w:szCs w:val="28"/>
        </w:rPr>
        <w:t xml:space="preserve">18</w:t>
      </w:r>
      <w:r>
        <w:rPr>
          <w:rFonts w:ascii="仿宋_GB2312" w:hAnsi="仿宋" w:hint="eastAsia"/>
          <w:szCs w:val="28"/>
        </w:rPr>
        <w:t xml:space="preserve">〕</w:t>
      </w:r>
      <w:r>
        <w:rPr>
          <w:rFonts w:ascii="仿宋_GB2312" w:hAnsi="仿宋"/>
          <w:szCs w:val="28"/>
        </w:rPr>
        <w:t xml:space="preserve">76</w:t>
      </w:r>
      <w:r>
        <w:rPr>
          <w:rFonts w:ascii="仿宋_GB2312" w:hAnsi="仿宋" w:hint="eastAsia"/>
          <w:szCs w:val="28"/>
        </w:rPr>
        <w:t xml:space="preserve">号）和《项目支出绩效评价管理办法》（财预〔20</w:t>
      </w:r>
      <w:r>
        <w:rPr>
          <w:rFonts w:ascii="仿宋_GB2312" w:hAnsi="仿宋"/>
          <w:szCs w:val="28"/>
        </w:rPr>
        <w:t xml:space="preserve">20</w:t>
      </w:r>
      <w:r>
        <w:rPr>
          <w:rFonts w:ascii="仿宋_GB2312" w:hAnsi="仿宋" w:hint="eastAsia"/>
          <w:szCs w:val="28"/>
        </w:rPr>
        <w:t xml:space="preserve">〕</w:t>
      </w:r>
      <w:r>
        <w:rPr>
          <w:rFonts w:ascii="仿宋_GB2312" w:hAnsi="仿宋"/>
          <w:szCs w:val="28"/>
        </w:rPr>
        <w:t xml:space="preserve">10</w:t>
      </w:r>
      <w:r>
        <w:rPr>
          <w:rFonts w:ascii="仿宋_GB2312" w:hAnsi="仿宋" w:hint="eastAsia"/>
          <w:szCs w:val="28"/>
        </w:rPr>
        <w:t xml:space="preserve">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成本指标、效益指标、满意度指标），以准确、清晰地反映财政资金在使用期所能达到的预期产出和效果。</w:t>
      </w:r>
    </w:p>
    <w:p>
      <w:pPr>
        <w:spacing w:line="360" w:lineRule="auto"/>
        <w:ind w:firstLine="560"/>
        <w:rPr>
          <w:rFonts w:ascii="仿宋_GB2312" w:hAnsi="仿宋"/>
          <w:szCs w:val="28"/>
        </w:rPr>
      </w:pPr>
      <w:r>
        <w:rPr>
          <w:rFonts w:ascii="仿宋_GB2312" w:hAnsi="仿宋" w:hint="eastAsia"/>
          <w:szCs w:val="28"/>
        </w:rPr>
        <w:t xml:space="preserve">该项目为</w:t>
      </w:r>
      <w:r>
        <w:rPr>
          <w:rFonts w:ascii="仿宋_GB2312" w:hAnsi="仿宋"/>
          <w:szCs w:val="28"/>
        </w:rPr>
        <w:t xml:space="preserve">当年一次性项目。</w:t>
      </w:r>
    </w:p>
    <w:p>
      <w:pPr>
        <w:spacing w:line="360" w:lineRule="auto"/>
        <w:ind w:firstLine="560"/>
        <w:rPr>
          <w:rFonts w:ascii="仿宋_GB2312" w:hAnsi="仿宋"/>
          <w:szCs w:val="28"/>
        </w:rPr>
      </w:pPr>
      <w:r>
        <w:rPr>
          <w:rFonts w:ascii="仿宋_GB2312" w:hAnsi="仿宋" w:hint="eastAsia"/>
          <w:szCs w:val="28"/>
        </w:rPr>
        <w:t xml:space="preserve">该项目总体绩效目标：专项调查对乌鲁木齐市所辖七区一县的主要城市绿化树以及木材市场等地，通过悬挂信息素诱捕器和人工踏查对白蜡窄吉丁、苹果小吉丁、苹果蠹蛾进行发生危害情况专项调查。共调查街道506条、小区庭院及单位庭院1403个、公园游园30个、苗圃基地1个、防护林2个。掌握乌鲁木齐市近年来重大危险性林业有害生物入侵基本情况及主要病虫害的发生分布和危害情况，建立乌鲁木齐市林业有害生物数据库，抵御防范林业外来有害生物入侵。</w:t>
      </w:r>
    </w:p>
    <w:p>
      <w:pPr>
        <w:pStyle w:val="Heading1"/>
        <w:ind w:firstLine="0" w:firstLineChars="0"/>
        <w:jc w:val="left"/>
        <w:rPr>
          <w:rFonts w:ascii="仿宋" w:eastAsia="仿宋" w:hAnsi="仿宋"/>
          <w:sz w:val="36"/>
          <w:szCs w:val="36"/>
          <w:lang w:bidi="en-US"/>
        </w:rPr>
      </w:pPr>
      <w:bookmarkStart w:id="10" w:name="_Toc67911604"/>
      <w:bookmarkStart w:id="11" w:name="_Toc165277225"/>
      <w:r>
        <w:rPr>
          <w:rFonts w:ascii="仿宋" w:eastAsia="仿宋" w:hAnsi="仿宋" w:hint="eastAsia"/>
          <w:sz w:val="36"/>
          <w:szCs w:val="36"/>
          <w:lang w:bidi="en-US"/>
        </w:rPr>
        <w:t xml:space="preserve">二、绩效评价工作开展情况</w:t>
      </w:r>
      <w:bookmarkEnd w:id="10"/>
      <w:bookmarkEnd w:id="11"/>
    </w:p>
    <w:p>
      <w:pPr>
        <w:pStyle w:val="Heading2"/>
        <w:ind w:firstLine="643"/>
        <w:rPr>
          <w:rFonts w:ascii="仿宋" w:eastAsia="仿宋" w:hAnsi="仿宋"/>
          <w:lang w:bidi="en-US"/>
        </w:rPr>
      </w:pPr>
      <w:bookmarkStart w:id="12" w:name="_Toc67911605"/>
      <w:bookmarkStart w:id="13" w:name="_Toc165277226"/>
      <w:r>
        <w:rPr>
          <w:rFonts w:ascii="仿宋" w:eastAsia="仿宋" w:hAnsi="仿宋" w:hint="eastAsia"/>
          <w:lang w:bidi="en-US"/>
        </w:rPr>
        <w:t xml:space="preserve">（一）绩效评价目的、对象和范围</w:t>
      </w:r>
      <w:bookmarkEnd w:id="12"/>
      <w:bookmarkEnd w:id="13"/>
    </w:p>
    <w:p>
      <w:pPr>
        <w:pStyle w:val="Heading3"/>
        <w:ind w:firstLine="643"/>
      </w:pPr>
      <w:bookmarkStart w:id="14" w:name="_Toc165277227"/>
      <w:r>
        <w:rPr>
          <w:rFonts w:hint="eastAsia"/>
        </w:rPr>
        <w:t xml:space="preserve">1</w:t>
      </w:r>
      <w:r>
        <w:t xml:space="preserve">.绩效评价完整性</w:t>
      </w:r>
      <w:bookmarkEnd w:id="14"/>
    </w:p>
    <w:p>
      <w:pPr>
        <w:spacing w:line="360" w:lineRule="auto"/>
        <w:ind w:firstLine="560"/>
        <w:rPr>
          <w:rFonts w:ascii="仿宋_GB2312" w:hAnsi="仿宋"/>
          <w:szCs w:val="28"/>
        </w:rPr>
      </w:pPr>
      <w:r>
        <w:rPr>
          <w:rFonts w:ascii="仿宋_GB2312" w:hAnsi="仿宋" w:hint="eastAsia"/>
          <w:szCs w:val="28"/>
        </w:rPr>
        <w:t xml:space="preserve">根据《关于提前下达2024年中央林业草原生态保护恢复资金建设任务的通知》（新林规字〔2023〕212号）文件精神和通知，乌鲁木齐市2024年重大林业有害生专项调查项目的目标为2023年12月31日前完成七区一县建城区绿化、道路绿化区、公园、林场及苗圃等绿化区内的所有白蜡窄吉丁、苹果小吉丁、苹果蠹蛾寄主树种调查工作。针对项目完成内容制定项目绩效，主要以调查种类、有害生物监测调查种类准确、有害生物专项调查任务完成率、在害生物监测覆盖率、购置信息素诱捕器和调查工具和监测调查服务委托业务费的成本范围为绩效目标，能够完整体现项目调查进度及调查质量。</w:t>
      </w:r>
    </w:p>
    <w:p>
      <w:pPr>
        <w:spacing w:line="360" w:lineRule="auto"/>
        <w:ind w:firstLine="560"/>
        <w:rPr>
          <w:rFonts w:ascii="仿宋_GB2312" w:hAnsi="仿宋"/>
          <w:szCs w:val="28"/>
        </w:rPr>
      </w:pPr>
      <w:r>
        <w:rPr>
          <w:rFonts w:ascii="仿宋_GB2312" w:hAnsi="仿宋" w:hint="eastAsia"/>
          <w:szCs w:val="28"/>
        </w:rPr>
        <w:t xml:space="preserve">本项目于2024年1月12日完成项目实施方案的批复，2024年5月15日、16日完成外业调查服务、调查专用材料的招标工作，经对中标单位中标金额核算，外业调查服务24万元，调查专用材料16万元。项目建设任务按计划有序进行，项目任务完成后，由项目主管单位和项目实施单位共同进行验收，2024年11月25日，完成重大林业有害生物专项调查项目验收工作。</w:t>
      </w:r>
    </w:p>
    <w:p>
      <w:pPr>
        <w:spacing w:line="360" w:lineRule="auto"/>
        <w:ind w:firstLine="560"/>
        <w:rPr>
          <w:rFonts w:ascii="仿宋_GB2312" w:hAnsi="仿宋"/>
          <w:szCs w:val="28"/>
        </w:rPr>
      </w:pPr>
      <w:r>
        <w:rPr>
          <w:rFonts w:ascii="仿宋_GB2312" w:hAnsi="仿宋" w:hint="eastAsia"/>
          <w:szCs w:val="28"/>
        </w:rPr>
        <w:t xml:space="preserve">项目评价数据基于已完成调查内容，调查种类、监测覆盖率以项目验收单、高校教授审核过的重大林业有害生物专项调查总结报告为依据、购置信息素诱捕器和调查工具、监测调查服务委托业务费以国库集中支付凭证为依据。</w:t>
      </w:r>
    </w:p>
    <w:p>
      <w:pPr>
        <w:pStyle w:val="Heading3"/>
        <w:ind w:firstLine="643"/>
      </w:pPr>
      <w:bookmarkStart w:id="15" w:name="_Toc165277228"/>
      <w:r>
        <w:t xml:space="preserve">2</w:t>
      </w:r>
      <w:r>
        <w:rPr>
          <w:rFonts w:hint="eastAsia"/>
        </w:rPr>
        <w:t xml:space="preserve">.评价目的</w:t>
      </w:r>
      <w:bookmarkEnd w:id="15"/>
    </w:p>
    <w:p>
      <w:pPr>
        <w:spacing w:line="360" w:lineRule="auto"/>
        <w:ind w:firstLine="560"/>
        <w:rPr>
          <w:rFonts w:ascii="仿宋_GB2312"/>
        </w:rPr>
      </w:pPr>
      <w:r>
        <w:rPr>
          <w:rFonts w:ascii="仿宋_GB2312" w:hint="eastAsia"/>
        </w:rPr>
        <w:t xml:space="preserve">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关于提前下达2024年中央林业草原生态保护恢复资金的通知（乌鲁木齐市重大林业有害生物专项调查）</w:t>
      </w:r>
      <w:r>
        <w:rPr>
          <w:rFonts w:ascii="仿宋_GB2312"/>
        </w:rPr>
        <w:t xml:space="preserve">项目的</w:t>
      </w:r>
      <w:r>
        <w:rPr>
          <w:rFonts w:ascii="仿宋_GB2312" w:hint="eastAsia"/>
        </w:rPr>
        <w:t xml:space="preserve">实施情况，并考察项目实施过程和效果。</w:t>
      </w:r>
    </w:p>
    <w:p>
      <w:pPr>
        <w:spacing w:line="360" w:lineRule="auto"/>
        <w:ind w:firstLine="560"/>
        <w:rPr>
          <w:rFonts w:ascii="仿宋_GB2312"/>
          <w:b/>
          <w:bCs/>
        </w:rPr>
      </w:pPr>
      <w:r>
        <w:rPr>
          <w:rFonts w:ascii="仿宋_GB2312" w:hint="eastAsia"/>
        </w:rPr>
        <w:t xml:space="preserve">（2）通过评价，客观公正反映项目立项科学性、项目管理规范性、项目实施有效性和项目效果，总结项目实施的经验，发现项目实施过程中存在的问题，提高财政资金使用效益。</w:t>
      </w:r>
    </w:p>
    <w:p>
      <w:pPr>
        <w:pStyle w:val="Heading3"/>
        <w:ind w:firstLine="643"/>
      </w:pPr>
      <w:bookmarkStart w:id="16" w:name="_Toc165277229"/>
      <w:r>
        <w:t xml:space="preserve">3</w:t>
      </w:r>
      <w:r>
        <w:rPr>
          <w:rFonts w:hint="eastAsia"/>
        </w:rPr>
        <w:t xml:space="preserve">.评价对象</w:t>
      </w:r>
      <w:bookmarkEnd w:id="16"/>
    </w:p>
    <w:p>
      <w:pPr>
        <w:spacing w:line="360" w:lineRule="auto"/>
        <w:ind w:firstLine="560"/>
        <w:rPr>
          <w:rFonts w:ascii="仿宋_GB2312"/>
        </w:rPr>
      </w:pPr>
      <w:r>
        <w:rPr>
          <w:rFonts w:ascii="仿宋_GB2312" w:hint="eastAsia"/>
        </w:rPr>
        <w:t xml:space="preserve">（1）绩效评价的对象：关于提前下达2024年中央林业草原生态保护恢复资金的通知（乌鲁木齐市重大林业有害生物专项调查）</w:t>
      </w:r>
    </w:p>
    <w:p>
      <w:pPr>
        <w:pStyle w:val="Heading3"/>
        <w:ind w:firstLine="643"/>
      </w:pPr>
      <w:bookmarkStart w:id="17" w:name="_Toc165277230"/>
      <w:r>
        <w:rPr>
          <w:rFonts w:hint="eastAsia"/>
        </w:rPr>
        <w:t xml:space="preserve">4</w:t>
      </w:r>
      <w:r>
        <w:t xml:space="preserve">.</w:t>
      </w:r>
      <w:r>
        <w:rPr>
          <w:rFonts w:hint="eastAsia"/>
        </w:rPr>
        <w:t xml:space="preserve">绩效评价范围</w:t>
      </w:r>
      <w:bookmarkEnd w:id="17"/>
    </w:p>
    <w:p>
      <w:pPr>
        <w:spacing w:line="360" w:lineRule="auto"/>
        <w:ind w:firstLine="560"/>
        <w:rPr>
          <w:rFonts w:ascii="仿宋_GB2312"/>
        </w:rPr>
      </w:pPr>
      <w:r>
        <w:rPr>
          <w:rFonts w:ascii="仿宋_GB2312"/>
        </w:rPr>
        <w:t xml:space="preserve">1.</w:t>
      </w:r>
      <w:r>
        <w:rPr>
          <w:rFonts w:ascii="仿宋_GB2312" w:hint="eastAsia"/>
        </w:rPr>
        <w:t xml:space="preserve">时间范围：2024年1月1日至2024年12月31日。</w:t>
      </w:r>
    </w:p>
    <w:p>
      <w:pPr>
        <w:spacing w:line="360" w:lineRule="auto"/>
        <w:ind w:firstLine="560"/>
        <w:rPr>
          <w:rFonts w:ascii="仿宋_GB2312"/>
        </w:rPr>
      </w:pPr>
      <w:r>
        <w:rPr>
          <w:rFonts w:ascii="仿宋_GB2312" w:hint="eastAsia"/>
        </w:rPr>
        <w:t xml:space="preserve">2.项目范围：乌鲁木齐市重大林业有害生物专项调查项目，总投资40万元，全部为中央林业草原生态保护恢复资金。本项目按照指向明确、细化量化、合理可行和相应匹配的要求，设定 "</w:t>
      </w:r>
      <w:r>
        <w:rPr>
          <w:rFonts w:ascii="仿宋_GB2312" w:hint="eastAsia"/>
          <w:lang w:eastAsia="zh-CN"/>
        </w:rPr>
        <w:t xml:space="preserve">调查种类、有害生物监测调查种类、有害生物专项调查完成率等</w:t>
      </w:r>
      <w:r>
        <w:rPr>
          <w:rFonts w:ascii="仿宋_GB2312" w:hint="eastAsia"/>
        </w:rPr>
        <w:t xml:space="preserve">"，以准确、清晰地反映财政资金在</w:t>
      </w:r>
      <w:r>
        <w:rPr>
          <w:rFonts w:ascii="仿宋_GB2312" w:hint="eastAsia"/>
          <w:lang w:eastAsia="zh-CN"/>
        </w:rPr>
        <w:t xml:space="preserve">乌鲁木齐市重大林业有害生物专项调查项目</w:t>
      </w:r>
      <w:r>
        <w:rPr>
          <w:rFonts w:ascii="仿宋_GB2312" w:hint="eastAsia"/>
        </w:rPr>
        <w:t xml:space="preserve">所能达到的预期产出和效果。项目建设任务：专项调查对乌鲁木齐市所辖七区一县的主要城市绿化树以及木材市场等地，通过悬挂信息素诱捕器和人工踏查对白蜡窄吉丁、苹果小吉丁、苹果蠹蛾进行发生危害情况专项调查。全面掌握乌鲁木齐市近年来重大危险性林业有害生物入侵基本情况及主要病虫害的发生分布和危害情况，建立乌鲁木齐市林业有害生物数据库，抵御防范林业外来有害生物入侵。</w:t>
      </w:r>
    </w:p>
    <w:p>
      <w:pPr>
        <w:spacing w:line="360" w:lineRule="auto"/>
        <w:ind w:firstLine="560"/>
        <w:rPr>
          <w:rFonts w:ascii="仿宋_GB2312"/>
        </w:rPr>
      </w:pPr>
      <w:r>
        <w:rPr>
          <w:rFonts w:ascii="仿宋_GB2312" w:hint="eastAsia"/>
        </w:rPr>
        <w:t xml:space="preserve">项目产出情况及取得的效益情况：2023年11月25日，完成乌鲁木齐市所辖七区一县的主要城市绿化树以及木材市场等地，通过悬挂信息素诱捕器和人工踏查对白蜡窄吉丁、苹果小吉丁、苹果蠹蛾进行发生危害情况专项调查。项目执行资金40万元，执行率100</w:t>
      </w:r>
      <w:r>
        <w:rPr>
          <w:rFonts w:ascii="仿宋_GB2312"/>
        </w:rPr>
        <w:t xml:space="preserve">%</w:t>
      </w:r>
      <w:r>
        <w:rPr>
          <w:rFonts w:ascii="仿宋_GB2312" w:hint="eastAsia"/>
        </w:rPr>
        <w:t xml:space="preserve">。</w:t>
      </w:r>
    </w:p>
    <w:p>
      <w:pPr>
        <w:spacing w:line="360" w:lineRule="auto"/>
        <w:ind w:firstLine="560"/>
        <w:rPr>
          <w:rFonts w:ascii="仿宋_GB2312"/>
        </w:rPr>
      </w:pPr>
      <w:r>
        <w:rPr>
          <w:rFonts w:ascii="仿宋_GB2312" w:hint="eastAsia"/>
        </w:rPr>
        <w:t xml:space="preserve">通过项目的实施，全面掌握乌鲁木齐市近年来重大危险性林业有害生物入侵基本情况及主要病虫害的发生分布和危害情况，建立乌鲁木齐市林业有害生物数据库，抵御防范林业外来有害生物入侵。</w:t>
      </w:r>
    </w:p>
    <w:p>
      <w:pPr>
        <w:adjustRightInd w:val="0"/>
        <w:snapToGrid w:val="0"/>
        <w:spacing w:line="560" w:lineRule="exact"/>
        <w:ind w:firstLine="560"/>
        <w:rPr>
          <w:rFonts w:ascii="仿宋_GB2312"/>
        </w:rPr>
      </w:pPr>
      <w:r>
        <w:rPr>
          <w:rFonts w:ascii="仿宋_GB2312" w:hint="eastAsia"/>
        </w:rPr>
        <w:t xml:space="preserve">项目主要经验总结：绩效评价是一项系统性工作，需要具体负责项目绩效评价的项目管理科室推进工作。在项目论证初期，通过全面的调研和分析，明确项目目标和绩效指标，待资金下达，项目管理科室应当在整个项目周期内负责绩效评价的具体推进，包括建立有效的绩效评价体系，收集和分析关键数据，监测项目进展，并及时进行调整以确保项目目标的实现。</w:t>
      </w:r>
    </w:p>
    <w:p>
      <w:pPr>
        <w:adjustRightInd w:val="0"/>
        <w:snapToGrid w:val="0"/>
        <w:spacing w:line="560" w:lineRule="exact"/>
        <w:ind w:firstLine="560"/>
        <w:rPr>
          <w:rFonts w:ascii="仿宋_GB2312"/>
        </w:rPr>
      </w:pPr>
      <w:r>
        <w:rPr>
          <w:rFonts w:ascii="仿宋_GB2312" w:hint="eastAsia"/>
        </w:rPr>
        <w:t xml:space="preserve">因各类林业有害生物发生期不同，5月-12月白蜡窄吉丁、苹果小吉丁、苹果蠹蛾不是由卵、幼虫、蛹、成虫完整的生活史，在次年5月完整生活史结束前，其虫态不能完整调查。</w:t>
      </w:r>
    </w:p>
    <w:p>
      <w:pPr>
        <w:adjustRightInd w:val="0"/>
        <w:snapToGrid w:val="0"/>
        <w:spacing w:line="560" w:lineRule="exact"/>
        <w:ind w:firstLine="560"/>
        <w:rPr>
          <w:rFonts w:ascii="仿宋_GB2312"/>
        </w:rPr>
      </w:pPr>
      <w:r>
        <w:rPr>
          <w:rFonts w:ascii="仿宋_GB2312" w:hint="eastAsia"/>
        </w:rPr>
        <w:t xml:space="preserve">本项目绩效目标设置合理，符合客观实际，能够反映项目实施情况。资金分配与预算确定的项目投资金额相匹配，资金分配具有合理性。</w:t>
      </w:r>
    </w:p>
    <w:p>
      <w:pPr>
        <w:pStyle w:val="Heading2"/>
        <w:ind w:firstLine="643"/>
        <w:rPr>
          <w:rFonts w:ascii="仿宋" w:eastAsia="仿宋" w:hAnsi="仿宋"/>
          <w:lang w:bidi="en-US"/>
        </w:rPr>
      </w:pPr>
      <w:bookmarkStart w:id="18" w:name="_Toc67911606"/>
      <w:bookmarkStart w:id="19" w:name="_Toc165277231"/>
      <w:bookmarkStart w:id="20" w:name="_Hlk67586765"/>
      <w:r>
        <w:rPr>
          <w:rFonts w:ascii="仿宋" w:eastAsia="仿宋" w:hAnsi="仿宋" w:hint="eastAsia"/>
          <w:lang w:bidi="en-US"/>
        </w:rPr>
        <w:t xml:space="preserve">（二）绩效评价原则、指标体系、方法及标准</w:t>
      </w:r>
      <w:bookmarkEnd w:id="18"/>
      <w:bookmarkEnd w:id="19"/>
      <w:bookmarkEnd w:id="20"/>
    </w:p>
    <w:p>
      <w:pPr>
        <w:pStyle w:val="Heading3"/>
        <w:ind w:firstLine="643"/>
      </w:pPr>
      <w:bookmarkStart w:id="21" w:name="_Toc165277232"/>
      <w:r>
        <w:rPr>
          <w:rFonts w:hint="eastAsia"/>
        </w:rPr>
        <w:t xml:space="preserve">1</w:t>
      </w:r>
      <w:r>
        <w:t xml:space="preserve">.</w:t>
      </w:r>
      <w:r>
        <w:rPr>
          <w:rFonts w:hint="eastAsia"/>
        </w:rPr>
        <w:t xml:space="preserve">评价原则</w:t>
      </w:r>
      <w:bookmarkEnd w:id="21"/>
    </w:p>
    <w:p>
      <w:pPr>
        <w:adjustRightInd w:val="0"/>
        <w:snapToGrid w:val="0"/>
        <w:spacing w:line="560" w:lineRule="exact"/>
        <w:ind w:firstLine="560"/>
        <w:rPr>
          <w:rFonts w:ascii="仿宋_GB2312"/>
        </w:rPr>
      </w:pPr>
      <w:r>
        <w:rPr>
          <w:rFonts w:ascii="仿宋_GB2312" w:hint="eastAsia"/>
        </w:rPr>
        <w:t xml:space="preserve">（一）科学公正。绩效评价应当运用科学合理的方法，按照规范的程序，对项目绩效进行客观、公正的反映。</w:t>
      </w:r>
    </w:p>
    <w:p>
      <w:pPr>
        <w:adjustRightInd w:val="0"/>
        <w:snapToGrid w:val="0"/>
        <w:spacing w:line="560" w:lineRule="exact"/>
        <w:ind w:firstLine="560"/>
        <w:rPr>
          <w:rFonts w:ascii="仿宋_GB2312"/>
        </w:rPr>
      </w:pPr>
      <w:r>
        <w:rPr>
          <w:rFonts w:ascii="仿宋_GB2312" w:hint="eastAsia"/>
        </w:rPr>
        <w:t xml:space="preserve">（二）统筹兼顾。单位自评、部门评价和财政评价应职责明确，各有侧重，相互衔接。单位自评应由项目单位自主实施，即“谁支出、谁自评”。部门评价和财政评价应在单位自评的基础上开展，必要时可委托第三方机构实施。</w:t>
      </w:r>
    </w:p>
    <w:p>
      <w:pPr>
        <w:adjustRightInd w:val="0"/>
        <w:snapToGrid w:val="0"/>
        <w:spacing w:line="560" w:lineRule="exact"/>
        <w:ind w:firstLine="560"/>
        <w:rPr>
          <w:rFonts w:ascii="仿宋_GB2312"/>
        </w:rPr>
      </w:pPr>
      <w:r>
        <w:rPr>
          <w:rFonts w:ascii="仿宋_GB2312" w:hint="eastAsia"/>
        </w:rPr>
        <w:t xml:space="preserve">（三）激励约束。绩效评价结果应与预算安排、政策调整、改进管理实质性挂钩，体现奖优罚劣和激励相容导向，有效要安排、低效要压减、无效要问责。</w:t>
      </w:r>
    </w:p>
    <w:p>
      <w:pPr>
        <w:adjustRightInd w:val="0"/>
        <w:snapToGrid w:val="0"/>
        <w:spacing w:line="560" w:lineRule="exact"/>
        <w:ind w:firstLine="560"/>
        <w:rPr>
          <w:rFonts w:ascii="仿宋_GB2312"/>
        </w:rPr>
      </w:pPr>
      <w:r>
        <w:rPr>
          <w:rFonts w:ascii="仿宋_GB2312" w:hint="eastAsia"/>
        </w:rPr>
        <w:t xml:space="preserve">（四）公开透明。绩效评价结果应依法依规公开，并自觉接受社会监督。</w:t>
      </w:r>
    </w:p>
    <w:p>
      <w:pPr>
        <w:pStyle w:val="Heading3"/>
        <w:ind w:firstLine="643"/>
      </w:pPr>
      <w:bookmarkStart w:id="22" w:name="_Toc165277233"/>
      <w:r>
        <w:t xml:space="preserve">2.</w:t>
      </w:r>
      <w:r>
        <w:rPr>
          <w:rFonts w:hint="eastAsia"/>
        </w:rPr>
        <w:t xml:space="preserve">评价指标体系</w:t>
      </w:r>
      <w:bookmarkEnd w:id="22"/>
    </w:p>
    <w:p>
      <w:pPr>
        <w:spacing w:line="360" w:lineRule="auto"/>
        <w:ind w:firstLine="560"/>
        <w:rPr>
          <w:rFonts w:ascii="仿宋_GB2312"/>
        </w:rPr>
      </w:pPr>
      <w:r>
        <w:rPr>
          <w:rFonts w:ascii="仿宋_GB2312" w:hint="eastAsia"/>
        </w:rPr>
        <w:t xml:space="preserve">绩效评价指标体系作为衡量绩效目标实现程度的考核工具，一般遵循以下原则：</w:t>
      </w:r>
    </w:p>
    <w:p>
      <w:pPr>
        <w:spacing w:line="360" w:lineRule="auto"/>
        <w:ind w:firstLine="560"/>
        <w:rPr>
          <w:rFonts w:ascii="仿宋_GB2312"/>
        </w:rPr>
      </w:pPr>
      <w:r>
        <w:rPr>
          <w:rFonts w:ascii="仿宋_GB2312" w:hint="eastAsia"/>
        </w:rPr>
        <w:t xml:space="preserve">（1）相关性原则：绩效评价指标应当与绩效目标有直接的联系，能够恰当反映目标的实现程度。</w:t>
      </w:r>
    </w:p>
    <w:p>
      <w:pPr>
        <w:spacing w:line="360" w:lineRule="auto"/>
        <w:ind w:firstLine="560"/>
        <w:rPr>
          <w:rFonts w:ascii="仿宋_GB2312"/>
        </w:rPr>
      </w:pPr>
      <w:r>
        <w:rPr>
          <w:rFonts w:ascii="仿宋_GB2312" w:hint="eastAsia"/>
        </w:rPr>
        <w:t xml:space="preserve">（2）重要性原则：应当优先使用最具评价对象代表性、最能反映评价要求的核心指标。</w:t>
      </w:r>
    </w:p>
    <w:p>
      <w:pPr>
        <w:spacing w:line="360" w:lineRule="auto"/>
        <w:ind w:firstLine="560"/>
        <w:rPr>
          <w:rFonts w:ascii="仿宋_GB2312"/>
        </w:rPr>
      </w:pPr>
      <w:r>
        <w:rPr>
          <w:rFonts w:ascii="仿宋_GB2312" w:hint="eastAsia"/>
        </w:rPr>
        <w:t xml:space="preserve">（3）可比性原则：对同类评价对象要设定共性的绩效评价指标，以便于评价结果可以相互比较。</w:t>
      </w:r>
    </w:p>
    <w:p>
      <w:pPr>
        <w:spacing w:line="360" w:lineRule="auto"/>
        <w:ind w:firstLine="560"/>
        <w:rPr>
          <w:rFonts w:ascii="仿宋_GB2312"/>
        </w:rPr>
      </w:pPr>
      <w:r>
        <w:rPr>
          <w:rFonts w:ascii="仿宋_GB2312" w:hint="eastAsia"/>
        </w:rPr>
        <w:t xml:space="preserve">（4）系统性原则：绩效评价指标的设置应当将定量指标与定性指标相结合，能系统反映财政支出所产生的社会效益、经济效益和可持续影响等。</w:t>
      </w:r>
    </w:p>
    <w:p>
      <w:pPr>
        <w:spacing w:line="360" w:lineRule="auto"/>
        <w:ind w:firstLine="560"/>
        <w:rPr>
          <w:rFonts w:ascii="仿宋_GB2312"/>
        </w:rPr>
      </w:pPr>
      <w:r>
        <w:rPr>
          <w:rFonts w:ascii="仿宋_GB2312" w:hint="eastAsia"/>
        </w:rPr>
        <w:t xml:space="preserve">（5）经济性原则：绩效评价指标设计应当通俗易懂、简便易行，数据的获得应当考虑现实条件和可操作性，符合成本效益原则。</w:t>
      </w:r>
    </w:p>
    <w:p>
      <w:pPr>
        <w:spacing w:line="360" w:lineRule="auto"/>
        <w:ind w:firstLine="560"/>
        <w:rPr>
          <w:rFonts w:ascii="仿宋_GB2312"/>
        </w:rPr>
      </w:pPr>
      <w:r>
        <w:rPr>
          <w:rFonts w:ascii="仿宋_GB2312" w:hint="eastAsia"/>
        </w:rPr>
        <w:t xml:space="preserve">本项目的评价指标体系建立如下表所示。</w:t>
      </w:r>
    </w:p>
    <w:p>
      <w:pPr>
        <w:spacing w:line="360" w:lineRule="auto"/>
        <w:ind w:firstLine="560"/>
        <w:rPr>
          <w:rFonts w:ascii="仿宋_GB2312"/>
        </w:rPr>
      </w:pPr>
    </w:p>
    <w:p>
      <w:pPr>
        <w:spacing w:line="360" w:lineRule="auto"/>
        <w:ind w:firstLine="560"/>
        <w:rPr>
          <w:rFonts w:ascii="仿宋_GB2312"/>
        </w:rPr>
      </w:pPr>
    </w:p>
    <w:p>
      <w:pPr>
        <w:spacing w:line="360" w:lineRule="auto"/>
        <w:ind w:firstLine="560"/>
        <w:rPr>
          <w:rFonts w:ascii="仿宋_GB2312"/>
        </w:rPr>
        <w:sectPr>
          <w:headerReference w:type="default" r:id="rId10"/>
          <w:footerReference w:type="default" r:id="rId11"/>
          <w:pgSz w:w="11906" w:h="16838" w:orient="portrait"/>
          <w:pgMar w:top="1440" w:right="1800" w:bottom="1440" w:left="1800" w:header="992" w:footer="992" w:gutter="0"/>
          <w:pgBorders/>
          <w:pgNumType w:start="1"/>
          <w:cols w:num="1" w:space="425">
            <w:col w:w="8306" w:space="425"/>
          </w:cols>
          <w:docGrid w:type="lines" w:linePitch="381" w:charSpace="0"/>
        </w:sectPr>
      </w:pPr>
    </w:p>
    <w:p>
      <w:pPr>
        <w:spacing w:line="360" w:lineRule="auto"/>
        <w:ind w:firstLine="0" w:firstLineChars="0"/>
        <w:jc w:val="center"/>
        <w:rPr>
          <w:rFonts w:ascii="仿宋_GB2312"/>
          <w:b/>
          <w:bCs/>
        </w:rPr>
      </w:pPr>
      <w:r>
        <w:rPr>
          <w:rFonts w:ascii="仿宋_GB2312" w:hint="eastAsia"/>
          <w:b/>
          <w:bCs/>
        </w:rPr>
        <w:t xml:space="preserve">项目支出绩效评价指标体系</w:t>
      </w:r>
    </w:p>
    <w:tbl>
      <w:tblPr>
        <w:tblStyle w:val="NormalTable"/>
        <w:tblW w:w="13895"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Look w:firstRow="0" w:lastRow="0" w:firstColumn="0" w:lastColumn="0" w:noHBand="1" w:noVBand="1"/>
      </w:tblPr>
      <w:tblGrid>
        <w:gridCol w:w="1155"/>
        <w:gridCol w:w="1199"/>
        <w:gridCol w:w="1411"/>
        <w:gridCol w:w="2789"/>
        <w:gridCol w:w="7341"/>
      </w:tblGrid>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92"/>
          <w:tblHeader/>
          <w:jc w:val="center"/>
        </w:trPr>
        <w:tc>
          <w:tcPr>
            <w:tcW w:w="1155"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一级指标</w:t>
            </w:r>
          </w:p>
        </w:tc>
        <w:tc>
          <w:tcPr>
            <w:tcW w:w="1199"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二级指标</w:t>
            </w:r>
          </w:p>
        </w:tc>
        <w:tc>
          <w:tcPr>
            <w:tcW w:w="1411"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三级指标</w:t>
            </w:r>
          </w:p>
        </w:tc>
        <w:tc>
          <w:tcPr>
            <w:tcW w:w="2789"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指标解释</w:t>
            </w:r>
          </w:p>
        </w:tc>
        <w:tc>
          <w:tcPr>
            <w:tcW w:w="7341"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指标说明</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318"/>
          <w:jc w:val="center"/>
        </w:trPr>
        <w:tc>
          <w:tcPr>
            <w:tcW w:w="1155"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决策</w:t>
            </w: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项目立项</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立项依据</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充分性</w:t>
            </w:r>
          </w:p>
        </w:tc>
        <w:tc>
          <w:tcPr>
            <w:tcW w:w="2789" w:type="dxa"/>
            <w:tcBorders>
              <w:tl2br w:val="nil"/>
              <w:tr2bl w:val="nil"/>
            </w:tcBorders>
            <w:shd w:val="clear" w:color="auto" w:fill="FFFFFF"/>
            <w:vAlign w:val="center"/>
          </w:tcPr>
          <w:p>
            <w:pPr>
              <w:widowControl/>
              <w:ind w:firstLine="0" w:firstLineChars="0"/>
              <w:rPr>
                <w:rFonts w:ascii="宋体" w:eastAsia="宋体" w:hAnsi="宋体" w:cs="宋体"/>
                <w:kern w:val="0"/>
                <w:sz w:val="22"/>
              </w:rPr>
            </w:pPr>
            <w:r>
              <w:rPr>
                <w:rFonts w:ascii="宋体" w:eastAsia="宋体" w:hAnsi="宋体" w:cs="宋体" w:hint="eastAsia"/>
                <w:kern w:val="0"/>
                <w:sz w:val="22"/>
              </w:rPr>
              <w:t xml:space="preserve">项目立项是否符合法律法规、相关政策、发展规划以及部门职责，用以反映和考核项目立项依据情况。</w:t>
            </w:r>
          </w:p>
        </w:tc>
        <w:tc>
          <w:tcPr>
            <w:tcW w:w="7341" w:type="dxa"/>
            <w:tcBorders>
              <w:tl2br w:val="nil"/>
              <w:tr2bl w:val="nil"/>
            </w:tcBorders>
            <w:shd w:val="clear" w:color="auto" w:fill="FFFFFF"/>
            <w:vAlign w:val="center"/>
          </w:tcPr>
          <w:p>
            <w:pPr>
              <w:widowControl/>
              <w:ind w:firstLine="0" w:firstLineChars="0"/>
              <w:jc w:val="left"/>
              <w:rPr>
                <w:rFonts w:ascii="宋体" w:eastAsia="宋体" w:hAnsi="宋体" w:cs="宋体"/>
                <w:kern w:val="0"/>
                <w:sz w:val="22"/>
              </w:rPr>
            </w:pPr>
            <w:r>
              <w:rPr>
                <w:rFonts w:ascii="宋体" w:eastAsia="宋体" w:hAnsi="宋体" w:cs="宋体" w:hint="eastAsia"/>
                <w:kern w:val="0"/>
                <w:sz w:val="22"/>
              </w:rPr>
              <w:t xml:space="preserve">评价要点：</w:t>
            </w:r>
            <w:r>
              <w:rPr>
                <w:rFonts w:ascii="宋体" w:eastAsia="宋体" w:hAnsi="宋体" w:cs="宋体" w:hint="eastAsia"/>
                <w:kern w:val="0"/>
                <w:sz w:val="22"/>
              </w:rPr>
              <w:br/>
            </w:r>
            <w:r>
              <w:rPr>
                <w:rFonts w:ascii="宋体" w:eastAsia="宋体" w:hAnsi="宋体" w:cs="宋体" w:hint="eastAsia"/>
                <w:kern w:val="0"/>
                <w:sz w:val="22"/>
              </w:rPr>
              <w:t xml:space="preserve">①项目立项是否符合国家法律法规、国民经济发展规划和相关政策；</w:t>
            </w:r>
            <w:r>
              <w:rPr>
                <w:rFonts w:ascii="宋体" w:eastAsia="宋体" w:hAnsi="宋体" w:cs="宋体" w:hint="eastAsia"/>
                <w:kern w:val="0"/>
                <w:sz w:val="22"/>
              </w:rPr>
              <w:br/>
            </w:r>
            <w:r>
              <w:rPr>
                <w:rFonts w:ascii="宋体" w:eastAsia="宋体" w:hAnsi="宋体" w:cs="宋体" w:hint="eastAsia"/>
                <w:kern w:val="0"/>
                <w:sz w:val="22"/>
              </w:rPr>
              <w:t xml:space="preserve">②项目立项是否符合行业发展规划和政策要求；</w:t>
            </w:r>
            <w:r>
              <w:rPr>
                <w:rFonts w:ascii="宋体" w:eastAsia="宋体" w:hAnsi="宋体" w:cs="宋体" w:hint="eastAsia"/>
                <w:kern w:val="0"/>
                <w:sz w:val="22"/>
              </w:rPr>
              <w:br/>
            </w:r>
            <w:r>
              <w:rPr>
                <w:rFonts w:ascii="宋体" w:eastAsia="宋体" w:hAnsi="宋体" w:cs="宋体" w:hint="eastAsia"/>
                <w:kern w:val="0"/>
                <w:sz w:val="22"/>
              </w:rPr>
              <w:t xml:space="preserve">③项目立项是否与部门职责范围相符，</w:t>
            </w:r>
            <w:r>
              <w:rPr>
                <w:rFonts w:ascii="宋体" w:eastAsia="宋体" w:hAnsi="宋体" w:cs="宋体" w:hint="eastAsia"/>
                <w:kern w:val="0"/>
                <w:sz w:val="22"/>
                <w:lang w:val="en-US" w:eastAsia="zh-CN"/>
              </w:rPr>
              <w:t xml:space="preserve">属于部门</w:t>
            </w:r>
            <w:r>
              <w:rPr>
                <w:rFonts w:ascii="宋体" w:eastAsia="宋体" w:hAnsi="宋体" w:cs="宋体" w:hint="eastAsia"/>
                <w:kern w:val="0"/>
                <w:sz w:val="22"/>
              </w:rPr>
              <w:t xml:space="preserve">履职所需；</w:t>
            </w:r>
            <w:r>
              <w:rPr>
                <w:rFonts w:ascii="宋体" w:eastAsia="宋体" w:hAnsi="宋体" w:cs="宋体" w:hint="eastAsia"/>
                <w:kern w:val="0"/>
                <w:sz w:val="22"/>
              </w:rPr>
              <w:br/>
            </w:r>
            <w:r>
              <w:rPr>
                <w:rFonts w:ascii="宋体" w:eastAsia="宋体" w:hAnsi="宋体" w:cs="宋体" w:hint="eastAsia"/>
                <w:kern w:val="0"/>
                <w:sz w:val="22"/>
              </w:rPr>
              <w:t xml:space="preserve">④项目是否属于公共财政支持范围，是否符合中央、地方事权支出责任划分原则；</w:t>
            </w:r>
            <w:r>
              <w:rPr>
                <w:rFonts w:ascii="宋体" w:eastAsia="宋体" w:hAnsi="宋体" w:cs="宋体" w:hint="eastAsia"/>
                <w:kern w:val="0"/>
                <w:sz w:val="22"/>
              </w:rPr>
              <w:br/>
            </w:r>
            <w:r>
              <w:rPr>
                <w:rFonts w:ascii="宋体" w:eastAsia="宋体" w:hAnsi="宋体" w:cs="宋体" w:hint="eastAsia"/>
                <w:kern w:val="0"/>
                <w:sz w:val="22"/>
              </w:rPr>
              <w:t xml:space="preserve">⑤项目是否与相关部门同类项目或部门内部相关项目重复。</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640"/>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立项程序</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规范性</w:t>
            </w:r>
          </w:p>
        </w:tc>
        <w:tc>
          <w:tcPr>
            <w:tcW w:w="278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项目申请、设立过程是否符合相关要求，用以反映和考核项目立项的规范情况。</w:t>
            </w:r>
          </w:p>
        </w:tc>
        <w:tc>
          <w:tcPr>
            <w:tcW w:w="7341" w:type="dxa"/>
            <w:tcBorders>
              <w:tl2br w:val="nil"/>
              <w:tr2bl w:val="nil"/>
            </w:tcBorders>
            <w:shd w:val="clear" w:color="auto" w:fill="FFFFFF"/>
            <w:vAlign w:val="center"/>
          </w:tcPr>
          <w:p>
            <w:pPr>
              <w:widowControl/>
              <w:ind w:firstLine="0" w:firstLineChars="0"/>
              <w:jc w:val="left"/>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①项目是否按照规定的程序申请设立；</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②审批文件、材料是否符合相关要求；</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③事前是否已经过必要的可行性研究、专家论证、风险评估、绩效评估、集体决策。</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919"/>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绩效目标</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绩效目标</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合理性</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项目所设定的绩效目标是否依据充分，是否符合客观实际，用以反映和考核项目绩效目标与项目实施的相符情况。</w:t>
            </w:r>
          </w:p>
        </w:tc>
        <w:tc>
          <w:tcPr>
            <w:tcW w:w="7341" w:type="dxa"/>
            <w:tcBorders>
              <w:tl2br w:val="nil"/>
              <w:tr2bl w:val="nil"/>
            </w:tcBorders>
            <w:shd w:val="clear" w:color="000000" w:fill="FFFFFF"/>
            <w:vAlign w:val="center"/>
          </w:tcPr>
          <w:p>
            <w:pPr>
              <w:widowControl/>
              <w:ind w:firstLine="0" w:firstLineChars="0"/>
              <w:jc w:val="left"/>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（如未设定预算绩效目标，也可考核其他工作任务目标）</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①项目是否有绩效目标；</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②项目绩效目标与实际工作内容是否具有相关性；</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③项目预期产出效益和效果是否符合正常的业绩水平；</w:t>
            </w:r>
          </w:p>
          <w:p>
            <w:pPr>
              <w:widowControl/>
              <w:ind w:firstLine="0" w:firstLineChars="0"/>
              <w:jc w:val="left"/>
              <w:rPr>
                <w:rFonts w:ascii="宋体" w:eastAsia="宋体" w:hAnsi="宋体" w:cs="宋体"/>
                <w:color w:val="000000"/>
                <w:kern w:val="0"/>
                <w:sz w:val="22"/>
              </w:rPr>
            </w:pPr>
            <w:r>
              <w:rPr>
                <w:rFonts w:ascii="宋体" w:eastAsia="宋体" w:hAnsi="宋体" w:cs="宋体" w:hint="eastAsia"/>
                <w:color w:val="000000"/>
                <w:kern w:val="0"/>
                <w:sz w:val="22"/>
              </w:rPr>
              <w:t xml:space="preserve">④是否与预算确定的项目投资额或资金量相匹配。</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64"/>
          <w:jc w:val="center"/>
        </w:trPr>
        <w:tc>
          <w:tcPr>
            <w:tcW w:w="1155"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决策</w:t>
            </w: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绩效目标</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绩效指标</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明确性</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依据绩效目标设定的绩效指标是否清晰、细化、可衡量等，用以反映和考核项目绩效目标的明细化情况。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①是否将项目绩效目标细化分解为具体的绩效指标；</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②是否通过清晰、可衡量的指标值予以体现；</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③是否与项目目标任务数或计划数相对应。</w:t>
            </w:r>
            <w:r>
              <w:rPr>
                <w:rFonts w:ascii="宋体" w:eastAsia="宋体" w:hAnsi="宋体" w:cs="宋体" w:hint="eastAsia"/>
                <w:color w:val="000000"/>
                <w:kern w:val="0"/>
                <w:sz w:val="22"/>
              </w:rPr>
              <w:br/>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942"/>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资金投入</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预算编制</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科学性</w:t>
            </w:r>
          </w:p>
        </w:tc>
        <w:tc>
          <w:tcPr>
            <w:tcW w:w="278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项目预算编制是否经过科学论证、有明确标准，资金额度与年度目标是否相适应，用以反映和考核项目预算编制的科学性、合理性情况。</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①预算编制是否经过科学论证；</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②预算内容与项目内容是否匹配；</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③预算额度测算依据是否充分，是否按照标准编制；</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④预算确定的项目投资额或资金量是否与工作任务相匹配。</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06"/>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资金分配</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合理性</w:t>
            </w:r>
          </w:p>
        </w:tc>
        <w:tc>
          <w:tcPr>
            <w:tcW w:w="278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项目预算资金分配是否有测算依据，与补助单位或地方实际是否相适应，用以反映和考核项目预算资金分配的科学性、合理性情况。</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①预算资金分配依据是否充分；</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②资金分配额度是否合理，与项目单位或地方实际是否相适应。</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15"/>
          <w:jc w:val="center"/>
        </w:trPr>
        <w:tc>
          <w:tcPr>
            <w:tcW w:w="1155" w:type="dxa"/>
            <w:vMerge w:val="restart"/>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过程</w:t>
            </w: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资金管理</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资金到位率</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实际到位资金与预算资金的比率，用以反映和考核资金落实情况对项目实施的总体保障程度。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资金到位率=（实际到位资金/预算资金）×100%。</w:t>
            </w:r>
          </w:p>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实际到位资金：一定时期（本年度或项目期）内落实到具体项目的资金。</w:t>
            </w:r>
          </w:p>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预算资金：一定时期（本年度或项目期）内预算安排到具体项目的资金。</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320"/>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预算执行率</w:t>
            </w:r>
          </w:p>
        </w:tc>
        <w:tc>
          <w:tcPr>
            <w:tcW w:w="278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项目预算资金是否按照计划执行，用以反映或考核项目预算执行情况。</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预算执行率=（实际支出资金/实际到位资金）×100%。</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实际支出资金：一定时期（本年度或项目期）内项目实际拨付的资金。</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076"/>
          <w:jc w:val="center"/>
        </w:trPr>
        <w:tc>
          <w:tcPr>
            <w:tcW w:w="1155" w:type="dxa"/>
            <w:vMerge w:val="restart"/>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过程</w:t>
            </w: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资金管理</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资金使用</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合规性</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项目资金使用是否符合相关的财务管理制度规定，用以反映和考核项目资金的规范运行情况。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①是否符合国家财经法规和财务管理制度以及有关专项资金管理办法的规定；</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②资金的拨付是否有完整的审批程序和手续；</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③是否符合项目预算批复或合同规定的用途；</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④是否存在截留、挤占、挪用、虚列支出等情况。</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97"/>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组织实施</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管理制度</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健全性</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项目实施单位的财务和业务管理制度是否健全，用以反映和考核财务和业务管理制度对项目顺利实施的保障情况。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①是否已制定或具有相应的财务和业务管理制度；</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②财务和业务管理制度是否合法、合规、完整。</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69"/>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制度执行</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有效性</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项目实施是否符合相关管理规定，用以反映和考核相关管理制度的有效执行情况。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①是否遵守相关法律法规和相关管理规定；</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②项目调整及支出调整手续是否完备；</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③项目合同书、验收报告、技术鉴定等资料是否齐全并及时归档；</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④项目实施的人员条件、场地设备、信息支撑等是否落实到位。</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40"/>
          <w:jc w:val="center"/>
        </w:trPr>
        <w:tc>
          <w:tcPr>
            <w:tcW w:w="1155"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产出</w:t>
            </w:r>
          </w:p>
          <w:p>
            <w:pPr>
              <w:widowControl/>
              <w:ind w:firstLine="0" w:firstLineChars="0"/>
              <w:jc w:val="center"/>
              <w:rPr>
                <w:rFonts w:ascii="宋体" w:eastAsia="宋体" w:hAnsi="宋体" w:cs="宋体"/>
                <w:color w:val="000000"/>
                <w:kern w:val="0"/>
                <w:sz w:val="22"/>
              </w:rPr>
            </w:pP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产出数量</w:t>
            </w:r>
          </w:p>
        </w:tc>
        <w:tc>
          <w:tcPr>
            <w:tcW w:w="1411" w:type="dxa"/>
            <w:tcBorders>
              <w:tl2br w:val="nil"/>
              <w:tr2bl w:val="nil"/>
            </w:tcBorders>
            <w:shd w:val="clear" w:color="auto" w:fill="FFFFFF"/>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调查种类</w:t>
            </w:r>
          </w:p>
        </w:tc>
        <w:tc>
          <w:tcPr>
            <w:tcW w:w="2789" w:type="dxa"/>
            <w:vMerge w:val="restart"/>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项目实施的实际产出数与计划产出数的比率，用以反映和考核项目产出数量目标的实现程度。</w:t>
            </w:r>
          </w:p>
        </w:tc>
        <w:tc>
          <w:tcPr>
            <w:tcW w:w="7341" w:type="dxa"/>
            <w:vMerge w:val="restart"/>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实际完成率=（实际产出数/计划产出数）×100%。</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实际产出数：一定时期（本年度或项目期）内项目实际产出的产品或提供的服务数量。</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计划产出数：项目绩效目标确定的在一定时期（本年度或项目期）内计划产出的产品或提供的服务数量。</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40"/>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411" w:type="dxa"/>
            <w:tcBorders>
              <w:tl2br w:val="nil"/>
              <w:tr2bl w:val="nil"/>
            </w:tcBorders>
            <w:shd w:val="clear" w:color="auto" w:fill="FFFFFF"/>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有害生物监测调查种类准确</w:t>
            </w:r>
          </w:p>
        </w:tc>
        <w:tc>
          <w:tcPr>
            <w:tcW w:w="2789"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c>
          <w:tcPr>
            <w:tcW w:w="7341"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40"/>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411" w:type="dxa"/>
            <w:tcBorders>
              <w:tl2br w:val="nil"/>
              <w:tr2bl w:val="nil"/>
            </w:tcBorders>
            <w:shd w:val="clear" w:color="auto" w:fill="FFFFFF"/>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有害生物专项调查任务完成率</w:t>
            </w:r>
          </w:p>
        </w:tc>
        <w:tc>
          <w:tcPr>
            <w:tcW w:w="2789"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c>
          <w:tcPr>
            <w:tcW w:w="7341"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18"/>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tcBorders>
              <w:bottom w:val="single" w:sz="4" w:space="0" w:color="auto"/>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产出质量</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在害生物监测覆盖率（%）</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项目完成的质量达标产出数与实际产出数的比率，用以反映和考核项目产出质量目标的实现程度。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质量达标率=（质量达标产出数/实际产出数）×100%。</w:t>
            </w:r>
          </w:p>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18"/>
          <w:jc w:val="center"/>
        </w:trPr>
        <w:tc>
          <w:tcPr>
            <w:tcW w:w="1155" w:type="dxa"/>
            <w:vMerge/>
            <w:tcBorders>
              <w:bottom w:val="single" w:sz="4" w:space="0" w:color="auto"/>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tcBorders>
              <w:bottom w:val="single" w:sz="4" w:space="0" w:color="auto"/>
              <w:tl2br w:val="nil"/>
              <w:tr2bl w:val="nil"/>
            </w:tcBorders>
            <w:shd w:val="clear" w:color="auto" w:fill="FFFFFF"/>
            <w:vAlign w:val="center"/>
          </w:tcPr>
          <w:p>
            <w:pPr>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产出时效</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项目实际</w:t>
            </w:r>
            <w:r>
              <w:rPr>
                <w:rFonts w:ascii="宋体" w:eastAsia="宋体" w:hAnsi="宋体" w:cs="宋体"/>
                <w:color w:val="000000"/>
                <w:kern w:val="0"/>
                <w:sz w:val="22"/>
              </w:rPr>
              <w:t xml:space="preserve">完成时限</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项目实际完成时间与计划完成时间的比较，用以反映和考核项目产出时效目标的实现程度。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实际完成时间：项目实施单位完成该项目实际所耗用的时间。</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计划完成时间：按照项目实施计划或相关规定完成该项目所需的时间。</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153"/>
          <w:jc w:val="center"/>
        </w:trPr>
        <w:tc>
          <w:tcPr>
            <w:tcW w:w="1155" w:type="dxa"/>
            <w:vMerge w:val="restart"/>
            <w:tcBorders>
              <w:top w:val="single" w:sz="4" w:space="0" w:color="auto"/>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vMerge w:val="restart"/>
            <w:tcBorders>
              <w:top w:val="single" w:sz="4" w:space="0" w:color="auto"/>
              <w:bottom w:val="single" w:sz="4" w:space="0" w:color="auto"/>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产出成本</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购置信息素诱捕器和调查工具</w:t>
            </w:r>
          </w:p>
        </w:tc>
        <w:tc>
          <w:tcPr>
            <w:tcW w:w="2789" w:type="dxa"/>
            <w:vMerge w:val="restart"/>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完成项目计划工作目标的实际节约成本与计划成本的比率，用以反映和考核项目的成本节约程度。</w:t>
            </w:r>
          </w:p>
        </w:tc>
        <w:tc>
          <w:tcPr>
            <w:tcW w:w="7341" w:type="dxa"/>
            <w:vMerge w:val="restart"/>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成本节约率=[（计划成本-实际成本）/计划成本]×100%。</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实际成本：项目实施单位如期、保质、保量完成既定工作目标实际所耗费的支出。</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计划成本：项目实施单位为完成工作目标计划安排的支出，一般以项目预算为参考。</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990"/>
          <w:jc w:val="center"/>
        </w:trPr>
        <w:tc>
          <w:tcPr>
            <w:tcW w:w="1155" w:type="dxa"/>
            <w:vMerge/>
            <w:tcBorders>
              <w:top w:val="single" w:sz="4" w:space="0" w:color="auto"/>
              <w:bottom w:val="single" w:sz="4" w:space="0" w:color="auto"/>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vMerge/>
            <w:tcBorders>
              <w:top w:val="single" w:sz="4" w:space="0" w:color="auto"/>
              <w:bottom w:val="single" w:sz="4" w:space="0" w:color="auto"/>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监测调查服务委托业务费</w:t>
            </w:r>
          </w:p>
        </w:tc>
        <w:tc>
          <w:tcPr>
            <w:tcW w:w="2789"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c>
          <w:tcPr>
            <w:tcW w:w="7341"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889"/>
          <w:jc w:val="center"/>
        </w:trPr>
        <w:tc>
          <w:tcPr>
            <w:tcW w:w="1155" w:type="dxa"/>
            <w:vMerge w:val="restart"/>
            <w:tcBorders>
              <w:top w:val="single" w:sz="4" w:space="0" w:color="auto"/>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效益</w:t>
            </w:r>
          </w:p>
        </w:tc>
        <w:tc>
          <w:tcPr>
            <w:tcW w:w="1199" w:type="dxa"/>
            <w:tcBorders>
              <w:top w:val="single" w:sz="4" w:space="0" w:color="auto"/>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社会效益指标</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危险性林业有害生物风险降低</w:t>
            </w:r>
          </w:p>
        </w:tc>
        <w:tc>
          <w:tcPr>
            <w:tcW w:w="2789" w:type="dxa"/>
            <w:vMerge w:val="restart"/>
            <w:tcBorders>
              <w:tl2br w:val="nil"/>
              <w:tr2bl w:val="nil"/>
            </w:tcBorders>
            <w:shd w:val="clear" w:color="auto" w:fill="FFFFFF"/>
            <w:vAlign w:val="center"/>
          </w:tcPr>
          <w:p>
            <w:pPr>
              <w:widowControl/>
              <w:ind w:firstLine="0" w:firstLineChars="0"/>
              <w:jc w:val="left"/>
              <w:rPr>
                <w:rFonts w:ascii="宋体" w:eastAsia="宋体" w:hAnsi="宋体" w:cs="宋体"/>
                <w:color w:val="000000"/>
                <w:kern w:val="0"/>
                <w:sz w:val="22"/>
              </w:rPr>
            </w:pPr>
            <w:r>
              <w:rPr>
                <w:rFonts w:ascii="宋体" w:eastAsia="宋体" w:hAnsi="宋体" w:cs="宋体" w:hint="eastAsia"/>
                <w:color w:val="000000"/>
                <w:kern w:val="0"/>
                <w:sz w:val="22"/>
              </w:rPr>
              <w:t xml:space="preserve">项目实施所产生的效益。</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项目实施所产生的社会效益、经济效益、生态效益、可持续影响等。可根据项目实际情况有选择地设置和细化。</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137"/>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生态效益</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有效防范外来林业有害生物入侵，确保我市林业生态安全</w:t>
            </w:r>
          </w:p>
        </w:tc>
        <w:tc>
          <w:tcPr>
            <w:tcW w:w="2789"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社会公众或服务对象是指因该项目实施而受到影响的部门（单位）、群体或个人。一般采取社会调查的方式。</w:t>
            </w:r>
          </w:p>
        </w:tc>
      </w:tr>
      <w:tr>
        <w:tblPrEx>
          <w:tblW w:w="1389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137"/>
          <w:jc w:val="center"/>
        </w:trPr>
        <w:tc>
          <w:tcPr>
            <w:tcW w:w="1155"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color w:val="000000"/>
                <w:kern w:val="0"/>
                <w:sz w:val="22"/>
              </w:rPr>
              <w:t xml:space="preserve">满意度指标完成情况分析</w:t>
            </w: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满意度指标</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社会满意度</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社会公众或服务对象对项目实施效果的满意程度。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社会公众或服务对象是指因该项目实施而受到影响的部门（单位）、群体或个人。一般采取社会调查的方式。</w:t>
            </w:r>
          </w:p>
        </w:tc>
      </w:tr>
    </w:tbl>
    <w:p>
      <w:pPr>
        <w:ind w:firstLine="0" w:firstLineChars="0"/>
        <w:jc w:val="center"/>
        <w:rPr>
          <w:rFonts w:ascii="仿宋_GB2312"/>
        </w:rPr>
      </w:pPr>
    </w:p>
    <w:p>
      <w:pPr>
        <w:ind w:firstLine="0" w:firstLineChars="0"/>
        <w:rPr>
          <w:rFonts w:ascii="仿宋_GB2312"/>
        </w:rPr>
      </w:pPr>
    </w:p>
    <w:p>
      <w:pPr>
        <w:ind w:firstLine="0" w:firstLineChars="0"/>
        <w:jc w:val="center"/>
        <w:rPr>
          <w:rFonts w:ascii="仿宋_GB2312"/>
        </w:rPr>
      </w:pPr>
    </w:p>
    <w:p>
      <w:pPr>
        <w:ind w:firstLine="0" w:firstLineChars="0"/>
        <w:jc w:val="center"/>
        <w:rPr>
          <w:rFonts w:ascii="仿宋_GB2312"/>
        </w:rPr>
        <w:sectPr>
          <w:pgSz w:w="16838" w:h="11906" w:orient="landscape"/>
          <w:pgMar w:top="1800" w:right="1440" w:bottom="1800" w:left="1440" w:header="1276" w:footer="992" w:gutter="0"/>
          <w:pgBorders/>
          <w:cols w:num="1" w:space="425">
            <w:col w:w="13958" w:space="425"/>
          </w:cols>
          <w:docGrid w:type="lines" w:linePitch="381" w:charSpace="0"/>
        </w:sectPr>
      </w:pPr>
    </w:p>
    <w:p>
      <w:pPr>
        <w:pStyle w:val="Heading3"/>
        <w:ind w:firstLine="643"/>
      </w:pPr>
      <w:bookmarkStart w:id="23" w:name="_Toc165277234"/>
      <w:bookmarkStart w:id="24" w:name="_Hlk67586038"/>
      <w:r>
        <w:t xml:space="preserve">3.</w:t>
      </w:r>
      <w:r>
        <w:rPr>
          <w:rFonts w:hint="eastAsia"/>
        </w:rPr>
        <w:t xml:space="preserve">评价方法</w:t>
      </w:r>
      <w:bookmarkEnd w:id="23"/>
      <w:bookmarkEnd w:id="24"/>
    </w:p>
    <w:p>
      <w:pPr>
        <w:spacing w:line="360" w:lineRule="auto"/>
        <w:ind w:firstLine="560"/>
        <w:rPr>
          <w:rFonts w:ascii="仿宋_GB2312"/>
        </w:rPr>
      </w:pPr>
      <w:r>
        <w:rPr>
          <w:rFonts w:ascii="仿宋_GB2312" w:hint="eastAsia"/>
        </w:rPr>
        <w:t xml:space="preserve">《关于印发&lt;项目支出绩效评价管理办法&gt;的通知》（财预〔2020〕10号）文件指出部门评价的方法主要包括成本效益分析法、比较法、因素分析法、最低成本法、公众评判法、标杆管理法等。</w:t>
      </w:r>
    </w:p>
    <w:p>
      <w:pPr>
        <w:spacing w:line="360" w:lineRule="auto"/>
        <w:ind w:firstLine="560"/>
        <w:rPr>
          <w:rFonts w:ascii="仿宋_GB2312"/>
        </w:rPr>
      </w:pPr>
      <w:r>
        <w:rPr>
          <w:rFonts w:ascii="仿宋_GB2312" w:hint="eastAsia"/>
        </w:rPr>
        <w:t xml:space="preserve">（1）成本效益分析法。是指将投入与产出、效益进行关联性分析的方法。</w:t>
      </w:r>
    </w:p>
    <w:p>
      <w:pPr>
        <w:spacing w:line="360" w:lineRule="auto"/>
        <w:ind w:firstLine="560"/>
        <w:rPr>
          <w:rFonts w:ascii="仿宋_GB2312"/>
        </w:rPr>
      </w:pPr>
      <w:r>
        <w:rPr>
          <w:rFonts w:ascii="仿宋_GB2312" w:hint="eastAsia"/>
        </w:rPr>
        <w:t xml:space="preserve">（2）比较法。是指将实施情况与绩效目标、历史情况、不同部门和地区同类支出情况进行比较的方法。</w:t>
      </w:r>
    </w:p>
    <w:p>
      <w:pPr>
        <w:spacing w:line="360" w:lineRule="auto"/>
        <w:ind w:firstLine="560"/>
        <w:rPr>
          <w:rFonts w:ascii="仿宋_GB2312"/>
        </w:rPr>
      </w:pPr>
      <w:r>
        <w:rPr>
          <w:rFonts w:ascii="仿宋_GB2312" w:hint="eastAsia"/>
        </w:rPr>
        <w:t xml:space="preserve">（3）因素分析法。是指综合分析影响绩效目标实现、实施效果的内外部因素的方法。</w:t>
      </w:r>
    </w:p>
    <w:p>
      <w:pPr>
        <w:spacing w:line="360" w:lineRule="auto"/>
        <w:ind w:firstLine="560"/>
        <w:rPr>
          <w:rFonts w:ascii="仿宋_GB2312"/>
        </w:rPr>
      </w:pPr>
      <w:r>
        <w:rPr>
          <w:rFonts w:ascii="仿宋_GB2312" w:hint="eastAsia"/>
        </w:rPr>
        <w:t xml:space="preserve">（4）最低成本法。是指在绩效目标确定的前提下，成本最小者为优的方法。</w:t>
      </w:r>
    </w:p>
    <w:p>
      <w:pPr>
        <w:spacing w:line="360" w:lineRule="auto"/>
        <w:ind w:firstLine="560"/>
        <w:rPr>
          <w:rFonts w:ascii="仿宋_GB2312"/>
        </w:rPr>
      </w:pPr>
      <w:r>
        <w:rPr>
          <w:rFonts w:ascii="仿宋_GB2312" w:hint="eastAsia"/>
        </w:rPr>
        <w:t xml:space="preserve">（5）公众评判法。是指通过专家评估、公众问卷及抽样调查等方式进行评判的方法。</w:t>
      </w:r>
    </w:p>
    <w:p>
      <w:pPr>
        <w:spacing w:line="360" w:lineRule="auto"/>
        <w:ind w:firstLine="560"/>
        <w:rPr>
          <w:rFonts w:ascii="仿宋_GB2312"/>
        </w:rPr>
      </w:pPr>
      <w:r>
        <w:rPr>
          <w:rFonts w:ascii="仿宋_GB2312" w:hint="eastAsia"/>
        </w:rPr>
        <w:t xml:space="preserve">（6）标杆管理法。是指以国内外同行业中较高的绩效水平为标杆进行评判的方法。</w:t>
      </w:r>
    </w:p>
    <w:p>
      <w:pPr>
        <w:spacing w:line="360" w:lineRule="auto"/>
        <w:ind w:firstLine="560"/>
        <w:rPr>
          <w:rFonts w:ascii="仿宋_GB2312"/>
        </w:rPr>
      </w:pPr>
      <w:r>
        <w:rPr>
          <w:rFonts w:ascii="仿宋_GB2312" w:hint="eastAsia"/>
        </w:rPr>
        <w:t xml:space="preserve">（7）其他评价方法。</w:t>
      </w:r>
    </w:p>
    <w:p>
      <w:pPr>
        <w:spacing w:line="360" w:lineRule="auto"/>
        <w:ind w:firstLine="560"/>
        <w:rPr>
          <w:rFonts w:ascii="仿宋_GB2312"/>
        </w:rPr>
      </w:pPr>
      <w:r>
        <w:rPr>
          <w:rFonts w:ascii="仿宋_GB2312" w:hint="eastAsia"/>
        </w:rPr>
        <w:t xml:space="preserve">根据本项目关于提前下达2024年中央林业草原生态保护恢复资金的通知（乌鲁木齐市重大林业有害生物专项调查）的特点，本次评价主要采用比较法</w:t>
      </w:r>
      <w:r>
        <w:rPr>
          <w:rFonts w:ascii="仿宋_GB2312"/>
        </w:rPr>
        <w:t xml:space="preserve">、</w:t>
      </w:r>
      <w:r>
        <w:rPr>
          <w:rFonts w:ascii="仿宋_GB2312" w:hint="eastAsia"/>
        </w:rPr>
        <w:t xml:space="preserve">因素分析法和公众评判法，对项目总预算和明细预算的内容、标准、计划是否经济合理进行深入分析，以考察实际产出和效益是否达到预期。</w:t>
      </w:r>
    </w:p>
    <w:p>
      <w:pPr>
        <w:pStyle w:val="Heading3"/>
        <w:ind w:firstLine="643"/>
      </w:pPr>
      <w:bookmarkStart w:id="25" w:name="_Toc165277235"/>
      <w:r>
        <w:t xml:space="preserve">4.</w:t>
      </w:r>
      <w:r>
        <w:rPr>
          <w:rFonts w:hint="eastAsia"/>
        </w:rPr>
        <w:t xml:space="preserve">评价标准</w:t>
      </w:r>
      <w:bookmarkEnd w:id="25"/>
    </w:p>
    <w:p>
      <w:pPr>
        <w:spacing w:line="360" w:lineRule="auto"/>
        <w:ind w:firstLine="560"/>
        <w:rPr>
          <w:rFonts w:ascii="仿宋_GB2312"/>
        </w:rPr>
      </w:pPr>
      <w:r>
        <w:rPr>
          <w:rFonts w:ascii="仿宋_GB2312" w:hint="eastAsia"/>
        </w:rPr>
        <w:t xml:space="preserve">绩效评价标准主要包括计划标准、行业标准、历史标准等，用于对绩效指标完成情况进行比较。</w:t>
      </w:r>
    </w:p>
    <w:p>
      <w:pPr>
        <w:spacing w:line="360" w:lineRule="auto"/>
        <w:ind w:firstLine="560"/>
        <w:rPr>
          <w:rFonts w:ascii="仿宋_GB2312"/>
        </w:rPr>
      </w:pPr>
      <w:r>
        <w:rPr>
          <w:rFonts w:ascii="仿宋_GB2312" w:hint="eastAsia"/>
        </w:rPr>
        <w:t xml:space="preserve">（1）计划标准。指以预先制定的目标、计划、预算、定额等作为评价标准。</w:t>
      </w:r>
    </w:p>
    <w:p>
      <w:pPr>
        <w:spacing w:line="360" w:lineRule="auto"/>
        <w:ind w:firstLine="560"/>
        <w:rPr>
          <w:rFonts w:ascii="仿宋_GB2312"/>
        </w:rPr>
      </w:pPr>
      <w:r>
        <w:rPr>
          <w:rFonts w:ascii="仿宋_GB2312" w:hint="eastAsia"/>
        </w:rPr>
        <w:t xml:space="preserve">（2）行业标准。指参照国家公布的行业指标数据制定的评价标准。</w:t>
      </w:r>
    </w:p>
    <w:p>
      <w:pPr>
        <w:spacing w:line="360" w:lineRule="auto"/>
        <w:ind w:firstLine="560"/>
        <w:rPr>
          <w:rFonts w:ascii="仿宋_GB2312"/>
        </w:rPr>
      </w:pPr>
      <w:r>
        <w:rPr>
          <w:rFonts w:ascii="仿宋_GB2312" w:hint="eastAsia"/>
        </w:rPr>
        <w:t xml:space="preserve">（3）历史标准。指参照历史数据制定的评价标准，为体现绩效改进的原则，在可实现的条件下应当确定相对较高的评价标准。</w:t>
      </w:r>
    </w:p>
    <w:p>
      <w:pPr>
        <w:spacing w:line="360" w:lineRule="auto"/>
        <w:ind w:firstLine="560"/>
        <w:rPr>
          <w:rFonts w:ascii="仿宋_GB2312"/>
        </w:rPr>
      </w:pPr>
      <w:r>
        <w:rPr>
          <w:rFonts w:ascii="仿宋_GB2312" w:hint="eastAsia"/>
        </w:rPr>
        <w:t xml:space="preserve">在上述评价标准的基础上，本次评价依据以下文件为重要指导和准绳：</w:t>
      </w:r>
    </w:p>
    <w:p>
      <w:pPr>
        <w:spacing w:line="360" w:lineRule="auto"/>
        <w:ind w:firstLine="560"/>
        <w:rPr>
          <w:rFonts w:ascii="仿宋_GB2312"/>
        </w:rPr>
      </w:pPr>
      <w:r>
        <w:rPr>
          <w:rFonts w:ascii="黑体" w:eastAsia="黑体" w:hAnsi="黑体" w:cs="Times New Roman" w:hint="eastAsia"/>
          <w:szCs w:val="28"/>
        </w:rPr>
        <w:t xml:space="preserve">·</w:t>
      </w:r>
      <w:r>
        <w:rPr>
          <w:rFonts w:ascii="仿宋_GB2312" w:hint="eastAsia"/>
        </w:rPr>
        <w:t xml:space="preserve">《中共中央国务院关于全面实施预算绩效管理的意见》（中发〔2018〕34号）</w:t>
      </w:r>
    </w:p>
    <w:p>
      <w:pPr>
        <w:spacing w:line="360" w:lineRule="auto"/>
        <w:ind w:firstLine="560"/>
        <w:rPr>
          <w:rFonts w:ascii="仿宋_GB2312"/>
        </w:rPr>
      </w:pPr>
      <w:r>
        <w:rPr>
          <w:rFonts w:ascii="黑体" w:eastAsia="黑体" w:hAnsi="黑体" w:cs="Times New Roman" w:hint="eastAsia"/>
          <w:szCs w:val="28"/>
        </w:rPr>
        <w:t xml:space="preserve">·</w:t>
      </w:r>
      <w:r>
        <w:rPr>
          <w:rFonts w:ascii="仿宋_GB2312" w:hint="eastAsia"/>
        </w:rPr>
        <w:t xml:space="preserve">《关于印发&lt;乌鲁木齐市本级部门预算绩效目标管理暂行办法&gt;的通知》（乌财预〔2018〕56号）</w:t>
      </w:r>
    </w:p>
    <w:p>
      <w:pPr>
        <w:spacing w:line="360" w:lineRule="auto"/>
        <w:ind w:firstLine="560" w:firstLineChars="0"/>
        <w:rPr>
          <w:rFonts w:ascii="仿宋_GB2312"/>
        </w:rPr>
      </w:pPr>
      <w:r>
        <w:rPr>
          <w:rFonts w:ascii="黑体" w:eastAsia="黑体" w:hAnsi="黑体" w:cs="Times New Roman" w:hint="eastAsia"/>
          <w:szCs w:val="28"/>
        </w:rPr>
        <w:t xml:space="preserve">·</w:t>
      </w:r>
      <w:r>
        <w:rPr>
          <w:rFonts w:ascii="仿宋_GB2312" w:hint="eastAsia"/>
        </w:rPr>
        <w:t xml:space="preserve">《关于做好2019年部门预算项目支出绩效目标管理有关事宜的通知》（乌财预〔2018〕76号）</w:t>
      </w:r>
    </w:p>
    <w:p>
      <w:pPr>
        <w:spacing w:line="360" w:lineRule="auto"/>
        <w:ind w:firstLine="560"/>
        <w:rPr>
          <w:rFonts w:ascii="仿宋_GB2312"/>
        </w:rPr>
      </w:pPr>
      <w:r>
        <w:rPr>
          <w:rFonts w:ascii="黑体" w:eastAsia="黑体" w:hAnsi="黑体" w:cs="Times New Roman" w:hint="eastAsia"/>
          <w:szCs w:val="28"/>
        </w:rPr>
        <w:t xml:space="preserve">·</w:t>
      </w:r>
      <w:r>
        <w:rPr>
          <w:rFonts w:ascii="仿宋_GB2312" w:hint="eastAsia"/>
        </w:rPr>
        <w:t xml:space="preserve">《项目支出绩效评价管理办法》（财预〔2020〕10号）</w:t>
      </w:r>
    </w:p>
    <w:p>
      <w:pPr>
        <w:spacing w:line="360" w:lineRule="auto"/>
        <w:ind w:firstLine="560"/>
        <w:rPr>
          <w:rFonts w:ascii="仿宋_GB2312"/>
        </w:rPr>
      </w:pPr>
      <w:r>
        <w:rPr>
          <w:rFonts w:ascii="仿宋_GB2312" w:hint="eastAsia"/>
        </w:rPr>
        <w:t xml:space="preserve">《关于提前下达2024年中央林业草原生态保护恢复资金建设任务的通知》（新林规字〔2023〕212号）</w:t>
      </w:r>
    </w:p>
    <w:p>
      <w:pPr>
        <w:spacing w:line="360" w:lineRule="auto"/>
        <w:ind w:firstLine="560"/>
        <w:rPr>
          <w:rFonts w:ascii="仿宋_GB2312"/>
        </w:rPr>
      </w:pPr>
      <w:r>
        <w:rPr>
          <w:rFonts w:ascii="仿宋_GB2312" w:hint="eastAsia"/>
        </w:rPr>
        <w:t xml:space="preserve">《关于提前下达2024年中央林业草原生态保护恢复资金的通知》（乌财资环〔2024〕135号）</w:t>
      </w:r>
    </w:p>
    <w:p>
      <w:pPr>
        <w:spacing w:line="360" w:lineRule="auto"/>
        <w:ind w:firstLine="560"/>
        <w:rPr>
          <w:rFonts w:ascii="仿宋_GB2312"/>
        </w:rPr>
      </w:pPr>
      <w:r>
        <w:rPr>
          <w:rFonts w:ascii="仿宋_GB2312" w:hint="eastAsia"/>
        </w:rPr>
        <w:t xml:space="preserve">《关于提前下达2024年中央财政林业草原生态保护恢复资金建设任务的函》(乌林函〔2024〕306号)</w:t>
      </w:r>
    </w:p>
    <w:p>
      <w:pPr>
        <w:pStyle w:val="Heading2"/>
        <w:ind w:firstLine="643"/>
        <w:rPr>
          <w:rFonts w:ascii="仿宋" w:eastAsia="仿宋" w:hAnsi="仿宋"/>
          <w:lang w:bidi="en-US"/>
        </w:rPr>
      </w:pPr>
      <w:bookmarkStart w:id="26" w:name="_Toc165277236"/>
      <w:bookmarkStart w:id="27" w:name="_Toc67911607"/>
      <w:r>
        <w:rPr>
          <w:rFonts w:ascii="仿宋" w:eastAsia="仿宋" w:hAnsi="仿宋" w:hint="eastAsia"/>
          <w:lang w:bidi="en-US"/>
        </w:rPr>
        <w:t xml:space="preserve">（三）绩效评价工作过程</w:t>
      </w:r>
      <w:bookmarkEnd w:id="26"/>
      <w:bookmarkEnd w:id="27"/>
    </w:p>
    <w:p>
      <w:pPr>
        <w:spacing w:line="360" w:lineRule="auto"/>
        <w:ind w:firstLine="560"/>
        <w:rPr>
          <w:rFonts w:ascii="仿宋_GB2312"/>
        </w:rPr>
      </w:pPr>
      <w:r>
        <w:rPr>
          <w:rFonts w:ascii="仿宋_GB2312" w:hint="eastAsia"/>
        </w:rPr>
        <w:t xml:space="preserve">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w:t>
      </w:r>
      <w:r>
        <w:rPr>
          <w:rStyle w:val="FootnoteReference"/>
          <w:rFonts w:ascii="仿宋_GB2312"/>
        </w:rPr>
        <w:footnoteReference w:id="-1"/>
      </w:r>
      <w:r>
        <w:rPr>
          <w:rFonts w:ascii="仿宋_GB2312" w:hint="eastAsia"/>
        </w:rPr>
        <w:t xml:space="preserve">、材料审核分析、现场核查评价、综合分析评价及报告撰写，评价项目实施情况，展现资金使用效益。</w:t>
      </w:r>
    </w:p>
    <w:p>
      <w:pPr>
        <w:pStyle w:val="Heading1"/>
        <w:ind w:firstLine="0" w:firstLineChars="0"/>
        <w:jc w:val="left"/>
        <w:rPr>
          <w:rFonts w:ascii="仿宋" w:eastAsia="仿宋" w:hAnsi="仿宋"/>
          <w:sz w:val="36"/>
          <w:szCs w:val="36"/>
          <w:lang w:bidi="en-US"/>
        </w:rPr>
      </w:pPr>
      <w:bookmarkStart w:id="28" w:name="_Toc165277237"/>
      <w:bookmarkStart w:id="29" w:name="_Toc67911608"/>
      <w:r>
        <w:rPr>
          <w:rFonts w:ascii="仿宋" w:eastAsia="仿宋" w:hAnsi="仿宋" w:hint="eastAsia"/>
          <w:sz w:val="36"/>
          <w:szCs w:val="36"/>
          <w:lang w:bidi="en-US"/>
        </w:rPr>
        <w:t xml:space="preserve">三、综合评价情况及评价结论</w:t>
      </w:r>
      <w:bookmarkEnd w:id="28"/>
      <w:bookmarkEnd w:id="29"/>
    </w:p>
    <w:p>
      <w:pPr>
        <w:pStyle w:val="Heading2"/>
        <w:ind w:firstLine="643"/>
        <w:rPr>
          <w:rFonts w:ascii="仿宋" w:eastAsia="仿宋" w:hAnsi="仿宋"/>
          <w:lang w:bidi="en-US"/>
        </w:rPr>
      </w:pPr>
      <w:bookmarkStart w:id="30" w:name="_Toc165277238"/>
      <w:bookmarkStart w:id="31" w:name="_Toc67911609"/>
      <w:r>
        <w:rPr>
          <w:rFonts w:ascii="仿宋" w:eastAsia="仿宋" w:hAnsi="仿宋" w:hint="eastAsia"/>
          <w:lang w:bidi="en-US"/>
        </w:rPr>
        <w:t xml:space="preserve">（一）评价结论</w:t>
      </w:r>
      <w:bookmarkEnd w:id="30"/>
      <w:bookmarkEnd w:id="31"/>
    </w:p>
    <w:p>
      <w:pPr>
        <w:spacing w:line="360" w:lineRule="auto"/>
        <w:ind w:firstLine="560"/>
        <w:rPr>
          <w:rFonts w:ascii="仿宋_GB2312"/>
          <w:szCs w:val="28"/>
        </w:rPr>
      </w:pPr>
      <w:r>
        <w:rPr>
          <w:rFonts w:ascii="仿宋_GB2312" w:hint="eastAsia"/>
          <w:szCs w:val="28"/>
        </w:rPr>
        <w:t xml:space="preserve">结合项目特点，制定符合项目实际的绩效评价指标体系及评分标准，通过数据采集、问卷调查及访谈等形式，对关于提前下达2024年中央林业草原生态保护恢复资金的通知（乌鲁木齐市重大林业有害生物专项调查）项目进行客观评价，最终评分结果为：总分为100分，绩效评级为“优”</w:t>
      </w:r>
      <w:r>
        <w:rPr>
          <w:rStyle w:val="FootnoteReference"/>
          <w:rFonts w:ascii="仿宋_GB2312"/>
          <w:szCs w:val="28"/>
        </w:rPr>
        <w:footnoteReference w:id="0"/>
      </w:r>
      <w:r>
        <w:rPr>
          <w:rFonts w:ascii="仿宋_GB2312" w:hint="eastAsia"/>
          <w:szCs w:val="28"/>
        </w:rPr>
        <w:t xml:space="preserve">。</w:t>
      </w:r>
    </w:p>
    <w:p>
      <w:pPr>
        <w:spacing w:line="360" w:lineRule="auto"/>
        <w:ind w:firstLine="560"/>
        <w:rPr>
          <w:rFonts w:ascii="仿宋_GB2312"/>
          <w:szCs w:val="28"/>
        </w:rPr>
      </w:pPr>
      <w:r>
        <w:rPr>
          <w:rFonts w:ascii="仿宋_GB2312" w:hint="eastAsia"/>
          <w:szCs w:val="28"/>
        </w:rPr>
        <w:t xml:space="preserve">项目各部分权重和绩效分值如附表所示：</w:t>
      </w:r>
    </w:p>
    <w:p>
      <w:pPr>
        <w:spacing w:line="360" w:lineRule="auto"/>
        <w:ind w:firstLine="0" w:firstLineChars="0"/>
        <w:jc w:val="center"/>
        <w:rPr>
          <w:rFonts w:ascii="仿宋_GB2312"/>
          <w:b/>
          <w:bCs/>
          <w:szCs w:val="28"/>
        </w:rPr>
      </w:pPr>
      <w:r>
        <w:rPr>
          <w:rFonts w:ascii="仿宋_GB2312" w:hint="eastAsia"/>
          <w:b/>
          <w:bCs/>
          <w:szCs w:val="28"/>
        </w:rPr>
        <w:t xml:space="preserve">项目各部分权重和绩效分值</w:t>
      </w:r>
    </w:p>
    <w:tbl>
      <w:tblPr>
        <w:tblStyle w:val="NormalTable"/>
        <w:tblW w:w="9062"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Look w:firstRow="0" w:lastRow="0" w:firstColumn="0" w:lastColumn="0" w:noHBand="1" w:noVBand="1"/>
      </w:tblPr>
      <w:tblGrid>
        <w:gridCol w:w="1550"/>
        <w:gridCol w:w="1984"/>
        <w:gridCol w:w="2693"/>
        <w:gridCol w:w="898"/>
        <w:gridCol w:w="898"/>
        <w:gridCol w:w="1039"/>
      </w:tblGrid>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tblHeader/>
          <w:jc w:val="center"/>
        </w:trPr>
        <w:tc>
          <w:tcPr>
            <w:tcW w:w="1550" w:type="dxa"/>
            <w:tcBorders>
              <w:tl2br w:val="nil"/>
              <w:tr2bl w:val="nil"/>
            </w:tcBorders>
            <w:shd w:val="clear" w:color="auto" w:fill="D0CECE"/>
            <w:vAlign w:val="center"/>
          </w:tcPr>
          <w:p>
            <w:pPr>
              <w:widowControl/>
              <w:ind w:firstLine="0" w:firstLineChars="0"/>
              <w:jc w:val="center"/>
              <w:rPr>
                <w:rFonts w:ascii="仿宋_GB2312" w:hAnsi="宋体" w:cs="宋体"/>
                <w:b/>
                <w:bCs/>
                <w:kern w:val="0"/>
                <w:sz w:val="24"/>
                <w:szCs w:val="24"/>
              </w:rPr>
            </w:pPr>
            <w:r>
              <w:rPr>
                <w:rFonts w:ascii="仿宋_GB2312" w:hAnsi="宋体" w:cs="宋体" w:hint="eastAsia"/>
                <w:b/>
                <w:bCs/>
                <w:kern w:val="0"/>
                <w:sz w:val="24"/>
                <w:szCs w:val="24"/>
              </w:rPr>
              <w:t xml:space="preserve">一级指标</w:t>
            </w:r>
          </w:p>
        </w:tc>
        <w:tc>
          <w:tcPr>
            <w:tcW w:w="1984" w:type="dxa"/>
            <w:tcBorders>
              <w:tl2br w:val="nil"/>
              <w:tr2bl w:val="nil"/>
            </w:tcBorders>
            <w:shd w:val="clear" w:color="auto" w:fill="D0CECE"/>
            <w:vAlign w:val="center"/>
          </w:tcPr>
          <w:p>
            <w:pPr>
              <w:widowControl/>
              <w:ind w:firstLine="0" w:firstLineChars="0"/>
              <w:jc w:val="center"/>
              <w:rPr>
                <w:rFonts w:ascii="仿宋_GB2312" w:hAnsi="宋体" w:cs="宋体"/>
                <w:b/>
                <w:bCs/>
                <w:kern w:val="0"/>
                <w:sz w:val="24"/>
                <w:szCs w:val="24"/>
              </w:rPr>
            </w:pPr>
            <w:r>
              <w:rPr>
                <w:rFonts w:ascii="仿宋_GB2312" w:hAnsi="宋体" w:cs="宋体" w:hint="eastAsia"/>
                <w:b/>
                <w:bCs/>
                <w:kern w:val="0"/>
                <w:sz w:val="24"/>
                <w:szCs w:val="24"/>
              </w:rPr>
              <w:t xml:space="preserve">二级指标</w:t>
            </w:r>
          </w:p>
        </w:tc>
        <w:tc>
          <w:tcPr>
            <w:tcW w:w="2693" w:type="dxa"/>
            <w:tcBorders>
              <w:tl2br w:val="nil"/>
              <w:tr2bl w:val="nil"/>
            </w:tcBorders>
            <w:shd w:val="clear" w:color="auto" w:fill="D0CECE"/>
            <w:vAlign w:val="center"/>
          </w:tcPr>
          <w:p>
            <w:pPr>
              <w:widowControl/>
              <w:ind w:firstLine="0" w:firstLineChars="0"/>
              <w:jc w:val="center"/>
              <w:rPr>
                <w:rFonts w:ascii="仿宋_GB2312" w:hAnsi="宋体" w:cs="宋体"/>
                <w:b/>
                <w:bCs/>
                <w:kern w:val="0"/>
                <w:sz w:val="24"/>
                <w:szCs w:val="24"/>
              </w:rPr>
            </w:pPr>
            <w:r>
              <w:rPr>
                <w:rFonts w:ascii="仿宋_GB2312" w:hAnsi="宋体" w:cs="宋体" w:hint="eastAsia"/>
                <w:b/>
                <w:bCs/>
                <w:kern w:val="0"/>
                <w:sz w:val="24"/>
                <w:szCs w:val="24"/>
              </w:rPr>
              <w:t xml:space="preserve">三级指标</w:t>
            </w:r>
          </w:p>
        </w:tc>
        <w:tc>
          <w:tcPr>
            <w:tcW w:w="898" w:type="dxa"/>
            <w:tcBorders>
              <w:tl2br w:val="nil"/>
              <w:tr2bl w:val="nil"/>
            </w:tcBorders>
            <w:shd w:val="clear" w:color="auto" w:fill="D0CECE"/>
            <w:vAlign w:val="center"/>
          </w:tcPr>
          <w:p>
            <w:pPr>
              <w:widowControl/>
              <w:ind w:firstLine="0" w:firstLineChars="0"/>
              <w:jc w:val="center"/>
              <w:rPr>
                <w:rFonts w:ascii="仿宋_GB2312" w:hAnsi="宋体" w:cs="宋体"/>
                <w:b/>
                <w:bCs/>
                <w:kern w:val="0"/>
                <w:sz w:val="24"/>
                <w:szCs w:val="24"/>
              </w:rPr>
            </w:pPr>
            <w:r>
              <w:rPr>
                <w:rFonts w:ascii="仿宋_GB2312" w:hAnsi="宋体" w:cs="宋体" w:hint="eastAsia"/>
                <w:b/>
                <w:bCs/>
                <w:kern w:val="0"/>
                <w:sz w:val="24"/>
                <w:szCs w:val="24"/>
              </w:rPr>
              <w:t xml:space="preserve">分值</w:t>
            </w:r>
          </w:p>
        </w:tc>
        <w:tc>
          <w:tcPr>
            <w:tcW w:w="898" w:type="dxa"/>
            <w:tcBorders>
              <w:tl2br w:val="nil"/>
              <w:tr2bl w:val="nil"/>
            </w:tcBorders>
            <w:shd w:val="clear" w:color="auto" w:fill="D0CECE"/>
            <w:vAlign w:val="center"/>
          </w:tcPr>
          <w:p>
            <w:pPr>
              <w:widowControl/>
              <w:ind w:firstLine="0" w:firstLineChars="0"/>
              <w:jc w:val="center"/>
              <w:rPr>
                <w:rFonts w:ascii="仿宋_GB2312" w:hAnsi="宋体" w:cs="宋体"/>
                <w:b/>
                <w:bCs/>
                <w:kern w:val="0"/>
                <w:sz w:val="24"/>
                <w:szCs w:val="24"/>
              </w:rPr>
            </w:pPr>
            <w:r>
              <w:rPr>
                <w:rFonts w:ascii="仿宋_GB2312" w:hAnsi="宋体" w:cs="宋体" w:hint="eastAsia"/>
                <w:b/>
                <w:bCs/>
                <w:kern w:val="0"/>
                <w:sz w:val="24"/>
                <w:szCs w:val="24"/>
              </w:rPr>
              <w:t xml:space="preserve">得分</w:t>
            </w:r>
          </w:p>
        </w:tc>
        <w:tc>
          <w:tcPr>
            <w:tcW w:w="1039" w:type="dxa"/>
            <w:tcBorders>
              <w:tl2br w:val="nil"/>
              <w:tr2bl w:val="nil"/>
            </w:tcBorders>
            <w:shd w:val="clear" w:color="auto" w:fill="D0CECE"/>
            <w:vAlign w:val="center"/>
          </w:tcPr>
          <w:p>
            <w:pPr>
              <w:widowControl/>
              <w:ind w:firstLine="0" w:firstLineChars="0"/>
              <w:jc w:val="center"/>
              <w:rPr>
                <w:rFonts w:ascii="仿宋_GB2312" w:hAnsi="Gungsuh" w:cs="宋体"/>
                <w:b/>
                <w:bCs/>
                <w:kern w:val="0"/>
                <w:sz w:val="24"/>
                <w:szCs w:val="24"/>
              </w:rPr>
            </w:pPr>
            <w:r>
              <w:rPr>
                <w:rFonts w:ascii="仿宋_GB2312" w:hAnsi="Gungsuh" w:cs="宋体" w:hint="eastAsia"/>
                <w:b/>
                <w:bCs/>
                <w:kern w:val="0"/>
                <w:sz w:val="24"/>
                <w:szCs w:val="24"/>
              </w:rPr>
              <w:t xml:space="preserve">得分率</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决策</w:t>
            </w: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项目立项</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立项依据充分性</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48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立项程序规范性</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480"/>
              <w:jc w:val="center"/>
              <w:rPr>
                <w:rFonts w:ascii="仿宋_GB2312" w:hAnsi="宋体" w:cs="宋体"/>
                <w:kern w:val="0"/>
                <w:sz w:val="24"/>
                <w:szCs w:val="24"/>
              </w:rPr>
            </w:pPr>
          </w:p>
        </w:tc>
        <w:tc>
          <w:tcPr>
            <w:tcW w:w="1984" w:type="dxa"/>
            <w:vMerge w:val="restart"/>
            <w:tcBorders>
              <w:tl2br w:val="nil"/>
              <w:tr2bl w:val="nil"/>
            </w:tcBorders>
            <w:shd w:val="clear" w:color="auto" w:fill="FFFFFF"/>
            <w:vAlign w:val="center"/>
          </w:tcPr>
          <w:p>
            <w:pPr>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绩效目标</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绩效目标合理性</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绩效指标明确性</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0" w:firstLineChars="0"/>
              <w:jc w:val="center"/>
              <w:rPr>
                <w:rFonts w:ascii="仿宋_GB2312" w:hAnsi="宋体" w:cs="宋体"/>
                <w:kern w:val="0"/>
                <w:sz w:val="24"/>
                <w:szCs w:val="24"/>
              </w:rPr>
            </w:pP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资金投入</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预算编制科学性</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资金分配合理性</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val="restart"/>
            <w:tcBorders>
              <w:tl2br w:val="nil"/>
              <w:tr2bl w:val="nil"/>
            </w:tcBorders>
            <w:shd w:val="clear" w:color="auto" w:fill="FFFFFF"/>
            <w:vAlign w:val="center"/>
          </w:tcPr>
          <w:p>
            <w:pPr>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过程</w:t>
            </w:r>
          </w:p>
        </w:tc>
        <w:tc>
          <w:tcPr>
            <w:tcW w:w="1984" w:type="dxa"/>
            <w:vMerge w:val="restart"/>
            <w:tcBorders>
              <w:tl2br w:val="nil"/>
              <w:tr2bl w:val="nil"/>
            </w:tcBorders>
            <w:shd w:val="clear" w:color="auto" w:fill="FFFFFF"/>
            <w:vAlign w:val="center"/>
          </w:tcPr>
          <w:p>
            <w:pPr>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资金管理</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资金到位率</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48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ind w:firstLine="48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预算执行率</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资金使用合规性</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0" w:firstLineChars="0"/>
              <w:jc w:val="center"/>
              <w:rPr>
                <w:rFonts w:ascii="仿宋_GB2312" w:hAnsi="宋体" w:cs="宋体"/>
                <w:kern w:val="0"/>
                <w:sz w:val="24"/>
                <w:szCs w:val="24"/>
              </w:rPr>
            </w:pP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组织实施</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管理制度健全性</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制度执行有效性</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75"/>
          <w:jc w:val="center"/>
        </w:trPr>
        <w:tc>
          <w:tcPr>
            <w:tcW w:w="1550"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产出</w:t>
            </w: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产出数量</w:t>
            </w:r>
          </w:p>
        </w:tc>
        <w:tc>
          <w:tcPr>
            <w:tcW w:w="2693" w:type="dxa"/>
            <w:tcBorders>
              <w:tl2br w:val="nil"/>
              <w:tr2bl w:val="nil"/>
            </w:tcBorders>
            <w:shd w:val="clear" w:color="auto" w:fill="FFFFFF"/>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调查种类</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kern w:val="0"/>
                <w:sz w:val="24"/>
                <w:szCs w:val="24"/>
              </w:rPr>
              <w:t xml:space="preserve">3</w:t>
            </w:r>
          </w:p>
        </w:tc>
        <w:tc>
          <w:tcPr>
            <w:tcW w:w="898" w:type="dxa"/>
            <w:tcBorders>
              <w:bottom w:val="single" w:sz="4" w:space="0" w:color="auto"/>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bottom w:val="single" w:sz="4" w:space="0" w:color="auto"/>
              <w:tl2br w:val="nil"/>
              <w:tr2bl w:val="nil"/>
            </w:tcBorders>
            <w:shd w:val="clear" w:color="auto" w:fill="FFFFFF"/>
            <w:vAlign w:val="center"/>
          </w:tcPr>
          <w:p>
            <w:pPr>
              <w:widowControl/>
              <w:ind w:firstLine="0" w:firstLineChars="0"/>
              <w:jc w:val="center"/>
              <w:rPr>
                <w:rFonts w:ascii="仿宋_GB2312" w:hAnsi="宋体" w:cs="宋体"/>
                <w:kern w:val="0"/>
                <w:sz w:val="24"/>
                <w:szCs w:val="24"/>
                <w:highlight w:val="yellow"/>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31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有害生物监测调查种类准确</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op w:val="single" w:sz="4" w:space="0" w:color="auto"/>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op w:val="single" w:sz="4" w:space="0" w:color="auto"/>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6"/>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有害生物专项调查任务完成率</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898" w:type="dxa"/>
            <w:tcBorders>
              <w:top w:val="single" w:sz="4" w:space="0" w:color="auto"/>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1039" w:type="dxa"/>
            <w:tcBorders>
              <w:top w:val="single" w:sz="4" w:space="0" w:color="auto"/>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产出质量</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在害生物监测覆盖率（%）</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kern w:val="0"/>
                <w:sz w:val="24"/>
                <w:szCs w:val="24"/>
              </w:rPr>
              <w:t xml:space="preserve">5</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kern w:val="0"/>
                <w:sz w:val="24"/>
                <w:szCs w:val="24"/>
              </w:rPr>
              <w:t xml:space="preserve">5</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产出</w:t>
            </w:r>
            <w:r>
              <w:rPr>
                <w:rFonts w:ascii="仿宋_GB2312" w:hAnsi="宋体" w:cs="宋体"/>
                <w:kern w:val="0"/>
                <w:sz w:val="24"/>
                <w:szCs w:val="24"/>
              </w:rPr>
              <w:t xml:space="preserve">时效</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项目实际</w:t>
            </w:r>
            <w:r>
              <w:rPr>
                <w:rFonts w:ascii="仿宋_GB2312" w:hAnsi="宋体" w:cs="宋体"/>
                <w:kern w:val="0"/>
                <w:sz w:val="24"/>
                <w:szCs w:val="24"/>
              </w:rPr>
              <w:t xml:space="preserve">完成时限</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r>
              <w:rPr>
                <w:rFonts w:ascii="仿宋_GB2312" w:hAnsi="宋体" w:cs="宋体"/>
                <w:kern w:val="0"/>
                <w:sz w:val="24"/>
                <w:szCs w:val="24"/>
              </w:rPr>
              <w:t xml:space="preserve">%</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val="restart"/>
            <w:tcBorders>
              <w:top w:val="single" w:sz="4" w:space="0" w:color="auto"/>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产出成本</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购置信息素诱捕器和调查工具</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监测调查服务委托业务费</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kern w:val="0"/>
                <w:sz w:val="24"/>
                <w:szCs w:val="24"/>
              </w:rPr>
              <w:t xml:space="preserve">10</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效益</w:t>
            </w: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项目效益</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危险性林业有害生物风险降低</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kern w:val="0"/>
                <w:sz w:val="24"/>
                <w:szCs w:val="24"/>
              </w:rPr>
              <w:t xml:space="preserve">10</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有效防范外来林业有害生物入侵，确保我市林业生态安全</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kern w:val="0"/>
                <w:sz w:val="24"/>
                <w:szCs w:val="24"/>
              </w:rPr>
              <w:t xml:space="preserve">5</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满意度指标完成情况分析</w:t>
            </w:r>
          </w:p>
        </w:tc>
        <w:tc>
          <w:tcPr>
            <w:tcW w:w="1984"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满意度指标</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社会满意度</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bl>
    <w:p>
      <w:pPr>
        <w:pStyle w:val="Heading2"/>
        <w:ind w:firstLine="643"/>
        <w:rPr>
          <w:rFonts w:ascii="仿宋" w:eastAsia="仿宋" w:hAnsi="仿宋"/>
          <w:lang w:bidi="en-US"/>
        </w:rPr>
      </w:pPr>
      <w:bookmarkStart w:id="32" w:name="_Toc165277239"/>
      <w:bookmarkStart w:id="33" w:name="_Toc67911610"/>
      <w:r>
        <w:rPr>
          <w:rFonts w:ascii="仿宋" w:eastAsia="仿宋" w:hAnsi="仿宋" w:hint="eastAsia"/>
          <w:lang w:bidi="en-US"/>
        </w:rPr>
        <w:t xml:space="preserve">（二）主要绩效</w:t>
      </w:r>
      <w:bookmarkEnd w:id="32"/>
      <w:bookmarkEnd w:id="33"/>
    </w:p>
    <w:p>
      <w:pPr>
        <w:spacing w:line="360" w:lineRule="auto"/>
        <w:ind w:firstLine="549" w:firstLineChars="196"/>
        <w:rPr>
          <w:rFonts w:ascii="仿宋_GB2312"/>
          <w:bCs/>
          <w:szCs w:val="28"/>
        </w:rPr>
      </w:pPr>
      <w:r>
        <w:rPr>
          <w:rFonts w:ascii="仿宋_GB2312" w:hint="eastAsia"/>
          <w:bCs/>
          <w:szCs w:val="28"/>
        </w:rPr>
        <w:t xml:space="preserve">该项目资金区财政及时拨付，单位在此次评价期间内，有序完成设定目标的部分工作任务，专项调查通过人工踏查和悬挂信息素诱捕器在针对全市七区一县白蜡窄吉丁、苹果小吉丁、苹果蠹蛾的发生危害区（点）分布、发生面积（株树）、危害程度进行专项调查。全面掌握乌鲁木齐市近年来重大危险性林业有害生物入侵基本情况及主要病虫害的发生分布和危害情况，制作发生分布图及动态趋势图。全市七区一县共调查街道506条、小区庭院及单位庭院1403个、公园游园30个、苗圃基地1个、防护林2个。共普查到林业有害生物21种，制作标本20盒，</w:t>
      </w:r>
      <w:r>
        <w:rPr>
          <w:rFonts w:ascii="仿宋_GB2312" w:hint="eastAsia"/>
          <w:szCs w:val="28"/>
        </w:rPr>
        <w:t xml:space="preserve">建立乌鲁木齐市林业有害生物数据库，抵御防范林业外来有害生物入侵，确保我市林业生态安全</w:t>
      </w:r>
      <w:r>
        <w:rPr>
          <w:rFonts w:ascii="仿宋_GB2312" w:hint="eastAsia"/>
          <w:bCs/>
          <w:szCs w:val="28"/>
        </w:rPr>
        <w:t xml:space="preserve">。</w:t>
      </w:r>
    </w:p>
    <w:p>
      <w:pPr>
        <w:pStyle w:val="Heading1"/>
        <w:ind w:firstLine="0" w:firstLineChars="0"/>
        <w:jc w:val="left"/>
        <w:rPr>
          <w:rFonts w:ascii="仿宋" w:eastAsia="仿宋" w:hAnsi="仿宋"/>
          <w:sz w:val="36"/>
          <w:szCs w:val="36"/>
          <w:lang w:bidi="en-US"/>
        </w:rPr>
      </w:pPr>
      <w:bookmarkStart w:id="34" w:name="_Toc67911611"/>
      <w:bookmarkStart w:id="35" w:name="_Toc165277240"/>
      <w:r>
        <w:rPr>
          <w:rFonts w:ascii="仿宋" w:eastAsia="仿宋" w:hAnsi="仿宋" w:hint="eastAsia"/>
          <w:sz w:val="36"/>
          <w:szCs w:val="36"/>
          <w:lang w:bidi="en-US"/>
        </w:rPr>
        <w:t xml:space="preserve">四、绩效评价指标分析</w:t>
      </w:r>
      <w:bookmarkEnd w:id="34"/>
      <w:bookmarkEnd w:id="35"/>
    </w:p>
    <w:p>
      <w:pPr>
        <w:pStyle w:val="Heading2"/>
        <w:ind w:firstLine="643"/>
        <w:rPr>
          <w:rFonts w:ascii="仿宋" w:eastAsia="仿宋" w:hAnsi="仿宋"/>
          <w:lang w:bidi="en-US"/>
        </w:rPr>
      </w:pPr>
      <w:bookmarkStart w:id="36" w:name="_Toc67911612"/>
      <w:bookmarkStart w:id="37" w:name="_Toc165277241"/>
      <w:r>
        <w:rPr>
          <w:rFonts w:ascii="仿宋" w:eastAsia="仿宋" w:hAnsi="仿宋" w:hint="eastAsia"/>
          <w:lang w:bidi="en-US"/>
        </w:rPr>
        <w:t xml:space="preserve">（一）项目决策情况</w:t>
      </w:r>
      <w:bookmarkEnd w:id="36"/>
      <w:bookmarkEnd w:id="37"/>
    </w:p>
    <w:p>
      <w:pPr>
        <w:spacing w:line="360" w:lineRule="auto"/>
        <w:ind w:firstLine="560"/>
        <w:rPr>
          <w:rFonts w:ascii="仿宋_GB2312"/>
          <w:szCs w:val="28"/>
        </w:rPr>
      </w:pPr>
      <w:r>
        <w:rPr>
          <w:rFonts w:ascii="仿宋_GB2312" w:hint="eastAsia"/>
          <w:szCs w:val="28"/>
        </w:rPr>
        <w:t xml:space="preserve">项目决算指标由3个二级指标和6个三级指标构成，权重为</w:t>
      </w:r>
      <w:r>
        <w:rPr>
          <w:rFonts w:ascii="仿宋_GB2312"/>
          <w:szCs w:val="28"/>
        </w:rPr>
        <w:t xml:space="preserve">20</w:t>
      </w:r>
      <w:r>
        <w:rPr>
          <w:rFonts w:ascii="仿宋_GB2312" w:hint="eastAsia"/>
          <w:szCs w:val="28"/>
        </w:rPr>
        <w:t xml:space="preserve">分，实际得分20分。</w:t>
      </w:r>
    </w:p>
    <w:p>
      <w:pPr>
        <w:pStyle w:val="Heading3"/>
        <w:ind w:firstLine="643"/>
      </w:pPr>
      <w:bookmarkStart w:id="38" w:name="_Toc165277242"/>
      <w:r>
        <w:t xml:space="preserve">1.</w:t>
      </w:r>
      <w:r>
        <w:rPr>
          <w:rFonts w:hint="eastAsia"/>
        </w:rPr>
        <w:t xml:space="preserve">项目立项</w:t>
      </w:r>
      <w:bookmarkEnd w:id="38"/>
    </w:p>
    <w:p>
      <w:pPr>
        <w:spacing w:line="360" w:lineRule="auto"/>
        <w:ind w:firstLine="562"/>
        <w:rPr>
          <w:rFonts w:ascii="仿宋_GB2312"/>
          <w:szCs w:val="28"/>
        </w:rPr>
      </w:pPr>
      <w:r>
        <w:rPr>
          <w:rFonts w:ascii="仿宋_GB2312" w:hint="eastAsia"/>
          <w:b/>
          <w:bCs/>
          <w:szCs w:val="28"/>
        </w:rPr>
        <w:t xml:space="preserve">立项依据充分性：</w:t>
      </w:r>
      <w:r>
        <w:rPr>
          <w:rFonts w:ascii="仿宋_GB2312" w:hint="eastAsia"/>
          <w:szCs w:val="28"/>
        </w:rPr>
        <w:t xml:space="preserve">根据《申报指南》要求，及时申报项目，提交实施方案等资料，修改审核通过，同时，项目与乌鲁木齐市林业有害生物防治检疫站（乌鲁木齐市草原监测站）职责范围相符，属于部门履职所需。此外，本项目属中央林业草原生态保护修护资金，符合中央、地方事权支出责任划分原则。因此，立项依据充分，得4分。</w:t>
      </w:r>
    </w:p>
    <w:p>
      <w:pPr>
        <w:adjustRightInd w:val="0"/>
        <w:snapToGrid w:val="0"/>
        <w:spacing w:line="560" w:lineRule="exact"/>
        <w:ind w:firstLine="562"/>
        <w:rPr>
          <w:rFonts w:ascii="Times New Roman" w:eastAsia="方正仿宋_GBK" w:hAnsi="Times New Roman"/>
          <w:sz w:val="32"/>
        </w:rPr>
      </w:pPr>
      <w:r>
        <w:rPr>
          <w:rFonts w:ascii="仿宋_GB2312" w:hint="eastAsia"/>
          <w:b/>
          <w:bCs/>
          <w:szCs w:val="28"/>
        </w:rPr>
        <w:t xml:space="preserve">立项程序规范性</w:t>
      </w:r>
      <w:r>
        <w:rPr>
          <w:rFonts w:ascii="仿宋_GB2312"/>
          <w:b/>
          <w:bCs/>
          <w:szCs w:val="28"/>
        </w:rPr>
        <w:t xml:space="preserve">:</w:t>
      </w:r>
      <w:r>
        <w:rPr>
          <w:rFonts w:ascii="仿宋_GB2312" w:hint="eastAsia"/>
          <w:szCs w:val="28"/>
        </w:rPr>
        <w:t xml:space="preserve">根据《关于提前下达2024年中央林业草原生态保护恢复资金建设任务的通知》（新林规字〔2023〕212号）、《关于提前下达2024年中央林业草原生态保护恢复资金的通知》（乌财资环〔2023〕135号）、关于提前下达2024年中央财政林业草原生态保护恢复资金建设任务的函（乌林函〔2023〕306号）文件精神和要求，乌鲁木齐市林业有害生物防治检疫站（乌鲁木齐市草原监测站）及时按照下达的建设任务进行项目实施的前期准备，编制修改《乌鲁木齐市2023年草原生态修复治理项目实施方案》，2024年1月经乌鲁木齐市林业园林管理局（乌鲁木齐市园林管理局）批复后实施。项目按照规定的程序申请设立，审批文件、材料符合相关要求，故立项程序规范，得4分。</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w:t>
      </w:r>
      <w:r>
        <w:rPr>
          <w:rFonts w:ascii="仿宋_GB2312" w:hAnsi="仿宋" w:cs="宋体"/>
          <w:b/>
          <w:kern w:val="0"/>
          <w:szCs w:val="28"/>
        </w:rPr>
        <w:t xml:space="preserve">8</w:t>
      </w:r>
      <w:r>
        <w:rPr>
          <w:rFonts w:ascii="仿宋_GB2312" w:hAnsi="仿宋" w:cs="宋体" w:hint="eastAsia"/>
          <w:b/>
          <w:kern w:val="0"/>
          <w:szCs w:val="28"/>
        </w:rPr>
        <w:t xml:space="preserve">分，得分8分。</w:t>
      </w:r>
    </w:p>
    <w:p>
      <w:pPr>
        <w:pStyle w:val="Heading3"/>
        <w:ind w:firstLine="643"/>
      </w:pPr>
      <w:bookmarkStart w:id="39" w:name="_Toc165277243"/>
      <w:r>
        <w:rPr>
          <w:rFonts w:hint="eastAsia"/>
        </w:rPr>
        <w:t xml:space="preserve">2</w:t>
      </w:r>
      <w:r>
        <w:t xml:space="preserve">.</w:t>
      </w:r>
      <w:r>
        <w:rPr>
          <w:rFonts w:hint="eastAsia"/>
        </w:rPr>
        <w:t xml:space="preserve">绩效目标</w:t>
      </w:r>
      <w:bookmarkEnd w:id="39"/>
    </w:p>
    <w:p>
      <w:pPr>
        <w:spacing w:line="360" w:lineRule="auto"/>
        <w:ind w:firstLine="562"/>
        <w:rPr>
          <w:rFonts w:ascii="仿宋_GB2312"/>
          <w:szCs w:val="28"/>
        </w:rPr>
      </w:pPr>
      <w:r>
        <w:rPr>
          <w:rFonts w:ascii="仿宋_GB2312" w:hint="eastAsia"/>
          <w:b/>
          <w:bCs/>
          <w:szCs w:val="28"/>
        </w:rPr>
        <w:t xml:space="preserve">绩效目标合理性：</w:t>
      </w:r>
      <w:r>
        <w:rPr>
          <w:rFonts w:ascii="仿宋_GB2312" w:hint="eastAsia"/>
          <w:szCs w:val="28"/>
        </w:rPr>
        <w:t xml:space="preserve">本项目的绩效目标按照产出、效益和满意度构建绩效评价指标，且具有明确性、可衡量性、可实现性、相关性和时限性等特点，能较为全面地反映本项目的产出和效益，故绩效目标合理性指标得分</w:t>
      </w:r>
      <w:r>
        <w:rPr>
          <w:rFonts w:ascii="仿宋_GB2312"/>
          <w:szCs w:val="28"/>
        </w:rPr>
        <w:t xml:space="preserve">3</w:t>
      </w:r>
      <w:r>
        <w:rPr>
          <w:rFonts w:ascii="仿宋_GB2312" w:hint="eastAsia"/>
          <w:szCs w:val="28"/>
        </w:rPr>
        <w:t xml:space="preserve">分。</w:t>
      </w:r>
    </w:p>
    <w:p>
      <w:pPr>
        <w:autoSpaceDE w:val="0"/>
        <w:spacing w:line="600" w:lineRule="exact"/>
        <w:ind w:firstLine="562"/>
        <w:rPr>
          <w:rFonts w:ascii="仿宋_GB2312" w:hAnsi="仿宋" w:cs="宋体"/>
          <w:kern w:val="0"/>
          <w:szCs w:val="28"/>
        </w:rPr>
      </w:pPr>
      <w:r>
        <w:rPr>
          <w:rFonts w:ascii="仿宋_GB2312" w:hAnsi="仿宋" w:cs="宋体" w:hint="eastAsia"/>
          <w:b/>
          <w:kern w:val="0"/>
          <w:szCs w:val="28"/>
        </w:rPr>
        <w:t xml:space="preserve">绩效目标明确性：</w:t>
      </w:r>
      <w:r>
        <w:rPr>
          <w:rFonts w:ascii="仿宋_GB2312" w:hAnsi="仿宋" w:cs="宋体" w:hint="eastAsia"/>
          <w:kern w:val="0"/>
          <w:szCs w:val="28"/>
        </w:rPr>
        <w:t xml:space="preserve">其中，目标已细化为具体的绩效指标，可通过3个数量指标、1个质量指标和2个成本指标，通过调查种类、调查种类准确、调查任务完成率、监测覆盖率等指标进行评价，并具有确切的评价标准，且指标设定均与目标相关。各项指标均能在现实条件下收集到相关数据进行佐证，可通过调取项目资料，查看项目验收报告、总结报告、支付凭证确认。并与当年项目年度计划相对应，故绩效目标明确性指标得分3分。</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w:t>
      </w:r>
      <w:r>
        <w:rPr>
          <w:rFonts w:ascii="仿宋_GB2312" w:hAnsi="仿宋" w:cs="宋体"/>
          <w:b/>
          <w:kern w:val="0"/>
          <w:szCs w:val="28"/>
        </w:rPr>
        <w:t xml:space="preserve">6</w:t>
      </w:r>
      <w:r>
        <w:rPr>
          <w:rFonts w:ascii="仿宋_GB2312" w:hAnsi="仿宋" w:cs="宋体" w:hint="eastAsia"/>
          <w:b/>
          <w:kern w:val="0"/>
          <w:szCs w:val="28"/>
        </w:rPr>
        <w:t xml:space="preserve">分，得分6分。</w:t>
      </w:r>
    </w:p>
    <w:p>
      <w:pPr>
        <w:pStyle w:val="Heading3"/>
        <w:ind w:firstLine="643"/>
      </w:pPr>
      <w:bookmarkStart w:id="40" w:name="_Toc165277244"/>
      <w:r>
        <w:rPr>
          <w:rFonts w:hint="eastAsia"/>
        </w:rPr>
        <w:t xml:space="preserve">3.资金投入</w:t>
      </w:r>
      <w:bookmarkEnd w:id="40"/>
    </w:p>
    <w:p>
      <w:pPr>
        <w:autoSpaceDE w:val="0"/>
        <w:spacing w:line="600" w:lineRule="exact"/>
        <w:ind w:firstLine="562"/>
        <w:rPr>
          <w:rFonts w:ascii="仿宋_GB2312" w:hAnsi="仿宋" w:cs="宋体"/>
          <w:bCs/>
          <w:kern w:val="0"/>
          <w:szCs w:val="28"/>
        </w:rPr>
      </w:pPr>
      <w:r>
        <w:rPr>
          <w:rFonts w:ascii="仿宋_GB2312" w:hAnsi="仿宋" w:cs="宋体" w:hint="eastAsia"/>
          <w:b/>
          <w:kern w:val="0"/>
          <w:szCs w:val="28"/>
        </w:rPr>
        <w:t xml:space="preserve">预算编制科学性：</w:t>
      </w:r>
      <w:r>
        <w:rPr>
          <w:rFonts w:ascii="仿宋_GB2312" w:hint="eastAsia"/>
          <w:szCs w:val="28"/>
        </w:rPr>
        <w:t xml:space="preserve">乌鲁木齐市重大林业有害生物专项调查项目实施方案编制经过自治区林业有害生物检疫鉴定和风险评估中心专家评审及乌鲁木齐市林业园林管理局（乌鲁木齐市园林管理局）批复，实施方案与预算相匹配。同时，方案概算表监测调查设备按市场价格为依据，人工</w:t>
      </w:r>
      <w:r>
        <w:rPr>
          <w:rFonts w:ascii="仿宋_GB2312" w:hint="eastAsia"/>
          <w:szCs w:val="28"/>
          <w:lang w:val="zh-CN"/>
        </w:rPr>
        <w:t xml:space="preserve">按当地市场询价计算</w:t>
      </w:r>
      <w:r>
        <w:rPr>
          <w:rFonts w:ascii="仿宋_GB2312" w:hint="eastAsia"/>
          <w:szCs w:val="28"/>
        </w:rPr>
        <w:t xml:space="preserve">，按照标准编制，预算确定的项目资金与工作任务相匹配。故预算编制科学性指标得分3分。</w:t>
      </w:r>
    </w:p>
    <w:p>
      <w:pPr>
        <w:autoSpaceDE w:val="0"/>
        <w:autoSpaceDN w:val="0"/>
        <w:adjustRightInd w:val="0"/>
        <w:snapToGrid w:val="0"/>
        <w:spacing w:line="560" w:lineRule="exact"/>
        <w:ind w:right="-339" w:firstLine="562" w:rightChars="-121"/>
        <w:jc w:val="left"/>
      </w:pPr>
      <w:r>
        <w:rPr>
          <w:rFonts w:hint="eastAsia"/>
          <w:b/>
          <w:bCs/>
        </w:rPr>
        <w:t xml:space="preserve">资金分配合理性</w:t>
      </w:r>
      <w:r>
        <w:rPr>
          <w:rFonts w:hint="eastAsia"/>
        </w:rPr>
        <w:t xml:space="preserve">：</w:t>
      </w:r>
      <w:r>
        <w:rPr>
          <w:rFonts w:ascii="仿宋_GB2312" w:hint="eastAsia"/>
          <w:szCs w:val="28"/>
        </w:rPr>
        <w:t xml:space="preserve">根据《关于提前下达2024年中央林业草原生态保护恢复资金建设任务的通知》（新林规字〔2023〕212号）、《关于提前下达2024年中央林业草原生态保护恢复资金的通知》（乌财资环〔2024〕135号）文件精神和要求，按照《2024年乌鲁木齐市重大危险性林业有害生物专项调查项目实施方案》和项目项目预算表对资金进行分配，资金分配额度合理。故资金分配合理性指标得分3分。</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w:t>
      </w:r>
      <w:r>
        <w:rPr>
          <w:rFonts w:ascii="仿宋_GB2312" w:hAnsi="仿宋" w:cs="宋体"/>
          <w:b/>
          <w:kern w:val="0"/>
          <w:szCs w:val="28"/>
        </w:rPr>
        <w:t xml:space="preserve">6</w:t>
      </w:r>
      <w:r>
        <w:rPr>
          <w:rFonts w:ascii="仿宋_GB2312" w:hAnsi="仿宋" w:cs="宋体" w:hint="eastAsia"/>
          <w:b/>
          <w:kern w:val="0"/>
          <w:szCs w:val="28"/>
        </w:rPr>
        <w:t xml:space="preserve">分，得分6分。</w:t>
      </w:r>
    </w:p>
    <w:p>
      <w:pPr>
        <w:pStyle w:val="Heading2"/>
        <w:ind w:firstLine="643"/>
        <w:rPr>
          <w:rFonts w:ascii="仿宋" w:eastAsia="仿宋" w:hAnsi="仿宋"/>
          <w:lang w:bidi="en-US"/>
        </w:rPr>
      </w:pPr>
      <w:bookmarkStart w:id="41" w:name="_Toc67911613"/>
      <w:bookmarkStart w:id="42" w:name="_Toc165277245"/>
      <w:r>
        <w:rPr>
          <w:rFonts w:ascii="仿宋" w:eastAsia="仿宋" w:hAnsi="仿宋" w:hint="eastAsia"/>
          <w:lang w:bidi="en-US"/>
        </w:rPr>
        <w:t xml:space="preserve">（二）项目过程情况</w:t>
      </w:r>
      <w:bookmarkEnd w:id="41"/>
      <w:bookmarkEnd w:id="42"/>
    </w:p>
    <w:p>
      <w:pPr>
        <w:spacing w:line="360" w:lineRule="auto"/>
        <w:ind w:firstLine="560"/>
        <w:rPr>
          <w:rFonts w:ascii="仿宋_GB2312"/>
          <w:szCs w:val="28"/>
        </w:rPr>
      </w:pPr>
      <w:r>
        <w:rPr>
          <w:rFonts w:ascii="仿宋_GB2312" w:hint="eastAsia"/>
          <w:szCs w:val="28"/>
        </w:rPr>
        <w:t xml:space="preserve">项目过程指标由2个二级指标和</w:t>
      </w:r>
      <w:r>
        <w:rPr>
          <w:rFonts w:ascii="仿宋_GB2312"/>
          <w:szCs w:val="28"/>
        </w:rPr>
        <w:t xml:space="preserve">5</w:t>
      </w:r>
      <w:r>
        <w:rPr>
          <w:rFonts w:ascii="仿宋_GB2312" w:hint="eastAsia"/>
          <w:szCs w:val="28"/>
        </w:rPr>
        <w:t xml:space="preserve">个三级指标构成，权重为20分，实际得分20分。</w:t>
      </w:r>
    </w:p>
    <w:p>
      <w:pPr>
        <w:pStyle w:val="Heading3"/>
        <w:ind w:firstLine="643"/>
      </w:pPr>
      <w:bookmarkStart w:id="43" w:name="_Toc165277246"/>
      <w:r>
        <w:t xml:space="preserve">1.</w:t>
      </w:r>
      <w:r>
        <w:rPr>
          <w:rFonts w:hint="eastAsia"/>
        </w:rPr>
        <w:t xml:space="preserve">资金管理</w:t>
      </w:r>
      <w:bookmarkEnd w:id="43"/>
    </w:p>
    <w:p>
      <w:pPr>
        <w:pStyle w:val="CommentText"/>
        <w:adjustRightInd w:val="0"/>
        <w:snapToGrid w:val="0"/>
        <w:spacing w:line="560" w:lineRule="exact"/>
        <w:ind w:firstLine="562"/>
        <w:jc w:val="both"/>
        <w:rPr>
          <w:rFonts w:ascii="仿宋_GB2312" w:hAnsi="仿宋" w:cs="宋体"/>
          <w:kern w:val="0"/>
          <w:szCs w:val="28"/>
        </w:rPr>
      </w:pPr>
      <w:r>
        <w:rPr>
          <w:rFonts w:ascii="仿宋_GB2312" w:hint="eastAsia"/>
          <w:b/>
          <w:bCs/>
          <w:szCs w:val="28"/>
        </w:rPr>
        <w:t xml:space="preserve">资金到位率：</w:t>
      </w:r>
      <w:r>
        <w:rPr>
          <w:rFonts w:ascii="仿宋_GB2312" w:hAnsi="仿宋" w:cs="宋体" w:hint="eastAsia"/>
          <w:kern w:val="0"/>
          <w:szCs w:val="28"/>
        </w:rPr>
        <w:t xml:space="preserve">乌鲁木齐市重大林业有害生物专项调查项目资金40万元由财政拨付，在2024年7月11日到位38.8万元、12月10日到位1.2万元，资金及时到位。</w:t>
      </w:r>
    </w:p>
    <w:p>
      <w:pPr>
        <w:spacing w:line="560" w:lineRule="exact"/>
        <w:ind w:firstLine="560"/>
        <w:rPr>
          <w:rFonts w:ascii="仿宋_GB2312" w:hAnsi="仿宋" w:cs="宋体"/>
          <w:kern w:val="0"/>
          <w:szCs w:val="28"/>
        </w:rPr>
      </w:pPr>
      <w:r>
        <w:rPr>
          <w:rFonts w:ascii="仿宋_GB2312" w:hAnsi="仿宋" w:cs="宋体" w:hint="eastAsia"/>
          <w:kern w:val="0"/>
          <w:szCs w:val="28"/>
        </w:rPr>
        <w:t xml:space="preserve">项目预算资金为40万元，项目实际到位资金为40万元，因此资金到位率=（实际到位资金/预算资金）×100%=40/40×100%=100%。故资金到位率指标得分5分。</w:t>
      </w:r>
    </w:p>
    <w:p>
      <w:pPr>
        <w:spacing w:line="360" w:lineRule="auto"/>
        <w:ind w:firstLine="562"/>
        <w:rPr>
          <w:rFonts w:ascii="仿宋_GB2312"/>
          <w:szCs w:val="28"/>
        </w:rPr>
      </w:pPr>
      <w:r>
        <w:rPr>
          <w:rFonts w:ascii="仿宋_GB2312" w:hint="eastAsia"/>
          <w:b/>
          <w:bCs/>
          <w:szCs w:val="28"/>
        </w:rPr>
        <w:t xml:space="preserve">预算执行率：</w:t>
      </w:r>
      <w:r>
        <w:rPr>
          <w:rFonts w:ascii="仿宋_GB2312" w:hint="eastAsia"/>
          <w:szCs w:val="28"/>
        </w:rPr>
        <w:t xml:space="preserve">项目实际到位资金为40万元，项目实际支出资金为40万元，预算执行率=（实际支出资金/实际到位资金）×100%=40/40×100%=100%。故预算执行率得分为5分。</w:t>
      </w:r>
    </w:p>
    <w:p>
      <w:pPr>
        <w:spacing w:line="360" w:lineRule="auto"/>
        <w:ind w:firstLine="562"/>
        <w:rPr>
          <w:rFonts w:ascii="仿宋_GB2312"/>
          <w:szCs w:val="28"/>
        </w:rPr>
      </w:pPr>
      <w:r>
        <w:rPr>
          <w:rFonts w:ascii="仿宋_GB2312" w:hint="eastAsia"/>
          <w:b/>
          <w:bCs/>
          <w:szCs w:val="28"/>
        </w:rPr>
        <w:t xml:space="preserve">资金使用合规性：</w:t>
      </w:r>
      <w:r>
        <w:rPr>
          <w:rFonts w:ascii="仿宋_GB2312" w:hint="eastAsia"/>
          <w:szCs w:val="28"/>
        </w:rPr>
        <w:t xml:space="preserve">本项目资金的使用符合乌鲁木齐市财政专项资金使用跟踪反馈管理暂行办法的规定。资金的拨付先通过单位内部组织召开会议，根据项目实施方案讨论项目实施进度申请资金支付，单位内部会议通过后，上报局党组会议，会议通过后将会议纪要传达至综合科室，财务相关负责人员提交用款计划，财政层层审核，财政资金下达后进行支付申请。以上流程有大额资金批复、签批单、会议纪要等审批程序及其他必需相对应的手续。符合项目预算批复或合同规定的用途，不存在截留、挤占、挪用、虚列支出等情况。故资金使用合规性得分为3分。</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w:t>
      </w:r>
      <w:r>
        <w:rPr>
          <w:rFonts w:ascii="仿宋_GB2312" w:hAnsi="仿宋" w:cs="宋体"/>
          <w:b/>
          <w:kern w:val="0"/>
          <w:szCs w:val="28"/>
        </w:rPr>
        <w:t xml:space="preserve">13</w:t>
      </w:r>
      <w:r>
        <w:rPr>
          <w:rFonts w:ascii="仿宋_GB2312" w:hAnsi="仿宋" w:cs="宋体" w:hint="eastAsia"/>
          <w:b/>
          <w:kern w:val="0"/>
          <w:szCs w:val="28"/>
        </w:rPr>
        <w:t xml:space="preserve">分，得分13分。</w:t>
      </w:r>
    </w:p>
    <w:p>
      <w:pPr>
        <w:pStyle w:val="Heading3"/>
        <w:ind w:firstLine="643"/>
      </w:pPr>
      <w:bookmarkStart w:id="44" w:name="_Toc165277247"/>
      <w:r>
        <w:t xml:space="preserve">2.</w:t>
      </w:r>
      <w:r>
        <w:rPr>
          <w:rFonts w:hint="eastAsia"/>
        </w:rPr>
        <w:t xml:space="preserve">组织实施</w:t>
      </w:r>
      <w:bookmarkEnd w:id="44"/>
    </w:p>
    <w:p>
      <w:pPr>
        <w:spacing w:line="360" w:lineRule="auto"/>
        <w:ind w:firstLine="562"/>
        <w:rPr>
          <w:rFonts w:ascii="仿宋_GB2312"/>
          <w:szCs w:val="28"/>
        </w:rPr>
      </w:pPr>
      <w:r>
        <w:rPr>
          <w:rFonts w:ascii="仿宋_GB2312" w:hint="eastAsia"/>
          <w:b/>
          <w:bCs/>
          <w:szCs w:val="28"/>
        </w:rPr>
        <w:t xml:space="preserve">管理制度健全性</w:t>
      </w:r>
      <w:r>
        <w:rPr>
          <w:rFonts w:ascii="仿宋_GB2312" w:hint="eastAsia"/>
          <w:szCs w:val="28"/>
        </w:rPr>
        <w:t xml:space="preserve">：乌鲁木齐市林业有害生物专项调查项目已制定《内部控制管理手册》，且制度合法、合规、完整，为项目顺利实施提供重要保障。故管理制度健全性得分为3分。</w:t>
      </w:r>
    </w:p>
    <w:p>
      <w:pPr>
        <w:spacing w:line="360" w:lineRule="auto"/>
        <w:ind w:firstLine="562"/>
        <w:rPr>
          <w:rFonts w:ascii="仿宋_GB2312"/>
          <w:szCs w:val="28"/>
        </w:rPr>
      </w:pPr>
      <w:r>
        <w:rPr>
          <w:rFonts w:ascii="仿宋_GB2312" w:hint="eastAsia"/>
          <w:b/>
          <w:bCs/>
          <w:szCs w:val="28"/>
        </w:rPr>
        <w:t xml:space="preserve">制度执行有效性：</w:t>
      </w:r>
      <w:r>
        <w:rPr>
          <w:rFonts w:ascii="仿宋_GB2312" w:hint="eastAsia"/>
          <w:szCs w:val="28"/>
        </w:rPr>
        <w:t xml:space="preserve">根据评价小组核查情况，乌鲁木齐市林业有害生物专项调查项目严格遵守相关法律法规和相关管理规定，项目调整及支出调整手续完备，整体管理合理有序，项目完成后，及时将会计凭证、固定资产入库单等相关资料分类归档，制度执行有效。故制度执行有效性指标得分</w:t>
      </w:r>
      <w:r>
        <w:rPr>
          <w:rFonts w:ascii="仿宋_GB2312"/>
          <w:szCs w:val="28"/>
        </w:rPr>
        <w:t xml:space="preserve">4</w:t>
      </w:r>
      <w:r>
        <w:rPr>
          <w:rFonts w:ascii="仿宋_GB2312" w:hint="eastAsia"/>
          <w:szCs w:val="28"/>
        </w:rPr>
        <w:t xml:space="preserve">分。</w:t>
      </w:r>
    </w:p>
    <w:p>
      <w:pPr>
        <w:autoSpaceDE w:val="0"/>
        <w:spacing w:line="600" w:lineRule="exact"/>
        <w:ind w:firstLine="562"/>
        <w:rPr>
          <w:rFonts w:ascii="仿宋_GB2312" w:hAnsi="仿宋" w:cs="宋体"/>
          <w:b/>
          <w:kern w:val="0"/>
          <w:szCs w:val="28"/>
        </w:rPr>
      </w:pPr>
      <w:bookmarkStart w:id="45" w:name="_Hlk67670213"/>
      <w:r>
        <w:rPr>
          <w:rFonts w:ascii="仿宋_GB2312" w:hAnsi="仿宋" w:cs="宋体" w:hint="eastAsia"/>
          <w:b/>
          <w:kern w:val="0"/>
          <w:szCs w:val="28"/>
        </w:rPr>
        <w:t xml:space="preserve">综上，该指标满分</w:t>
      </w:r>
      <w:r>
        <w:rPr>
          <w:rFonts w:ascii="仿宋_GB2312" w:hAnsi="仿宋" w:cs="宋体"/>
          <w:b/>
          <w:kern w:val="0"/>
          <w:szCs w:val="28"/>
        </w:rPr>
        <w:t xml:space="preserve">7</w:t>
      </w:r>
      <w:r>
        <w:rPr>
          <w:rFonts w:ascii="仿宋_GB2312" w:hAnsi="仿宋" w:cs="宋体" w:hint="eastAsia"/>
          <w:b/>
          <w:kern w:val="0"/>
          <w:szCs w:val="28"/>
        </w:rPr>
        <w:t xml:space="preserve">分，得分</w:t>
      </w:r>
      <w:r>
        <w:rPr>
          <w:rFonts w:ascii="仿宋_GB2312" w:hAnsi="仿宋" w:cs="宋体"/>
          <w:b/>
          <w:kern w:val="0"/>
          <w:szCs w:val="28"/>
        </w:rPr>
        <w:t xml:space="preserve">7</w:t>
      </w:r>
      <w:r>
        <w:rPr>
          <w:rFonts w:ascii="仿宋_GB2312" w:hAnsi="仿宋" w:cs="宋体" w:hint="eastAsia"/>
          <w:b/>
          <w:kern w:val="0"/>
          <w:szCs w:val="28"/>
        </w:rPr>
        <w:t xml:space="preserve">分。</w:t>
      </w:r>
      <w:bookmarkEnd w:id="45"/>
    </w:p>
    <w:p>
      <w:pPr>
        <w:pStyle w:val="Heading2"/>
        <w:ind w:firstLine="643"/>
        <w:rPr>
          <w:rFonts w:ascii="仿宋" w:eastAsia="仿宋" w:hAnsi="仿宋"/>
          <w:lang w:bidi="en-US"/>
        </w:rPr>
      </w:pPr>
      <w:bookmarkStart w:id="46" w:name="_Toc67911614"/>
      <w:bookmarkStart w:id="47" w:name="_Toc165277248"/>
      <w:r>
        <w:rPr>
          <w:rFonts w:ascii="仿宋" w:eastAsia="仿宋" w:hAnsi="仿宋" w:hint="eastAsia"/>
          <w:lang w:bidi="en-US"/>
        </w:rPr>
        <w:t xml:space="preserve">（三）项目产出情况</w:t>
      </w:r>
      <w:bookmarkEnd w:id="46"/>
      <w:bookmarkEnd w:id="47"/>
    </w:p>
    <w:p>
      <w:pPr>
        <w:spacing w:line="360" w:lineRule="auto"/>
        <w:ind w:firstLine="560"/>
        <w:rPr>
          <w:rFonts w:ascii="仿宋_GB2312"/>
          <w:szCs w:val="28"/>
        </w:rPr>
      </w:pPr>
      <w:r>
        <w:rPr>
          <w:rFonts w:ascii="仿宋_GB2312" w:hint="eastAsia"/>
          <w:szCs w:val="28"/>
        </w:rPr>
        <w:t xml:space="preserve">项目产出指标由3个二级指标和</w:t>
      </w:r>
      <w:r>
        <w:rPr>
          <w:rFonts w:ascii="仿宋_GB2312"/>
          <w:szCs w:val="28"/>
        </w:rPr>
        <w:t xml:space="preserve">7</w:t>
      </w:r>
      <w:r>
        <w:rPr>
          <w:rFonts w:ascii="仿宋_GB2312" w:hint="eastAsia"/>
          <w:szCs w:val="28"/>
        </w:rPr>
        <w:t xml:space="preserve">个三级指标构成，权重为</w:t>
      </w:r>
      <w:r>
        <w:rPr>
          <w:rFonts w:ascii="仿宋_GB2312"/>
          <w:szCs w:val="28"/>
        </w:rPr>
        <w:t xml:space="preserve">40</w:t>
      </w:r>
      <w:r>
        <w:rPr>
          <w:rFonts w:ascii="仿宋_GB2312" w:hint="eastAsia"/>
          <w:szCs w:val="28"/>
        </w:rPr>
        <w:t xml:space="preserve">分，实际得分40分。</w:t>
      </w:r>
    </w:p>
    <w:p>
      <w:pPr>
        <w:pStyle w:val="Heading3"/>
        <w:ind w:firstLine="643"/>
      </w:pPr>
      <w:bookmarkStart w:id="48" w:name="_Toc165277249"/>
      <w:r>
        <w:rPr>
          <w:rFonts w:hint="eastAsia"/>
        </w:rPr>
        <w:t xml:space="preserve">1</w:t>
      </w:r>
      <w:r>
        <w:t xml:space="preserve">.</w:t>
      </w:r>
      <w:r>
        <w:rPr>
          <w:rFonts w:hint="eastAsia"/>
        </w:rPr>
        <w:t xml:space="preserve">产出数量</w:t>
      </w:r>
      <w:bookmarkEnd w:id="48"/>
    </w:p>
    <w:p>
      <w:pPr>
        <w:spacing w:line="360" w:lineRule="auto"/>
        <w:ind w:firstLine="560"/>
        <w:rPr>
          <w:rFonts w:ascii="仿宋_GB2312"/>
          <w:bCs/>
          <w:szCs w:val="28"/>
        </w:rPr>
      </w:pPr>
      <w:r>
        <w:rPr>
          <w:rFonts w:ascii="仿宋_GB2312" w:hint="eastAsia"/>
          <w:bCs/>
          <w:szCs w:val="28"/>
        </w:rPr>
        <w:t xml:space="preserve">数量指标 “调查种类”的目标值是3个，调查白蜡窄吉丁、苹果小吉丁、苹果蠹蛾三种林业有害生物，2024</w:t>
      </w:r>
      <w:r>
        <w:rPr>
          <w:rFonts w:ascii="仿宋_GB2312"/>
          <w:bCs/>
          <w:szCs w:val="28"/>
        </w:rPr>
        <w:t xml:space="preserve">年度我单位实际完成</w:t>
      </w:r>
      <w:r>
        <w:rPr>
          <w:rFonts w:ascii="仿宋_GB2312" w:hint="eastAsia"/>
          <w:bCs/>
          <w:szCs w:val="28"/>
        </w:rPr>
        <w:t xml:space="preserve">3个，完成率：100%，</w:t>
      </w:r>
      <w:r>
        <w:rPr>
          <w:rFonts w:ascii="仿宋_GB2312"/>
          <w:bCs/>
          <w:szCs w:val="28"/>
        </w:rPr>
        <w:t xml:space="preserve">故该指标</w:t>
      </w:r>
      <w:r>
        <w:rPr>
          <w:rFonts w:ascii="仿宋_GB2312" w:hint="eastAsia"/>
          <w:bCs/>
          <w:szCs w:val="28"/>
        </w:rPr>
        <w:t xml:space="preserve">得分</w:t>
      </w:r>
      <w:r>
        <w:rPr>
          <w:rFonts w:ascii="仿宋_GB2312"/>
          <w:bCs/>
          <w:szCs w:val="28"/>
        </w:rPr>
        <w:t xml:space="preserve">为</w:t>
      </w:r>
      <w:r>
        <w:rPr>
          <w:rFonts w:ascii="仿宋_GB2312" w:hint="eastAsia"/>
          <w:bCs/>
          <w:szCs w:val="28"/>
        </w:rPr>
        <w:t xml:space="preserve">3分</w:t>
      </w:r>
      <w:r>
        <w:rPr>
          <w:rFonts w:ascii="仿宋_GB2312"/>
          <w:bCs/>
          <w:szCs w:val="28"/>
        </w:rPr>
        <w:t xml:space="preserve">。</w:t>
      </w:r>
    </w:p>
    <w:p>
      <w:pPr>
        <w:spacing w:line="360" w:lineRule="auto"/>
        <w:ind w:firstLine="560"/>
        <w:rPr>
          <w:rFonts w:ascii="仿宋_GB2312"/>
          <w:bCs/>
          <w:szCs w:val="28"/>
        </w:rPr>
      </w:pPr>
      <w:r>
        <w:rPr>
          <w:rFonts w:ascii="仿宋_GB2312" w:hint="eastAsia"/>
          <w:bCs/>
          <w:szCs w:val="28"/>
        </w:rPr>
        <w:t xml:space="preserve">数量指标“有害生物监测调查种类准确”的目标值是90%，完成三种林业有害生物发生调查，2024年度我单位实际完成90%，完成率：100%，</w:t>
      </w:r>
      <w:r>
        <w:rPr>
          <w:rFonts w:ascii="仿宋_GB2312"/>
          <w:bCs/>
          <w:szCs w:val="28"/>
        </w:rPr>
        <w:t xml:space="preserve">故该指标</w:t>
      </w:r>
      <w:r>
        <w:rPr>
          <w:rFonts w:ascii="仿宋_GB2312" w:hint="eastAsia"/>
          <w:bCs/>
          <w:szCs w:val="28"/>
        </w:rPr>
        <w:t xml:space="preserve">得分</w:t>
      </w:r>
      <w:r>
        <w:rPr>
          <w:rFonts w:ascii="仿宋_GB2312"/>
          <w:bCs/>
          <w:szCs w:val="28"/>
        </w:rPr>
        <w:t xml:space="preserve">为</w:t>
      </w:r>
      <w:r>
        <w:rPr>
          <w:rFonts w:ascii="仿宋_GB2312" w:hint="eastAsia"/>
          <w:bCs/>
          <w:szCs w:val="28"/>
        </w:rPr>
        <w:t xml:space="preserve">3分</w:t>
      </w:r>
      <w:r>
        <w:rPr>
          <w:rFonts w:ascii="仿宋_GB2312"/>
          <w:bCs/>
          <w:szCs w:val="28"/>
        </w:rPr>
        <w:t xml:space="preserve">。</w:t>
      </w:r>
    </w:p>
    <w:p>
      <w:pPr>
        <w:spacing w:line="360" w:lineRule="auto"/>
        <w:ind w:firstLine="560"/>
        <w:rPr>
          <w:rFonts w:ascii="仿宋_GB2312"/>
          <w:bCs/>
          <w:szCs w:val="28"/>
        </w:rPr>
      </w:pPr>
      <w:r>
        <w:rPr>
          <w:rFonts w:ascii="仿宋_GB2312" w:hint="eastAsia"/>
          <w:bCs/>
          <w:szCs w:val="28"/>
        </w:rPr>
        <w:t xml:space="preserve">数量指标“有害生物专项调查任务完成率”的目标值是95%，完成七区一县的寄主调查，2024年度我单位实际完成100%，完成率：105.26%，</w:t>
      </w:r>
      <w:r>
        <w:rPr>
          <w:rFonts w:ascii="仿宋_GB2312"/>
          <w:bCs/>
          <w:szCs w:val="28"/>
        </w:rPr>
        <w:t xml:space="preserve">故该指标</w:t>
      </w:r>
      <w:r>
        <w:rPr>
          <w:rFonts w:ascii="仿宋_GB2312" w:hint="eastAsia"/>
          <w:bCs/>
          <w:szCs w:val="28"/>
        </w:rPr>
        <w:t xml:space="preserve">得分</w:t>
      </w:r>
      <w:r>
        <w:rPr>
          <w:rFonts w:ascii="仿宋_GB2312"/>
          <w:bCs/>
          <w:szCs w:val="28"/>
        </w:rPr>
        <w:t xml:space="preserve">为</w:t>
      </w:r>
      <w:r>
        <w:rPr>
          <w:rFonts w:ascii="仿宋_GB2312" w:hint="eastAsia"/>
          <w:bCs/>
          <w:szCs w:val="28"/>
        </w:rPr>
        <w:t xml:space="preserve">4分</w:t>
      </w:r>
      <w:r>
        <w:rPr>
          <w:rFonts w:ascii="仿宋_GB2312"/>
          <w:bCs/>
          <w:szCs w:val="28"/>
        </w:rPr>
        <w:t xml:space="preserve">。</w:t>
      </w:r>
    </w:p>
    <w:p>
      <w:pPr>
        <w:spacing w:line="360" w:lineRule="auto"/>
        <w:ind w:firstLine="562"/>
        <w:rPr>
          <w:rFonts w:ascii="仿宋_GB2312"/>
          <w:szCs w:val="28"/>
        </w:rPr>
      </w:pPr>
      <w:r>
        <w:rPr>
          <w:rFonts w:ascii="仿宋_GB2312" w:hint="eastAsia"/>
          <w:b/>
          <w:bCs/>
          <w:szCs w:val="28"/>
        </w:rPr>
        <w:t xml:space="preserve">实际完成率：</w:t>
      </w:r>
      <w:r>
        <w:rPr>
          <w:rFonts w:ascii="仿宋_GB2312" w:hint="eastAsia"/>
          <w:bCs/>
          <w:szCs w:val="28"/>
        </w:rPr>
        <w:t xml:space="preserve">（100%+100%+105.26%）\3=10</w:t>
      </w:r>
      <w:r>
        <w:rPr>
          <w:rFonts w:ascii="仿宋_GB2312" w:hint="eastAsia"/>
          <w:szCs w:val="28"/>
        </w:rPr>
        <w:t xml:space="preserve">1.75%，故实际完成率得分为10分。</w:t>
      </w:r>
    </w:p>
    <w:p>
      <w:pPr>
        <w:spacing w:line="360" w:lineRule="auto"/>
        <w:ind w:firstLine="562"/>
        <w:rPr>
          <w:rFonts w:ascii="仿宋_GB2312"/>
          <w:b/>
          <w:bCs/>
          <w:szCs w:val="28"/>
        </w:rPr>
      </w:pPr>
      <w:r>
        <w:rPr>
          <w:rFonts w:ascii="仿宋_GB2312"/>
          <w:b/>
          <w:bCs/>
          <w:szCs w:val="28"/>
        </w:rPr>
        <w:t xml:space="preserve">综上，数量指标得分为</w:t>
      </w:r>
      <w:r>
        <w:rPr>
          <w:rFonts w:ascii="仿宋_GB2312" w:hint="eastAsia"/>
          <w:b/>
          <w:bCs/>
          <w:szCs w:val="28"/>
        </w:rPr>
        <w:t xml:space="preserve">10</w:t>
      </w:r>
      <w:r>
        <w:rPr>
          <w:rFonts w:ascii="仿宋_GB2312"/>
          <w:b/>
          <w:bCs/>
          <w:szCs w:val="28"/>
        </w:rPr>
        <w:t xml:space="preserve">分。</w:t>
      </w:r>
    </w:p>
    <w:p>
      <w:pPr>
        <w:pStyle w:val="Heading3"/>
        <w:ind w:firstLine="643"/>
      </w:pPr>
      <w:bookmarkStart w:id="49" w:name="_Toc165277250"/>
      <w:r>
        <w:rPr>
          <w:rFonts w:hint="eastAsia"/>
        </w:rPr>
        <w:t xml:space="preserve">2</w:t>
      </w:r>
      <w:r>
        <w:t xml:space="preserve">.</w:t>
      </w:r>
      <w:r>
        <w:rPr>
          <w:rFonts w:hint="eastAsia"/>
        </w:rPr>
        <w:t xml:space="preserve">产出质量</w:t>
      </w:r>
      <w:bookmarkEnd w:id="49"/>
    </w:p>
    <w:p>
      <w:pPr>
        <w:spacing w:line="360" w:lineRule="auto"/>
        <w:ind w:firstLine="560"/>
        <w:rPr>
          <w:rFonts w:ascii="仿宋_GB2312"/>
          <w:bCs/>
          <w:szCs w:val="28"/>
        </w:rPr>
      </w:pPr>
      <w:bookmarkStart w:id="50" w:name="_Toc165277251"/>
      <w:r>
        <w:rPr>
          <w:rFonts w:ascii="仿宋_GB2312" w:hint="eastAsia"/>
          <w:bCs/>
          <w:szCs w:val="28"/>
        </w:rPr>
        <w:t xml:space="preserve">质量指标“在害生物监测覆盖率”的目标值是90%，根据</w:t>
      </w:r>
      <w:r>
        <w:rPr>
          <w:rFonts w:ascii="仿宋_GB2312"/>
          <w:bCs/>
          <w:szCs w:val="28"/>
        </w:rPr>
        <w:t xml:space="preserve">专项调查</w:t>
      </w:r>
      <w:r>
        <w:rPr>
          <w:rFonts w:ascii="仿宋_GB2312" w:hint="eastAsia"/>
          <w:bCs/>
          <w:szCs w:val="28"/>
        </w:rPr>
        <w:t xml:space="preserve">总结</w:t>
      </w:r>
      <w:r>
        <w:rPr>
          <w:rFonts w:ascii="仿宋_GB2312"/>
          <w:bCs/>
          <w:szCs w:val="28"/>
        </w:rPr>
        <w:t xml:space="preserve">报告得出，</w:t>
      </w:r>
      <w:r>
        <w:rPr>
          <w:rFonts w:ascii="仿宋_GB2312" w:hint="eastAsia"/>
          <w:bCs/>
          <w:szCs w:val="28"/>
        </w:rPr>
        <w:t xml:space="preserve">完成七区一县三种林业有害生物的专项调查，</w:t>
      </w:r>
      <w:r>
        <w:rPr>
          <w:rFonts w:ascii="仿宋_GB2312"/>
          <w:bCs/>
          <w:szCs w:val="28"/>
        </w:rPr>
        <w:t xml:space="preserve">2024年度我单位</w:t>
      </w:r>
      <w:r>
        <w:rPr>
          <w:rFonts w:ascii="仿宋_GB2312" w:hint="eastAsia"/>
          <w:bCs/>
          <w:szCs w:val="28"/>
        </w:rPr>
        <w:t xml:space="preserve">实际完成100%。</w:t>
      </w:r>
      <w:r>
        <w:rPr>
          <w:rFonts w:ascii="仿宋_GB2312" w:hint="eastAsia"/>
          <w:b/>
          <w:bCs/>
          <w:szCs w:val="28"/>
        </w:rPr>
        <w:t xml:space="preserve">实际完成率：</w:t>
      </w:r>
      <w:r>
        <w:rPr>
          <w:rFonts w:ascii="仿宋_GB2312" w:hint="eastAsia"/>
          <w:szCs w:val="28"/>
        </w:rPr>
        <w:t xml:space="preserve">111.11%，故该指标得分为</w:t>
      </w:r>
      <w:r>
        <w:rPr>
          <w:rFonts w:ascii="仿宋_GB2312"/>
          <w:szCs w:val="28"/>
        </w:rPr>
        <w:t xml:space="preserve">5</w:t>
      </w:r>
      <w:r>
        <w:rPr>
          <w:rFonts w:ascii="仿宋_GB2312" w:hint="eastAsia"/>
          <w:szCs w:val="28"/>
        </w:rPr>
        <w:t xml:space="preserve">分。</w:t>
      </w:r>
    </w:p>
    <w:p>
      <w:pPr>
        <w:spacing w:line="360" w:lineRule="auto"/>
        <w:ind w:firstLine="562"/>
        <w:rPr>
          <w:rFonts w:ascii="仿宋_GB2312"/>
          <w:b/>
          <w:bCs/>
          <w:szCs w:val="28"/>
        </w:rPr>
      </w:pPr>
      <w:r>
        <w:rPr>
          <w:rFonts w:ascii="仿宋_GB2312"/>
          <w:b/>
          <w:bCs/>
          <w:szCs w:val="28"/>
        </w:rPr>
        <w:t xml:space="preserve">综上，</w:t>
      </w:r>
      <w:r>
        <w:rPr>
          <w:rFonts w:ascii="仿宋_GB2312" w:hint="eastAsia"/>
          <w:b/>
          <w:bCs/>
          <w:szCs w:val="28"/>
        </w:rPr>
        <w:t xml:space="preserve">质量</w:t>
      </w:r>
      <w:r>
        <w:rPr>
          <w:rFonts w:ascii="仿宋_GB2312"/>
          <w:b/>
          <w:bCs/>
          <w:szCs w:val="28"/>
        </w:rPr>
        <w:t xml:space="preserve">指标得分为5分。</w:t>
      </w:r>
    </w:p>
    <w:p>
      <w:pPr>
        <w:pStyle w:val="Heading3"/>
        <w:ind w:firstLine="643"/>
      </w:pPr>
      <w:r>
        <w:t xml:space="preserve">3.</w:t>
      </w:r>
      <w:r>
        <w:rPr>
          <w:rFonts w:hint="eastAsia"/>
        </w:rPr>
        <w:t xml:space="preserve">产出时效</w:t>
      </w:r>
    </w:p>
    <w:p>
      <w:pPr>
        <w:spacing w:line="360" w:lineRule="auto"/>
        <w:ind w:firstLine="560"/>
        <w:rPr>
          <w:rFonts w:ascii="仿宋_GB2312"/>
          <w:bCs/>
          <w:szCs w:val="28"/>
        </w:rPr>
      </w:pPr>
      <w:r>
        <w:rPr>
          <w:rFonts w:ascii="仿宋_GB2312" w:hint="eastAsia"/>
          <w:bCs/>
          <w:szCs w:val="28"/>
        </w:rPr>
        <w:t xml:space="preserve">质量指标“项目实际</w:t>
      </w:r>
      <w:r>
        <w:rPr>
          <w:rFonts w:ascii="仿宋_GB2312"/>
          <w:bCs/>
          <w:szCs w:val="28"/>
        </w:rPr>
        <w:t xml:space="preserve">完成时限</w:t>
      </w:r>
      <w:r>
        <w:rPr>
          <w:rFonts w:ascii="仿宋_GB2312" w:hint="eastAsia"/>
          <w:bCs/>
          <w:szCs w:val="28"/>
        </w:rPr>
        <w:t xml:space="preserve">”的目标值是</w:t>
      </w:r>
      <w:r>
        <w:rPr>
          <w:rFonts w:ascii="仿宋_GB2312"/>
          <w:bCs/>
          <w:szCs w:val="28"/>
        </w:rPr>
        <w:t xml:space="preserve">1</w:t>
      </w:r>
      <w:r>
        <w:rPr>
          <w:rFonts w:ascii="仿宋_GB2312" w:hint="eastAsia"/>
          <w:bCs/>
          <w:szCs w:val="28"/>
        </w:rPr>
        <w:t xml:space="preserve">年，</w:t>
      </w:r>
      <w:r>
        <w:rPr>
          <w:rFonts w:ascii="仿宋_GB2312"/>
          <w:bCs/>
          <w:szCs w:val="28"/>
        </w:rPr>
        <w:t xml:space="preserve">2024年度我单位</w:t>
      </w:r>
      <w:r>
        <w:rPr>
          <w:rFonts w:ascii="仿宋_GB2312" w:hint="eastAsia"/>
          <w:bCs/>
          <w:szCs w:val="28"/>
        </w:rPr>
        <w:t xml:space="preserve">实际完成100%。</w:t>
      </w:r>
      <w:r>
        <w:rPr>
          <w:rFonts w:ascii="仿宋_GB2312" w:hint="eastAsia"/>
          <w:b/>
          <w:bCs/>
          <w:szCs w:val="28"/>
        </w:rPr>
        <w:t xml:space="preserve">实际完成率：</w:t>
      </w:r>
      <w:r>
        <w:rPr>
          <w:rFonts w:ascii="仿宋_GB2312"/>
          <w:szCs w:val="28"/>
        </w:rPr>
        <w:t xml:space="preserve">100</w:t>
      </w:r>
      <w:r>
        <w:rPr>
          <w:rFonts w:ascii="仿宋_GB2312" w:hint="eastAsia"/>
          <w:szCs w:val="28"/>
        </w:rPr>
        <w:t xml:space="preserve">%，故该指标得分为</w:t>
      </w:r>
      <w:r>
        <w:rPr>
          <w:rFonts w:ascii="仿宋_GB2312"/>
          <w:szCs w:val="28"/>
        </w:rPr>
        <w:t xml:space="preserve">5</w:t>
      </w:r>
      <w:r>
        <w:rPr>
          <w:rFonts w:ascii="仿宋_GB2312" w:hint="eastAsia"/>
          <w:szCs w:val="28"/>
        </w:rPr>
        <w:t xml:space="preserve">分。</w:t>
      </w:r>
    </w:p>
    <w:p>
      <w:pPr>
        <w:spacing w:line="360" w:lineRule="auto"/>
        <w:ind w:firstLine="562"/>
        <w:rPr>
          <w:rFonts w:ascii="仿宋_GB2312"/>
          <w:b/>
          <w:bCs/>
          <w:szCs w:val="28"/>
        </w:rPr>
      </w:pPr>
      <w:r>
        <w:rPr>
          <w:rFonts w:ascii="仿宋_GB2312"/>
          <w:b/>
          <w:bCs/>
          <w:szCs w:val="28"/>
        </w:rPr>
        <w:t xml:space="preserve">综上，</w:t>
      </w:r>
      <w:r>
        <w:rPr>
          <w:rFonts w:ascii="仿宋_GB2312" w:hint="eastAsia"/>
          <w:b/>
          <w:bCs/>
          <w:szCs w:val="28"/>
        </w:rPr>
        <w:t xml:space="preserve">时效</w:t>
      </w:r>
      <w:r>
        <w:rPr>
          <w:rFonts w:ascii="仿宋_GB2312"/>
          <w:b/>
          <w:bCs/>
          <w:szCs w:val="28"/>
        </w:rPr>
        <w:t xml:space="preserve">指标得分为5分。</w:t>
      </w:r>
      <w:bookmarkEnd w:id="50"/>
    </w:p>
    <w:p>
      <w:pPr>
        <w:pStyle w:val="Heading3"/>
        <w:ind w:firstLine="643"/>
      </w:pPr>
      <w:bookmarkStart w:id="51" w:name="_Toc165277253"/>
      <w:bookmarkStart w:id="52" w:name="_Toc67911615"/>
      <w:r>
        <w:rPr>
          <w:rFonts w:hint="eastAsia"/>
        </w:rPr>
        <w:t xml:space="preserve">4.产出成本情况</w:t>
      </w:r>
      <w:bookmarkEnd w:id="51"/>
      <w:bookmarkEnd w:id="52"/>
    </w:p>
    <w:p>
      <w:pPr>
        <w:spacing w:line="360" w:lineRule="auto"/>
        <w:ind w:firstLine="560"/>
        <w:rPr>
          <w:rFonts w:ascii="仿宋_GB2312"/>
          <w:szCs w:val="28"/>
        </w:rPr>
      </w:pPr>
      <w:r>
        <w:rPr>
          <w:rFonts w:ascii="仿宋_GB2312" w:hint="eastAsia"/>
          <w:szCs w:val="28"/>
        </w:rPr>
        <w:t xml:space="preserve">项目产出成本由1个二级指标和2个三级指标构成，权重为20分，实际得分20分。</w:t>
      </w:r>
    </w:p>
    <w:p>
      <w:pPr>
        <w:spacing w:line="360" w:lineRule="auto"/>
        <w:ind w:firstLine="562"/>
        <w:rPr>
          <w:rFonts w:ascii="仿宋_GB2312"/>
          <w:b/>
          <w:bCs/>
          <w:szCs w:val="28"/>
        </w:rPr>
      </w:pPr>
      <w:bookmarkStart w:id="53" w:name="_Toc165277252"/>
      <w:r>
        <w:rPr>
          <w:rFonts w:ascii="仿宋_GB2312" w:hint="eastAsia"/>
          <w:b/>
          <w:bCs/>
          <w:szCs w:val="28"/>
        </w:rPr>
        <w:t xml:space="preserve">（1）经济成本</w:t>
      </w:r>
      <w:bookmarkEnd w:id="53"/>
    </w:p>
    <w:p>
      <w:pPr>
        <w:adjustRightInd w:val="0"/>
        <w:snapToGrid w:val="0"/>
        <w:spacing w:line="560" w:lineRule="exact"/>
        <w:ind w:firstLine="562"/>
        <w:rPr>
          <w:rFonts w:ascii="仿宋_GB2312"/>
          <w:b/>
          <w:bCs/>
          <w:szCs w:val="28"/>
        </w:rPr>
      </w:pPr>
      <w:r>
        <w:rPr>
          <w:rFonts w:ascii="仿宋_GB2312" w:hint="eastAsia"/>
          <w:b/>
          <w:bCs/>
          <w:szCs w:val="28"/>
        </w:rPr>
        <w:t xml:space="preserve">项目预算控制率：</w:t>
      </w:r>
    </w:p>
    <w:p>
      <w:pPr>
        <w:adjustRightInd w:val="0"/>
        <w:snapToGrid w:val="0"/>
        <w:spacing w:line="560" w:lineRule="exact"/>
        <w:ind w:firstLine="560"/>
        <w:rPr>
          <w:rFonts w:ascii="仿宋_GB2312"/>
          <w:bCs/>
          <w:szCs w:val="28"/>
        </w:rPr>
      </w:pPr>
      <w:r>
        <w:rPr>
          <w:rFonts w:ascii="仿宋_GB2312" w:hint="eastAsia"/>
          <w:bCs/>
          <w:szCs w:val="28"/>
        </w:rPr>
        <w:t xml:space="preserve">成本指标“购置信息素诱捕器和调查工具”成本目标值≤16万元，实际购置信息素诱捕器和调查工具支付为16万元。该指标分值10分，得分10分。</w:t>
      </w:r>
    </w:p>
    <w:p>
      <w:pPr>
        <w:adjustRightInd w:val="0"/>
        <w:snapToGrid w:val="0"/>
        <w:spacing w:line="560" w:lineRule="exact"/>
        <w:ind w:firstLine="560"/>
        <w:rPr>
          <w:rFonts w:ascii="仿宋_GB2312"/>
          <w:bCs/>
          <w:szCs w:val="28"/>
        </w:rPr>
      </w:pPr>
      <w:r>
        <w:rPr>
          <w:rFonts w:ascii="仿宋_GB2312" w:hint="eastAsia"/>
          <w:bCs/>
          <w:szCs w:val="28"/>
        </w:rPr>
        <w:t xml:space="preserve">成本指标“监测调查服务委托业务费”成本目标值≤24万元，实际监测调查服务委托业务费支付为24万元。该指标分值10分，得分10分。</w:t>
      </w:r>
    </w:p>
    <w:p>
      <w:pPr>
        <w:spacing w:line="360" w:lineRule="auto"/>
        <w:ind w:firstLine="560"/>
        <w:rPr>
          <w:rFonts w:ascii="仿宋_GB2312"/>
          <w:bCs/>
          <w:szCs w:val="28"/>
        </w:rPr>
      </w:pPr>
      <w:r>
        <w:rPr>
          <w:rFonts w:ascii="仿宋_GB2312" w:hint="eastAsia"/>
          <w:bCs/>
          <w:szCs w:val="28"/>
        </w:rPr>
        <w:t xml:space="preserve">本项目实际支出40万元，无超支情况，项目资金全部完成，得分为20分</w:t>
      </w:r>
      <w:r>
        <w:rPr>
          <w:rFonts w:ascii="仿宋_GB2312"/>
          <w:bCs/>
          <w:szCs w:val="28"/>
        </w:rPr>
        <w:t xml:space="preserve">。</w:t>
      </w:r>
    </w:p>
    <w:p>
      <w:pPr>
        <w:pStyle w:val="Heading2"/>
        <w:ind w:firstLine="643"/>
        <w:rPr>
          <w:rFonts w:ascii="仿宋" w:eastAsia="仿宋" w:hAnsi="仿宋"/>
          <w:lang w:bidi="en-US"/>
        </w:rPr>
      </w:pPr>
      <w:r>
        <w:rPr>
          <w:rFonts w:ascii="仿宋" w:eastAsia="仿宋" w:hAnsi="仿宋"/>
          <w:lang w:bidi="en-US"/>
        </w:rPr>
        <w:t xml:space="preserve">（</w:t>
      </w:r>
      <w:r>
        <w:rPr>
          <w:rFonts w:ascii="仿宋" w:eastAsia="仿宋" w:hAnsi="仿宋" w:hint="eastAsia"/>
          <w:lang w:bidi="en-US"/>
        </w:rPr>
        <w:t xml:space="preserve">四</w:t>
      </w:r>
      <w:r>
        <w:rPr>
          <w:rFonts w:ascii="仿宋" w:eastAsia="仿宋" w:hAnsi="仿宋"/>
          <w:lang w:bidi="en-US"/>
        </w:rPr>
        <w:t xml:space="preserve">）项目效益</w:t>
      </w:r>
    </w:p>
    <w:p>
      <w:pPr>
        <w:spacing w:line="360" w:lineRule="auto"/>
        <w:ind w:firstLine="560"/>
        <w:rPr>
          <w:rFonts w:ascii="仿宋_GB2312"/>
          <w:szCs w:val="28"/>
        </w:rPr>
      </w:pPr>
      <w:r>
        <w:rPr>
          <w:rFonts w:ascii="仿宋_GB2312" w:hint="eastAsia"/>
          <w:szCs w:val="28"/>
        </w:rPr>
        <w:t xml:space="preserve">项目效益指标由</w:t>
      </w:r>
      <w:r>
        <w:rPr>
          <w:rFonts w:ascii="仿宋_GB2312"/>
          <w:szCs w:val="28"/>
        </w:rPr>
        <w:t xml:space="preserve">1</w:t>
      </w:r>
      <w:r>
        <w:rPr>
          <w:rFonts w:ascii="仿宋_GB2312" w:hint="eastAsia"/>
          <w:szCs w:val="28"/>
        </w:rPr>
        <w:t xml:space="preserve">个二级指标和</w:t>
      </w:r>
      <w:r>
        <w:rPr>
          <w:rFonts w:ascii="仿宋_GB2312"/>
          <w:szCs w:val="28"/>
        </w:rPr>
        <w:t xml:space="preserve">2</w:t>
      </w:r>
      <w:r>
        <w:rPr>
          <w:rFonts w:ascii="仿宋_GB2312" w:hint="eastAsia"/>
          <w:szCs w:val="28"/>
        </w:rPr>
        <w:t xml:space="preserve">个三级指标构成，权重为15分，实际得分15分。</w:t>
      </w:r>
    </w:p>
    <w:p>
      <w:pPr>
        <w:spacing w:line="360" w:lineRule="auto"/>
        <w:ind w:firstLine="562"/>
        <w:rPr>
          <w:rFonts w:ascii="仿宋_GB2312"/>
          <w:b/>
          <w:bCs/>
          <w:szCs w:val="28"/>
        </w:rPr>
      </w:pPr>
      <w:r>
        <w:rPr>
          <w:rFonts w:ascii="仿宋_GB2312" w:hint="eastAsia"/>
          <w:b/>
          <w:bCs/>
          <w:szCs w:val="28"/>
        </w:rPr>
        <w:t xml:space="preserve">（1）实施效益</w:t>
      </w:r>
    </w:p>
    <w:p>
      <w:pPr>
        <w:spacing w:line="360" w:lineRule="auto"/>
        <w:ind w:firstLine="562"/>
        <w:rPr>
          <w:rFonts w:ascii="仿宋_GB2312"/>
          <w:szCs w:val="28"/>
        </w:rPr>
      </w:pPr>
      <w:r>
        <w:rPr>
          <w:rFonts w:ascii="仿宋_GB2312" w:hint="eastAsia"/>
          <w:b/>
          <w:bCs/>
          <w:szCs w:val="28"/>
        </w:rPr>
        <w:t xml:space="preserve">经济效益指标：</w:t>
      </w:r>
      <w:r>
        <w:rPr>
          <w:rFonts w:ascii="仿宋_GB2312" w:hint="eastAsia"/>
          <w:szCs w:val="28"/>
        </w:rPr>
        <w:t xml:space="preserve">不适用。</w:t>
      </w:r>
    </w:p>
    <w:p>
      <w:pPr>
        <w:spacing w:line="360" w:lineRule="auto"/>
        <w:ind w:firstLine="562"/>
        <w:rPr>
          <w:rFonts w:ascii="仿宋_GB2312" w:hint="eastAsia"/>
          <w:szCs w:val="28"/>
        </w:rPr>
      </w:pPr>
      <w:r>
        <w:rPr>
          <w:rFonts w:ascii="仿宋_GB2312" w:hint="eastAsia"/>
          <w:b/>
          <w:bCs/>
          <w:szCs w:val="28"/>
        </w:rPr>
        <w:t xml:space="preserve">社会效益指标</w:t>
      </w:r>
      <w:r>
        <w:rPr>
          <w:rFonts w:ascii="仿宋_GB2312" w:hint="eastAsia"/>
          <w:szCs w:val="28"/>
        </w:rPr>
        <w:t xml:space="preserve">：评价指标“危险性林业有害生物风险降低”，指标值：有效控制，实际完成值：达成年度指标。本项目的实施掌握了乌鲁木齐市近年来重大危险性林业有害生物入侵基本情况及主要病虫害的发生分布和危害情况，建立乌鲁木齐市林业有害生物数据库，抵御防范林业外来有害生物入侵，使危险性林业有害生物风险降低。</w:t>
      </w:r>
    </w:p>
    <w:p>
      <w:pPr>
        <w:spacing w:line="360" w:lineRule="auto"/>
        <w:ind w:firstLine="562"/>
        <w:rPr>
          <w:rFonts w:ascii="仿宋_GB2312"/>
          <w:szCs w:val="28"/>
        </w:rPr>
      </w:pPr>
      <w:r>
        <w:rPr>
          <w:rFonts w:ascii="仿宋_GB2312"/>
          <w:szCs w:val="28"/>
          <w:lang w:val="en-US"/>
        </w:rPr>
        <w:t xml:space="preserve">故社会效益指标得分为10分</w:t>
      </w:r>
    </w:p>
    <w:p>
      <w:pPr>
        <w:spacing w:line="360" w:lineRule="auto"/>
        <w:ind w:firstLine="562"/>
        <w:rPr>
          <w:rFonts w:ascii="仿宋_GB2312" w:hint="eastAsia"/>
          <w:szCs w:val="28"/>
        </w:rPr>
      </w:pPr>
      <w:r>
        <w:rPr>
          <w:rFonts w:ascii="仿宋_GB2312" w:hint="eastAsia"/>
          <w:b/>
          <w:bCs/>
          <w:szCs w:val="28"/>
        </w:rPr>
        <w:t xml:space="preserve">生态效益指标</w:t>
      </w:r>
      <w:r>
        <w:rPr>
          <w:rFonts w:ascii="仿宋_GB2312" w:hint="eastAsia"/>
          <w:szCs w:val="28"/>
        </w:rPr>
        <w:t xml:space="preserve">：评价指标“有效防范外来林业有害生物入侵，确保我市林业生态安全”，指标值：有效控制，实际完成值：达成年度指标。本项目的实施掌握了乌鲁木齐市近年来重大危险性林业有害生物入侵基本情况及主要病虫害的发生分布和危害情况，建立乌鲁木齐市林业有害生物数据库，抵御防范林业外来有害生物入侵，确保我市林业生态安全。</w:t>
      </w:r>
    </w:p>
    <w:p>
      <w:pPr>
        <w:spacing w:line="360" w:lineRule="auto"/>
        <w:ind w:firstLine="562"/>
        <w:rPr>
          <w:rFonts w:ascii="仿宋_GB2312"/>
          <w:szCs w:val="28"/>
        </w:rPr>
      </w:pPr>
      <w:r>
        <w:rPr>
          <w:rFonts w:ascii="仿宋_GB2312"/>
          <w:szCs w:val="28"/>
          <w:lang w:val="en-US"/>
        </w:rPr>
        <w:t xml:space="preserve">故生态效益指标得分为5分</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w:t>
      </w:r>
      <w:r>
        <w:rPr>
          <w:rFonts w:ascii="仿宋_GB2312" w:hAnsi="仿宋" w:cs="宋体" w:hint="default"/>
          <w:b/>
          <w:kern w:val="0"/>
          <w:szCs w:val="28"/>
          <w:lang w:val="en-US"/>
        </w:rPr>
        <w:t xml:space="preserve">15</w:t>
      </w:r>
      <w:r>
        <w:rPr>
          <w:rFonts w:ascii="仿宋_GB2312" w:hAnsi="仿宋" w:cs="宋体" w:hint="eastAsia"/>
          <w:b/>
          <w:kern w:val="0"/>
          <w:szCs w:val="28"/>
        </w:rPr>
        <w:t xml:space="preserve">分，得分</w:t>
      </w:r>
      <w:r>
        <w:rPr>
          <w:rFonts w:ascii="仿宋_GB2312" w:hAnsi="仿宋" w:cs="宋体" w:hint="default"/>
          <w:b/>
          <w:kern w:val="0"/>
          <w:szCs w:val="28"/>
          <w:lang w:val="en-US"/>
        </w:rPr>
        <w:t xml:space="preserve">1</w:t>
      </w:r>
      <w:r>
        <w:rPr>
          <w:rFonts w:ascii="仿宋_GB2312" w:hAnsi="仿宋" w:cs="宋体" w:hint="eastAsia"/>
          <w:b/>
          <w:kern w:val="0"/>
          <w:szCs w:val="28"/>
        </w:rPr>
        <w:t xml:space="preserve">5分。</w:t>
      </w:r>
    </w:p>
    <w:p>
      <w:pPr>
        <w:pStyle w:val="Heading2"/>
        <w:ind w:firstLine="643"/>
        <w:rPr>
          <w:rFonts w:ascii="仿宋" w:eastAsia="仿宋" w:hAnsi="仿宋"/>
          <w:lang w:bidi="en-US"/>
        </w:rPr>
      </w:pPr>
      <w:bookmarkStart w:id="54" w:name="_Toc165277255"/>
      <w:r>
        <w:rPr>
          <w:rFonts w:ascii="仿宋" w:eastAsia="仿宋" w:hAnsi="仿宋" w:hint="eastAsia"/>
          <w:lang w:bidi="en-US"/>
        </w:rPr>
        <w:t xml:space="preserve">（五）</w:t>
      </w:r>
      <w:r>
        <w:rPr>
          <w:rFonts w:ascii="仿宋" w:eastAsia="仿宋" w:hAnsi="仿宋"/>
          <w:lang w:bidi="en-US"/>
        </w:rPr>
        <w:t xml:space="preserve">满意度指标完成情况分析</w:t>
      </w:r>
      <w:bookmarkEnd w:id="54"/>
    </w:p>
    <w:p>
      <w:pPr>
        <w:spacing w:line="360" w:lineRule="auto"/>
        <w:ind w:firstLine="562"/>
        <w:rPr>
          <w:rFonts w:ascii="仿宋_GB2312"/>
          <w:b/>
          <w:bCs/>
          <w:szCs w:val="28"/>
        </w:rPr>
      </w:pPr>
      <w:r>
        <w:rPr>
          <w:rFonts w:ascii="仿宋_GB2312" w:hint="eastAsia"/>
          <w:b/>
          <w:bCs/>
          <w:szCs w:val="28"/>
        </w:rPr>
        <w:t xml:space="preserve">（</w:t>
      </w:r>
      <w:r>
        <w:rPr>
          <w:rFonts w:ascii="仿宋_GB2312"/>
          <w:b/>
          <w:bCs/>
          <w:szCs w:val="28"/>
        </w:rPr>
        <w:t xml:space="preserve">1</w:t>
      </w:r>
      <w:r>
        <w:rPr>
          <w:rFonts w:ascii="仿宋_GB2312" w:hint="eastAsia"/>
          <w:b/>
          <w:bCs/>
          <w:szCs w:val="28"/>
        </w:rPr>
        <w:t xml:space="preserve">）满意度指标</w:t>
      </w:r>
    </w:p>
    <w:p>
      <w:pPr>
        <w:spacing w:line="360" w:lineRule="auto"/>
        <w:ind w:firstLine="562"/>
        <w:rPr>
          <w:rFonts w:ascii="仿宋_GB2312"/>
          <w:szCs w:val="28"/>
        </w:rPr>
      </w:pPr>
      <w:r>
        <w:rPr>
          <w:rFonts w:ascii="仿宋_GB2312" w:hint="eastAsia"/>
          <w:b/>
          <w:bCs/>
          <w:szCs w:val="28"/>
        </w:rPr>
        <w:t xml:space="preserve">群众满意度：</w:t>
      </w:r>
      <w:r>
        <w:rPr>
          <w:rFonts w:ascii="仿宋_GB2312" w:hint="eastAsia"/>
          <w:szCs w:val="28"/>
        </w:rPr>
        <w:t xml:space="preserve">评价指标“社会满意度”，指标值：</w:t>
      </w:r>
      <w:r>
        <w:rPr>
          <w:rFonts w:ascii="华文宋体" w:eastAsia="华文宋体" w:hAnsi="华文宋体" w:hint="eastAsia"/>
          <w:szCs w:val="28"/>
        </w:rPr>
        <w:t xml:space="preserve">≥</w:t>
      </w:r>
      <w:r>
        <w:rPr>
          <w:rFonts w:ascii="仿宋_GB2312" w:eastAsia="华文宋体" w:hint="eastAsia"/>
          <w:szCs w:val="28"/>
        </w:rPr>
        <w:t xml:space="preserve">85</w:t>
      </w:r>
      <w:r>
        <w:rPr>
          <w:rFonts w:ascii="仿宋_GB2312" w:hint="eastAsia"/>
          <w:szCs w:val="28"/>
        </w:rPr>
        <w:t xml:space="preserve">%，实际完成值：</w:t>
      </w:r>
      <w:r>
        <w:rPr>
          <w:rFonts w:ascii="华文宋体" w:eastAsia="华文宋体" w:hAnsi="华文宋体" w:hint="eastAsia"/>
          <w:szCs w:val="28"/>
        </w:rPr>
        <w:t xml:space="preserve">≥</w:t>
      </w:r>
      <w:r>
        <w:rPr>
          <w:rFonts w:ascii="仿宋_GB2312" w:eastAsia="华文宋体" w:hint="eastAsia"/>
          <w:szCs w:val="28"/>
        </w:rPr>
        <w:t xml:space="preserve">100</w:t>
      </w:r>
      <w:r>
        <w:rPr>
          <w:rFonts w:ascii="仿宋_GB2312" w:hint="eastAsia"/>
          <w:szCs w:val="28"/>
        </w:rPr>
        <w:t xml:space="preserve">%。通过设置问卷调查的方式进行考评评价，共计调查样本总量为8个样本，有效调查问卷8份。其中，统计“满意度”的平均值为100%。故满意度指标得分为5分。</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综上，该指标满分5分，得分5分。</w:t>
      </w:r>
    </w:p>
    <w:p>
      <w:pPr>
        <w:pStyle w:val="Heading1"/>
        <w:ind w:firstLine="0" w:firstLineChars="0"/>
        <w:jc w:val="left"/>
        <w:rPr>
          <w:rFonts w:ascii="仿宋" w:eastAsia="仿宋" w:hAnsi="仿宋"/>
          <w:sz w:val="36"/>
          <w:szCs w:val="36"/>
          <w:lang w:bidi="en-US"/>
        </w:rPr>
      </w:pPr>
      <w:bookmarkStart w:id="55" w:name="_Toc67911617"/>
      <w:bookmarkStart w:id="56" w:name="_Toc165277256"/>
      <w:r>
        <w:rPr>
          <w:rFonts w:ascii="仿宋" w:eastAsia="仿宋" w:hAnsi="仿宋" w:hint="eastAsia"/>
          <w:sz w:val="36"/>
          <w:szCs w:val="36"/>
          <w:lang w:bidi="en-US"/>
        </w:rPr>
        <w:t xml:space="preserve">五、主要经验及做法、存在的问题及原因分析</w:t>
      </w:r>
      <w:bookmarkEnd w:id="55"/>
      <w:bookmarkEnd w:id="56"/>
    </w:p>
    <w:p>
      <w:pPr>
        <w:pStyle w:val="Heading2"/>
        <w:ind w:firstLine="643"/>
        <w:rPr>
          <w:rFonts w:ascii="仿宋" w:eastAsia="仿宋" w:hAnsi="仿宋"/>
          <w:lang w:bidi="en-US"/>
        </w:rPr>
      </w:pPr>
      <w:bookmarkStart w:id="57" w:name="_Toc165277257"/>
      <w:bookmarkStart w:id="58" w:name="_Toc67911618"/>
      <w:r>
        <w:rPr>
          <w:rFonts w:ascii="仿宋" w:eastAsia="仿宋" w:hAnsi="仿宋" w:hint="eastAsia"/>
          <w:lang w:bidi="en-US"/>
        </w:rPr>
        <w:t xml:space="preserve">（一）主要经验及做法</w:t>
      </w:r>
      <w:bookmarkEnd w:id="57"/>
      <w:bookmarkEnd w:id="58"/>
    </w:p>
    <w:p>
      <w:pPr>
        <w:spacing w:line="360" w:lineRule="auto"/>
        <w:ind w:firstLine="560"/>
        <w:rPr>
          <w:rFonts w:ascii="仿宋_GB2312" w:hAnsi="仿宋" w:cs="宋体"/>
          <w:kern w:val="0"/>
          <w:szCs w:val="28"/>
        </w:rPr>
      </w:pPr>
      <w:r>
        <w:rPr>
          <w:rFonts w:ascii="仿宋_GB2312" w:hAnsi="仿宋" w:cs="宋体" w:hint="eastAsia"/>
          <w:kern w:val="0"/>
          <w:szCs w:val="28"/>
        </w:rPr>
        <w:t xml:space="preserve">重大专项调查以保障森林生态安全、维护生物多样性、促进林业可持续发展为核心目标，因地制宜，针对本地区的园林绿化制定科学合理的实施方案，全面掌握重大林业有害生物的发生范围、危害程度及传播规律，为科学制定防控策略、实施精准防治提供数据支撑。</w:t>
      </w:r>
    </w:p>
    <w:p>
      <w:pPr>
        <w:spacing w:line="360" w:lineRule="auto"/>
        <w:ind w:firstLine="560"/>
        <w:rPr>
          <w:rFonts w:ascii="仿宋_GB2312"/>
          <w:szCs w:val="28"/>
        </w:rPr>
      </w:pPr>
      <w:r>
        <w:rPr>
          <w:rFonts w:ascii="仿宋_GB2312" w:hint="eastAsia"/>
          <w:szCs w:val="28"/>
        </w:rPr>
        <w:t xml:space="preserve">本项目按照有关规章制度和项目实施完成情况进行支付。建立相关的管理制度，有专人负责，项目进行前进行集体研究讨论，项目进行时有负责人及时跟踪项目实施情况，并及时提出意见和建议。项目经费严格按照单位的财务制度和预算支出范围的使用，专款专用。</w:t>
      </w:r>
    </w:p>
    <w:p>
      <w:pPr>
        <w:spacing w:line="360" w:lineRule="auto"/>
        <w:ind w:firstLine="560"/>
        <w:rPr>
          <w:rFonts w:ascii="仿宋_GB2312"/>
          <w:szCs w:val="28"/>
        </w:rPr>
      </w:pPr>
      <w:r>
        <w:rPr>
          <w:rFonts w:ascii="仿宋_GB2312" w:hint="eastAsia"/>
          <w:szCs w:val="28"/>
        </w:rPr>
        <w:t xml:space="preserve">明确专项资金绩效预算管理的原则，即先有评审，后有预算的原则；择优安排的原则；科学规范，注重效益的原则；跟踪问效，奖惩结合的原则。界定专项资金绩效预算管理的内容，凡是由财政资金安排用于专项工作的专项资金，都必须纳入绩效预算管理的范围，其内容主要包括从专项资金预算的评审、预算实施的评审到预算绩效评价的整个过程；规范了专项资金绩效预算的工作程序。对从专项资金预算的申报、专项资金预算的评审、专项资金预算的实施到专项资金预算的绩效评价，每个环节的工作程序都进行了规范。</w:t>
      </w:r>
    </w:p>
    <w:p>
      <w:pPr>
        <w:autoSpaceDE w:val="0"/>
        <w:spacing w:line="600" w:lineRule="exact"/>
        <w:ind w:firstLine="560"/>
        <w:rPr>
          <w:rFonts w:ascii="仿宋_GB2312" w:hAnsi="仿宋" w:cs="宋体"/>
          <w:kern w:val="0"/>
          <w:szCs w:val="28"/>
        </w:rPr>
      </w:pPr>
    </w:p>
    <w:p>
      <w:pPr>
        <w:pStyle w:val="Heading2"/>
        <w:ind w:firstLine="643"/>
        <w:rPr>
          <w:rFonts w:ascii="仿宋" w:eastAsia="仿宋" w:hAnsi="仿宋"/>
          <w:lang w:bidi="en-US"/>
        </w:rPr>
      </w:pPr>
      <w:bookmarkStart w:id="59" w:name="_Toc165277258"/>
      <w:r>
        <w:rPr>
          <w:rFonts w:ascii="仿宋" w:eastAsia="仿宋" w:hAnsi="仿宋" w:hint="eastAsia"/>
          <w:lang w:bidi="en-US"/>
        </w:rPr>
        <w:t xml:space="preserve">（二）存在的问题及原因分析</w:t>
      </w:r>
      <w:bookmarkEnd w:id="59"/>
    </w:p>
    <w:p>
      <w:pPr>
        <w:autoSpaceDE w:val="0"/>
        <w:spacing w:line="600" w:lineRule="exact"/>
        <w:ind w:firstLine="560"/>
        <w:rPr>
          <w:rFonts w:ascii="仿宋_GB2312" w:hAnsi="仿宋" w:cs="宋体"/>
          <w:kern w:val="0"/>
          <w:szCs w:val="28"/>
        </w:rPr>
      </w:pPr>
      <w:r>
        <w:rPr>
          <w:rFonts w:ascii="仿宋_GB2312" w:hAnsi="仿宋" w:cs="宋体" w:hint="eastAsia"/>
          <w:kern w:val="0"/>
          <w:szCs w:val="28"/>
        </w:rPr>
        <w:t xml:space="preserve">开展专项调查过程中及时监督中标单位进度，发现调查队伍不稳定，人员流动性大，调查效率较低，根据实际情况我单位分组分片区带领专项调查队伍一同调查，发现问题现场更正，并每天制定调查任务，提高调查效率，确保项目按照实施方案要求正常进行。</w:t>
      </w:r>
      <w:bookmarkStart w:id="60" w:name="_Toc165277259"/>
      <w:bookmarkStart w:id="61" w:name="_Toc67911620"/>
      <w:bookmarkStart w:id="62" w:name="_Toc67911619"/>
    </w:p>
    <w:p>
      <w:pPr>
        <w:pStyle w:val="Heading1"/>
        <w:ind w:firstLine="0" w:firstLineChars="0"/>
        <w:jc w:val="left"/>
        <w:rPr>
          <w:rFonts w:ascii="仿宋" w:eastAsia="仿宋" w:hAnsi="仿宋"/>
          <w:sz w:val="36"/>
          <w:szCs w:val="36"/>
          <w:lang w:bidi="en-US"/>
        </w:rPr>
      </w:pPr>
      <w:r>
        <w:rPr>
          <w:rFonts w:ascii="仿宋" w:eastAsia="仿宋" w:hAnsi="仿宋" w:hint="eastAsia"/>
          <w:sz w:val="36"/>
          <w:szCs w:val="36"/>
          <w:lang w:bidi="en-US"/>
        </w:rPr>
        <w:t xml:space="preserve">六、有关建议</w:t>
      </w:r>
      <w:bookmarkEnd w:id="60"/>
      <w:bookmarkEnd w:id="61"/>
    </w:p>
    <w:p>
      <w:pPr>
        <w:pStyle w:val="Heading1"/>
        <w:spacing w:before="0" w:after="0" w:line="600" w:lineRule="exact"/>
        <w:ind w:firstLine="560"/>
        <w:jc w:val="left"/>
        <w:rPr>
          <w:rFonts w:ascii="仿宋_GB2312" w:hAnsi="仿宋" w:cs="宋体"/>
          <w:b w:val="0"/>
          <w:bCs w:val="0"/>
          <w:kern w:val="0"/>
          <w:sz w:val="28"/>
          <w:szCs w:val="28"/>
        </w:rPr>
      </w:pPr>
      <w:bookmarkStart w:id="63" w:name="_Toc165277260"/>
      <w:r>
        <w:rPr>
          <w:rFonts w:ascii="仿宋_GB2312" w:hAnsi="仿宋" w:cs="宋体" w:hint="eastAsia"/>
          <w:b w:val="0"/>
          <w:bCs w:val="0"/>
          <w:kern w:val="0"/>
          <w:sz w:val="28"/>
          <w:szCs w:val="28"/>
        </w:rPr>
        <w:t xml:space="preserve">在今后的财政项目绩效目标申报工作中，结合项目实施内容及特点，将项目总目标拆解为阶段性、可操作的年度绩效目标，并细化为具体、可量化的绩效指标，实现目标设定与项目实际内容精准匹配。通过科学构建绩效目标体系，以此打造"目标导向、计划明确、量化考核、依据充分"的闭环管理模式，使项目各阶段工作均有明确指引，为高效评估项目执行成效、提升财政资金使用效益提供坚实保障。</w:t>
      </w:r>
    </w:p>
    <w:p>
      <w:pPr>
        <w:pStyle w:val="Heading1"/>
        <w:ind w:firstLine="0" w:firstLineChars="0"/>
        <w:jc w:val="left"/>
        <w:rPr>
          <w:rFonts w:ascii="仿宋" w:eastAsia="仿宋" w:hAnsi="仿宋"/>
          <w:sz w:val="36"/>
          <w:szCs w:val="36"/>
          <w:lang w:bidi="en-US"/>
        </w:rPr>
      </w:pPr>
      <w:r>
        <w:rPr>
          <w:rFonts w:ascii="仿宋" w:eastAsia="仿宋" w:hAnsi="仿宋" w:hint="eastAsia"/>
          <w:sz w:val="36"/>
          <w:szCs w:val="36"/>
          <w:lang w:bidi="en-US"/>
        </w:rPr>
        <w:t xml:space="preserve">七、其他需要说明的问题</w:t>
      </w:r>
      <w:bookmarkEnd w:id="62"/>
      <w:bookmarkEnd w:id="63"/>
    </w:p>
    <w:p>
      <w:pPr>
        <w:spacing w:line="360" w:lineRule="auto"/>
        <w:ind w:firstLine="560"/>
        <w:rPr>
          <w:rFonts w:ascii="仿宋_GB2312"/>
          <w:szCs w:val="28"/>
        </w:rPr>
      </w:pPr>
      <w:r>
        <w:rPr>
          <w:rFonts w:ascii="仿宋_GB2312" w:hint="eastAsia"/>
          <w:szCs w:val="28"/>
        </w:rPr>
        <w:t xml:space="preserve">1、项目执行紧扣立项初衷</w:t>
      </w:r>
    </w:p>
    <w:p>
      <w:pPr>
        <w:spacing w:line="360" w:lineRule="auto"/>
        <w:ind w:firstLine="560"/>
        <w:rPr>
          <w:rFonts w:ascii="仿宋_GB2312"/>
          <w:szCs w:val="28"/>
        </w:rPr>
      </w:pPr>
      <w:r>
        <w:rPr>
          <w:rFonts w:ascii="仿宋_GB2312" w:hint="eastAsia"/>
          <w:szCs w:val="28"/>
        </w:rPr>
        <w:t xml:space="preserve">单位在项目安排上始终坚持以立项初衷为导向，确保项目实施不偏离目标。在项目规划阶段，单位对项目进行深入论证和评估，明确项目的目标、任务和预期效果。通过制定详细的项目实施方案，将项目目标分解为具体的工作任务，并落实到责任单位和责任人。</w:t>
      </w:r>
    </w:p>
    <w:p>
      <w:pPr>
        <w:spacing w:line="360" w:lineRule="auto"/>
        <w:ind w:firstLine="560"/>
        <w:rPr>
          <w:rFonts w:ascii="仿宋_GB2312"/>
          <w:szCs w:val="28"/>
        </w:rPr>
      </w:pPr>
      <w:r>
        <w:rPr>
          <w:rFonts w:ascii="仿宋_GB2312" w:hint="eastAsia"/>
          <w:szCs w:val="28"/>
        </w:rPr>
        <w:t xml:space="preserve">在项目实施过程中，财政单位加强对项目的监督和管理。建立了定期的项目进度汇报制度，及时掌握项目进展情况。对于偏离立项初衷的行为，及时进行纠正和调整。同时，加强与项目实施单位的沟通和协调，为项目实施提供必要的支持和保障。</w:t>
      </w:r>
    </w:p>
    <w:p>
      <w:pPr>
        <w:spacing w:line="360" w:lineRule="auto"/>
        <w:ind w:firstLine="560"/>
        <w:rPr>
          <w:rFonts w:ascii="仿宋_GB2312"/>
          <w:szCs w:val="28"/>
        </w:rPr>
      </w:pPr>
      <w:r>
        <w:rPr>
          <w:rFonts w:ascii="仿宋_GB2312" w:hint="eastAsia"/>
          <w:szCs w:val="28"/>
        </w:rPr>
        <w:t xml:space="preserve">2、申报审核保障项目质量</w:t>
      </w:r>
    </w:p>
    <w:p>
      <w:pPr>
        <w:spacing w:line="360" w:lineRule="auto"/>
        <w:ind w:firstLine="560"/>
        <w:rPr>
          <w:rFonts w:ascii="仿宋_GB2312"/>
          <w:szCs w:val="28"/>
        </w:rPr>
      </w:pPr>
      <w:r>
        <w:rPr>
          <w:rFonts w:ascii="仿宋_GB2312" w:hint="eastAsia"/>
          <w:szCs w:val="28"/>
        </w:rPr>
        <w:t xml:space="preserve">财政单位建立了完善的项目申报、审核机制，为项目的质量提供了有力保障。在项目申报环节，财政单位明确了申报条件和要求，规范了申报流程，确保申报项目具有可行性和必要性。同时，加强对申报材料的真实性和合法性审查，防止虚假申报和骗取财政资金的行为。</w:t>
      </w:r>
    </w:p>
    <w:p>
      <w:pPr>
        <w:spacing w:line="360" w:lineRule="auto"/>
        <w:ind w:firstLine="560"/>
        <w:rPr>
          <w:rFonts w:ascii="仿宋_GB2312"/>
          <w:szCs w:val="28"/>
        </w:rPr>
      </w:pPr>
      <w:r>
        <w:rPr>
          <w:rFonts w:ascii="仿宋_GB2312" w:hint="eastAsia"/>
          <w:szCs w:val="28"/>
        </w:rPr>
        <w:t xml:space="preserve">3、资金管理杜绝违规行为</w:t>
      </w:r>
    </w:p>
    <w:p>
      <w:pPr>
        <w:spacing w:line="360" w:lineRule="auto"/>
        <w:ind w:firstLine="560"/>
        <w:rPr>
          <w:rFonts w:ascii="仿宋_GB2312"/>
          <w:szCs w:val="28"/>
        </w:rPr>
      </w:pPr>
      <w:r>
        <w:rPr>
          <w:rFonts w:ascii="仿宋_GB2312" w:hint="eastAsia"/>
          <w:szCs w:val="28"/>
        </w:rPr>
        <w:t xml:space="preserve">单位高度重视项目资金的合规使用，采取了一系列措施确保资金安全。在资金管理方面，建立了严格的财务管理制度。明确了资金的使用范围、审批流程和监督机制。要求项目实施单位设立专门的项目账户，实行专款专用。加强对资金支出的审核和监管，确保每一笔资金都用于项目建设。</w:t>
      </w:r>
    </w:p>
    <w:p>
      <w:pPr>
        <w:spacing w:line="360" w:lineRule="auto"/>
        <w:ind w:firstLine="560"/>
        <w:rPr>
          <w:rFonts w:ascii="仿宋_GB2312"/>
          <w:szCs w:val="28"/>
        </w:rPr>
      </w:pPr>
      <w:r>
        <w:rPr>
          <w:rFonts w:ascii="仿宋_GB2312" w:hint="eastAsia"/>
          <w:szCs w:val="28"/>
        </w:rPr>
        <w:t xml:space="preserve">同时，加强对项目实施单位的财务培训和指导。提高项目实施单位的财务管理水平和合规意识。通过定期开展财务审计和监督检查，及时发现并纠正资金使用过程中存在的问题。对于违规使用资金的行为，依法依规进行严肃处理。</w:t>
      </w:r>
    </w:p>
    <w:p>
      <w:pPr>
        <w:spacing w:line="360" w:lineRule="auto"/>
        <w:ind w:firstLine="560"/>
        <w:rPr>
          <w:rFonts w:ascii="仿宋_GB2312"/>
          <w:szCs w:val="28"/>
        </w:rPr>
      </w:pPr>
    </w:p>
    <w:sectPr>
      <w:headerReference w:type="default" r:id="rId13"/>
      <w:footerReference w:type="default" r:id="rId14"/>
      <w:footnotePr>
        <w:numFmt w:val="decimalEnclosedCircleChinese"/>
        <w:numRestart w:val="eachPage"/>
      </w:footnotePr>
      <w:type w:val="continuous"/>
      <w:pgSz w:w="11906" w:h="16838" w:orient="portrait"/>
      <w:pgMar w:top="1440" w:right="1800" w:bottom="1440" w:left="1800" w:header="992" w:footer="992" w:gutter="0"/>
      <w:pgBorders/>
      <w:cols w:num="1" w:space="425">
        <w:col w:w="8306" w:space="425"/>
      </w:cols>
      <w:docGrid w:type="lines" w:linePitch="381"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2010609030001010101"/>
    <w:charset w:val="86"/>
    <w:family w:val="modern"/>
    <w:pitch w:val="default"/>
    <w:sig w:usb0="00000000" w:usb1="00000000" w:usb2="0000001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Gungsuh">
    <w:panose1 w:val="02030600000101010101"/>
    <w:charset w:val="81"/>
    <w:family w:val="roman"/>
    <w:pitch w:val="default"/>
    <w:sig w:usb0="B00002AF" w:usb1="69D77CFB" w:usb2="00000030" w:usb3="00000000" w:csb0="4008009F" w:csb1="DFD70000"/>
  </w:font>
  <w:font w:name="方正仿宋_GBK">
    <w:altName w:val="微软雅黑"/>
    <w:panose1 w:val="00000000000000000000"/>
    <w:charset w:val="86"/>
    <w:family w:val="script"/>
    <w:pitch w:val="default"/>
    <w:sig w:usb0="00000000" w:usb1="00000000" w:usb2="00000000" w:usb3="00000000" w:csb0="00040000" w:csb1="00000000"/>
  </w:font>
  <w:font w:name="华文宋体">
    <w:altName w:val="宋体"/>
    <w:panose1 w:val="020106000400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60"/>
      <w:jc w:val="center"/>
      <w:rPr>
        <w:rFonts w:ascii="仿宋_GB2312" w:eastAsia="仿宋_GB2312"/>
        <w:sz w:val="21"/>
        <w:szCs w:val="21"/>
      </w:rPr>
    </w:pPr>
    <w:r>
      <w:rPr>
        <w:rFonts w:ascii="仿宋_GB2312" w:eastAsia="仿宋_GB2312" w:hint="eastAsia"/>
        <w:sz w:val="21"/>
        <w:szCs w:val="21"/>
      </w:rPr>
      <w:fldChar w:fldCharType="begin"/>
    </w:r>
    <w:r>
      <w:rPr>
        <w:rFonts w:ascii="仿宋_GB2312" w:eastAsia="仿宋_GB2312" w:hint="eastAsia"/>
        <w:sz w:val="21"/>
        <w:szCs w:val="21"/>
      </w:rPr>
      <w:instrText xml:space="preserve">PAGE   \* MERGEFORMAT</w:instrText>
    </w:r>
    <w:r>
      <w:rPr>
        <w:rFonts w:ascii="仿宋_GB2312" w:eastAsia="仿宋_GB2312" w:hint="eastAsia"/>
        <w:sz w:val="21"/>
        <w:szCs w:val="21"/>
      </w:rPr>
      <w:fldChar w:fldCharType="separate"/>
    </w:r>
    <w:r>
      <w:rPr>
        <w:rFonts w:ascii="仿宋_GB2312" w:eastAsia="仿宋_GB2312"/>
        <w:sz w:val="21"/>
        <w:szCs w:val="21"/>
        <w:lang w:val="zh-CN"/>
      </w:rPr>
      <w:t xml:space="preserve">14</w:t>
    </w:r>
    <w:r>
      <w:rPr>
        <w:rFonts w:ascii="仿宋_GB2312" w:eastAsia="仿宋_GB2312" w:hint="eastAsia"/>
        <w:sz w:val="21"/>
        <w:szCs w:val="21"/>
      </w:rPr>
      <w:fldChar w:fldCharType="end"/>
    </w:r>
  </w:p>
  <w:p>
    <w:pPr>
      <w:pStyle w:val="Footer"/>
      <w:rPr>
        <w:rFonts w:ascii="仿宋_GB2312" w:eastAsia="仿宋_GB2312"/>
        <w:sz w:val="21"/>
        <w:szCs w:val="21"/>
      </w:rP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60"/>
      <w:jc w:val="center"/>
      <w:rPr>
        <w:rFonts w:ascii="仿宋_GB2312" w:eastAsia="仿宋_GB2312"/>
        <w:sz w:val="21"/>
        <w:szCs w:val="21"/>
      </w:rPr>
    </w:pPr>
    <w:r>
      <w:rPr>
        <w:rFonts w:ascii="仿宋_GB2312" w:eastAsia="仿宋_GB2312" w:hint="eastAsia"/>
        <w:sz w:val="21"/>
        <w:szCs w:val="21"/>
      </w:rPr>
      <w:fldChar w:fldCharType="begin"/>
    </w:r>
    <w:r>
      <w:rPr>
        <w:rFonts w:ascii="仿宋_GB2312" w:eastAsia="仿宋_GB2312" w:hint="eastAsia"/>
        <w:sz w:val="21"/>
        <w:szCs w:val="21"/>
      </w:rPr>
      <w:instrText xml:space="preserve">PAGE   \* MERGEFORMAT</w:instrText>
    </w:r>
    <w:r>
      <w:rPr>
        <w:rFonts w:ascii="仿宋_GB2312" w:eastAsia="仿宋_GB2312" w:hint="eastAsia"/>
        <w:sz w:val="21"/>
        <w:szCs w:val="21"/>
      </w:rPr>
      <w:fldChar w:fldCharType="separate"/>
    </w:r>
    <w:r>
      <w:rPr>
        <w:rFonts w:ascii="仿宋_GB2312" w:eastAsia="仿宋_GB2312"/>
        <w:sz w:val="21"/>
        <w:szCs w:val="21"/>
        <w:lang w:val="zh-CN"/>
      </w:rPr>
      <w:t xml:space="preserve">29</w:t>
    </w:r>
    <w:r>
      <w:rPr>
        <w:rFonts w:ascii="仿宋_GB2312" w:eastAsia="仿宋_GB2312" w:hint="eastAsia"/>
        <w:sz w:val="21"/>
        <w:szCs w:val="21"/>
      </w:rPr>
      <w:fldChar w:fldCharType="end"/>
    </w:r>
  </w:p>
  <w:p>
    <w:pPr>
      <w:pStyle w:val="Footer"/>
      <w:rPr>
        <w:rFonts w:ascii="仿宋_GB2312" w:eastAsia="仿宋_GB2312"/>
        <w:sz w:val="21"/>
        <w:szCs w:val="21"/>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pStyle w:val="FootnoteText"/>
        <w:ind w:firstLine="0" w:firstLineChars="0"/>
        <w:jc w:val="both"/>
        <w:rPr>
          <w:rFonts w:ascii="仿宋_GB2312"/>
        </w:rPr>
      </w:pPr>
    </w:p>
  </w:footnote>
  <w:footnote w:id="0">
    <w:p>
      <w:pPr>
        <w:pStyle w:val="FootnoteText"/>
        <w:ind w:firstLine="0" w:firstLineChars="0"/>
        <w:jc w:val="both"/>
        <w:rPr>
          <w:rFonts w:ascii="仿宋_GB2312"/>
        </w:rPr>
      </w:pP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ind w:firstLine="0" w:firstLineChars="0"/>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firstLine="560"/>
      <w:jc w:val="right"/>
      <w:rPr>
        <w:rFonts w:ascii="仿宋_GB2312" w:eastAsia="仿宋_GB2312"/>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80"/>
  <w:bordersDoNotSurroundFooter/>
  <w:bordersDoNotSurroundHeader/>
  <w:doNotTrackMoves/>
  <w:defaultTabStop w:val="420"/>
  <w:drawingGridHorizontalSpacing w:val="140"/>
  <w:drawingGridVerticalSpacing w:val="381"/>
  <w:displayHorizontalDrawingGridEvery w:val="0"/>
  <w:characterSpacingControl w:val="compressPunctuation"/>
  <w:footnotePr/>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宋体"/>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qFormat="1"/>
    <w:lsdException w:name="annotation reference" w:semiHidden="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nhideWhenUsed="0" w:qFormat="1"/>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unhideWhenUsed="0" w:qFormat="1"/>
    <w:lsdException w:name="annotation subject" w:semiHidden="0" w:unhideWhenUsed="0" w:qFormat="1"/>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nhideWhenUsed="0" w:qFormat="1"/>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ind w:firstLine="600" w:firstLineChars="200"/>
      <w:jc w:val="both"/>
    </w:pPr>
    <w:rPr>
      <w:rFonts w:ascii="Calibri" w:eastAsia="仿宋_GB2312" w:hAnsi="Calibri" w:cs="黑体"/>
      <w:kern w:val="2"/>
      <w:sz w:val="28"/>
      <w:szCs w:val="22"/>
      <w:lang w:val="en-US" w:eastAsia="zh-CN" w:bidi="ar-SA"/>
    </w:rPr>
  </w:style>
  <w:style w:type="paragraph" w:styleId="Heading1">
    <w:name w:val="Heading 1"/>
    <w:basedOn w:val="Normal"/>
    <w:next w:val="Normal"/>
    <w:link w:val="标题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标题2Char"/>
    <w:uiPriority w:val="9"/>
    <w:qFormat/>
    <w:pPr>
      <w:keepNext/>
      <w:keepLines/>
      <w:spacing w:before="260" w:after="260" w:line="416" w:lineRule="auto"/>
      <w:outlineLvl w:val="1"/>
    </w:pPr>
    <w:rPr>
      <w:rFonts w:ascii="等线 Light" w:eastAsia="等线 Light" w:hAnsi="等线 Light" w:cs="宋体"/>
      <w:b/>
      <w:bCs/>
      <w:sz w:val="32"/>
      <w:szCs w:val="32"/>
    </w:rPr>
  </w:style>
  <w:style w:type="paragraph" w:styleId="Heading3">
    <w:name w:val="Heading 3"/>
    <w:basedOn w:val="Normal"/>
    <w:next w:val="Normal"/>
    <w:link w:val="标题3Char"/>
    <w:uiPriority w:val="9"/>
    <w:qFormat/>
    <w:pPr>
      <w:keepNext/>
      <w:keepLines/>
      <w:spacing w:before="260" w:after="260" w:line="416" w:lineRule="auto"/>
      <w:outlineLvl w:val="2"/>
    </w:pPr>
    <w:rPr>
      <w:b/>
      <w:bCs/>
      <w:sz w:val="32"/>
      <w:szCs w:val="32"/>
    </w:rPr>
  </w:style>
  <w:style w:type="character" w:default="1" w:styleId="DefaultParagraphFont">
    <w:name w:val="Default Paragraph Font"/>
    <w:uiPriority w:val="1"/>
    <w:rPr/>
  </w:style>
  <w:style w:type="table" w:default="1" w:styleId="NormalTable">
    <w:name w:val="Normal Table"/>
    <w:uiPriority w:val="99"/>
    <w:qFormat/>
    <w:rPr/>
    <w:tblPr>
      <w:tblCellMar>
        <w:top w:w="0" w:type="dxa"/>
        <w:left w:w="108" w:type="dxa"/>
        <w:bottom w:w="0" w:type="dxa"/>
        <w:right w:w="108" w:type="dxa"/>
      </w:tblCellMar>
    </w:tblPr>
  </w:style>
  <w:style w:type="paragraph" w:styleId="CommentText">
    <w:name w:val="Comment Text"/>
    <w:basedOn w:val="Normal"/>
    <w:link w:val="批注文字Char"/>
    <w:uiPriority w:val="99"/>
    <w:qFormat/>
    <w:pPr>
      <w:jc w:val="left"/>
    </w:pPr>
    <w:rPr/>
  </w:style>
  <w:style w:type="paragraph" w:styleId="TOC3">
    <w:name w:val="TOC 3"/>
    <w:basedOn w:val="Normal"/>
    <w:next w:val="Normal"/>
    <w:uiPriority w:val="39"/>
    <w:qFormat/>
    <w:pPr>
      <w:ind w:left="840" w:leftChars="400"/>
    </w:pPr>
    <w:rPr/>
  </w:style>
  <w:style w:type="paragraph" w:styleId="Date">
    <w:name w:val="Date"/>
    <w:basedOn w:val="Normal"/>
    <w:next w:val="Normal"/>
    <w:link w:val="日期Char"/>
    <w:uiPriority w:val="99"/>
    <w:qFormat/>
    <w:pPr>
      <w:ind w:left="100" w:leftChars="2500"/>
    </w:pPr>
    <w:rPr/>
  </w:style>
  <w:style w:type="paragraph" w:styleId="BalloonText">
    <w:name w:val="Balloon Text"/>
    <w:basedOn w:val="Normal"/>
    <w:link w:val="批注框文本Char"/>
    <w:uiPriority w:val="99"/>
    <w:qFormat/>
    <w:rPr>
      <w:sz w:val="18"/>
      <w:szCs w:val="18"/>
    </w:rPr>
  </w:style>
  <w:style w:type="paragraph" w:styleId="Footer">
    <w:name w:val="Footer"/>
    <w:basedOn w:val="Normal"/>
    <w:link w:val="页脚Char"/>
    <w:uiPriority w:val="99"/>
    <w:qFormat/>
    <w:pPr>
      <w:tabs>
        <w:tab w:val="center" w:pos="4153"/>
        <w:tab w:val="right" w:pos="8306"/>
      </w:tabs>
      <w:snapToGrid w:val="0"/>
      <w:ind w:firstLine="0" w:firstLineChars="0"/>
      <w:jc w:val="left"/>
    </w:pPr>
    <w:rPr>
      <w:rFonts w:ascii="等线" w:eastAsia="等线" w:hAnsi="等线" w:cs="宋体"/>
      <w:sz w:val="18"/>
      <w:szCs w:val="18"/>
    </w:rPr>
  </w:style>
  <w:style w:type="paragraph" w:styleId="Header">
    <w:name w:val="Header"/>
    <w:basedOn w:val="Normal"/>
    <w:link w:val="页眉Char"/>
    <w:uiPriority w:val="99"/>
    <w:qFormat/>
    <w:pPr>
      <w:pBdr>
        <w:bottom w:val="single" w:sz="6" w:space="1" w:color="auto"/>
      </w:pBdr>
      <w:tabs>
        <w:tab w:val="center" w:pos="4153"/>
        <w:tab w:val="right" w:pos="8306"/>
      </w:tabs>
      <w:snapToGrid w:val="0"/>
      <w:ind w:firstLine="0" w:firstLineChars="0"/>
      <w:jc w:val="center"/>
    </w:pPr>
    <w:rPr>
      <w:rFonts w:ascii="等线" w:eastAsia="等线" w:hAnsi="等线" w:cs="宋体"/>
      <w:sz w:val="18"/>
      <w:szCs w:val="18"/>
    </w:rPr>
  </w:style>
  <w:style w:type="paragraph" w:styleId="TOC1">
    <w:name w:val="TOC 1"/>
    <w:basedOn w:val="Normal"/>
    <w:next w:val="Normal"/>
    <w:uiPriority w:val="39"/>
    <w:qFormat/>
    <w:rPr/>
  </w:style>
  <w:style w:type="paragraph" w:styleId="FootnoteText">
    <w:name w:val="Footnote Text"/>
    <w:basedOn w:val="Normal"/>
    <w:link w:val="脚注文本Char"/>
    <w:uiPriority w:val="99"/>
    <w:qFormat/>
    <w:pPr>
      <w:snapToGrid w:val="0"/>
      <w:jc w:val="left"/>
    </w:pPr>
    <w:rPr>
      <w:sz w:val="18"/>
      <w:szCs w:val="18"/>
    </w:rPr>
  </w:style>
  <w:style w:type="paragraph" w:styleId="TOC2">
    <w:name w:val="TOC 2"/>
    <w:basedOn w:val="Normal"/>
    <w:next w:val="Normal"/>
    <w:uiPriority w:val="39"/>
    <w:qFormat/>
    <w:pPr>
      <w:ind w:left="420" w:leftChars="200"/>
    </w:pPr>
    <w:rPr/>
  </w:style>
  <w:style w:type="paragraph" w:styleId="CommentSubject">
    <w:name w:val="Comment Subject"/>
    <w:basedOn w:val="CommentText"/>
    <w:next w:val="CommentText"/>
    <w:link w:val="批注主题Char"/>
    <w:uiPriority w:val="99"/>
    <w:qFormat/>
    <w:rPr>
      <w:b/>
      <w:bCs/>
    </w:rPr>
  </w:style>
  <w:style w:type="table" w:styleId="TableGrid">
    <w:name w:val="Table Grid"/>
    <w:basedOn w:val="NormalTable"/>
    <w:uiPriority w:val="39"/>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qFormat/>
    <w:rPr>
      <w:color w:val="0563C1"/>
      <w:u w:val="single"/>
    </w:rPr>
  </w:style>
  <w:style w:type="character" w:styleId="CommentReference">
    <w:name w:val="Comment Reference"/>
    <w:basedOn w:val="DefaultParagraphFont"/>
    <w:uiPriority w:val="99"/>
    <w:qFormat/>
    <w:rPr>
      <w:sz w:val="21"/>
      <w:szCs w:val="21"/>
    </w:rPr>
  </w:style>
  <w:style w:type="character" w:styleId="FootnoteReference">
    <w:name w:val="Footnote Reference"/>
    <w:basedOn w:val="DefaultParagraphFont"/>
    <w:uiPriority w:val="99"/>
    <w:qFormat/>
    <w:rPr>
      <w:vertAlign w:val="superscript"/>
    </w:rPr>
  </w:style>
  <w:style w:type="character" w:customStyle="1" w:styleId="页眉Char">
    <w:name w:val="页眉 Char"/>
    <w:basedOn w:val="DefaultParagraphFont"/>
    <w:link w:val="Header"/>
    <w:uiPriority w:val="99"/>
    <w:qFormat/>
    <w:rPr>
      <w:sz w:val="18"/>
      <w:szCs w:val="18"/>
    </w:rPr>
  </w:style>
  <w:style w:type="character" w:customStyle="1" w:styleId="页脚Char">
    <w:name w:val="页脚 Char"/>
    <w:basedOn w:val="DefaultParagraphFont"/>
    <w:link w:val="Footer"/>
    <w:uiPriority w:val="99"/>
    <w:qFormat/>
    <w:rPr>
      <w:sz w:val="18"/>
      <w:szCs w:val="18"/>
    </w:rPr>
  </w:style>
  <w:style w:type="character" w:customStyle="1" w:styleId="日期Char">
    <w:name w:val="日期 Char"/>
    <w:basedOn w:val="DefaultParagraphFont"/>
    <w:link w:val="Date"/>
    <w:uiPriority w:val="99"/>
    <w:qFormat/>
    <w:rPr>
      <w:rFonts w:ascii="Calibri" w:eastAsia="仿宋_GB2312" w:hAnsi="Calibri" w:cs="黑体"/>
      <w:sz w:val="28"/>
    </w:rPr>
  </w:style>
  <w:style w:type="character" w:customStyle="1" w:styleId="标题2Char">
    <w:name w:val="标题 2 Char"/>
    <w:basedOn w:val="DefaultParagraphFont"/>
    <w:link w:val="Heading2"/>
    <w:uiPriority w:val="9"/>
    <w:qFormat/>
    <w:rPr>
      <w:rFonts w:ascii="等线 Light" w:eastAsia="等线 Light" w:hAnsi="等线 Light" w:cs="宋体"/>
      <w:b/>
      <w:bCs/>
      <w:sz w:val="32"/>
      <w:szCs w:val="32"/>
    </w:rPr>
  </w:style>
  <w:style w:type="character" w:customStyle="1" w:styleId="脚注文本Char">
    <w:name w:val="脚注文本 Char"/>
    <w:basedOn w:val="DefaultParagraphFont"/>
    <w:link w:val="FootnoteText"/>
    <w:uiPriority w:val="99"/>
    <w:qFormat/>
    <w:rPr>
      <w:rFonts w:ascii="Calibri" w:eastAsia="仿宋_GB2312" w:hAnsi="Calibri" w:cs="黑体"/>
      <w:sz w:val="18"/>
      <w:szCs w:val="18"/>
    </w:rPr>
  </w:style>
  <w:style w:type="paragraph" w:styleId="ListParagraph">
    <w:name w:val="List Paragraph"/>
    <w:basedOn w:val="Normal"/>
    <w:uiPriority w:val="34"/>
    <w:qFormat/>
    <w:pPr>
      <w:ind w:firstLine="420"/>
    </w:pPr>
    <w:rPr/>
  </w:style>
  <w:style w:type="table" w:customStyle="1" w:styleId="网格型1">
    <w:name w:val="网格型1"/>
    <w:basedOn w:val="NormalTable"/>
    <w:uiPriority w:val="39"/>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标题1Char">
    <w:name w:val="标题 1 Char"/>
    <w:basedOn w:val="DefaultParagraphFont"/>
    <w:link w:val="Heading1"/>
    <w:uiPriority w:val="9"/>
    <w:qFormat/>
    <w:rPr>
      <w:rFonts w:ascii="Calibri" w:eastAsia="仿宋_GB2312" w:hAnsi="Calibri" w:cs="黑体"/>
      <w:b/>
      <w:bCs/>
      <w:kern w:val="44"/>
      <w:sz w:val="44"/>
      <w:szCs w:val="44"/>
    </w:rPr>
  </w:style>
  <w:style w:type="paragraph" w:customStyle="1" w:styleId="TOC标题1">
    <w:name w:val="TOC 标题1"/>
    <w:basedOn w:val="Heading1"/>
    <w:next w:val="Normal"/>
    <w:uiPriority w:val="39"/>
    <w:qFormat/>
    <w:pPr>
      <w:widowControl/>
      <w:spacing w:before="240" w:after="0" w:line="259" w:lineRule="auto"/>
      <w:ind w:firstLine="0" w:firstLineChars="0"/>
      <w:jc w:val="left"/>
      <w:outlineLvl w:val="9"/>
    </w:pPr>
    <w:rPr>
      <w:rFonts w:ascii="等线 Light" w:eastAsia="等线 Light" w:hAnsi="等线 Light" w:cs="宋体"/>
      <w:b w:val="0"/>
      <w:bCs w:val="0"/>
      <w:color w:val="2F5496"/>
      <w:kern w:val="0"/>
      <w:sz w:val="32"/>
      <w:szCs w:val="32"/>
    </w:rPr>
  </w:style>
  <w:style w:type="character" w:customStyle="1" w:styleId="批注文字Char">
    <w:name w:val="批注文字 Char"/>
    <w:basedOn w:val="DefaultParagraphFont"/>
    <w:link w:val="CommentText"/>
    <w:uiPriority w:val="99"/>
    <w:qFormat/>
    <w:rPr>
      <w:rFonts w:ascii="Calibri" w:eastAsia="仿宋_GB2312" w:hAnsi="Calibri" w:cs="黑体"/>
      <w:sz w:val="28"/>
    </w:rPr>
  </w:style>
  <w:style w:type="character" w:customStyle="1" w:styleId="批注主题Char">
    <w:name w:val="批注主题 Char"/>
    <w:basedOn w:val="批注文字Char"/>
    <w:link w:val="CommentSubject"/>
    <w:uiPriority w:val="99"/>
    <w:qFormat/>
    <w:rPr>
      <w:rFonts w:ascii="Calibri" w:eastAsia="仿宋_GB2312" w:hAnsi="Calibri" w:cs="黑体"/>
      <w:b/>
      <w:bCs/>
      <w:sz w:val="28"/>
    </w:rPr>
  </w:style>
  <w:style w:type="character" w:customStyle="1" w:styleId="批注框文本Char">
    <w:name w:val="批注框文本 Char"/>
    <w:basedOn w:val="DefaultParagraphFont"/>
    <w:link w:val="BalloonText"/>
    <w:uiPriority w:val="99"/>
    <w:qFormat/>
    <w:rPr>
      <w:rFonts w:ascii="Calibri" w:eastAsia="仿宋_GB2312" w:hAnsi="Calibri" w:cs="黑体"/>
      <w:sz w:val="18"/>
      <w:szCs w:val="18"/>
    </w:rPr>
  </w:style>
  <w:style w:type="character" w:customStyle="1" w:styleId="标题3Char">
    <w:name w:val="标题 3 Char"/>
    <w:basedOn w:val="DefaultParagraphFont"/>
    <w:link w:val="Heading3"/>
    <w:uiPriority w:val="9"/>
    <w:qFormat/>
    <w:rPr>
      <w:rFonts w:ascii="Calibri" w:eastAsia="仿宋_GB2312" w:hAnsi="Calibri" w:cs="黑体"/>
      <w:b/>
      <w:bCs/>
      <w:sz w:val="32"/>
      <w:szCs w:val="32"/>
    </w:rPr>
  </w:style>
  <w:style w:type="paragraph" w:customStyle="1" w:styleId="样式右侧:1.69厘米">
    <w:name w:val="样式 右侧:  1.69 厘米"/>
    <w:basedOn w:val="Normal"/>
    <w:qFormat/>
    <w:pPr>
      <w:ind w:right="960"/>
    </w:pPr>
    <w:rPr>
      <w:rFonts w:eastAsia="仿宋" w:cs="宋体"/>
      <w:szCs w:val="2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footnotes" Target="footnotes.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theme" Target="theme/theme1.xml"/><Relationship Id="rId16" Type="http://schemas.openxmlformats.org/officeDocument/2006/relationships/styles" Target="styles.xml"/><Relationship Id="rId17" Type="http://schemas.openxmlformats.org/officeDocument/2006/relationships/webSettings" Target="webSettings.xml"/><Relationship Id="rId18" Type="http://schemas.openxmlformats.org/officeDocument/2006/relationships/fontTable" Target="fontTable.xml"/><Relationship Id="rId19" Type="http://schemas.openxmlformats.org/officeDocument/2006/relationships/settings" Target="settings.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eyJoZGlkIjoiODk4NzI3YmJmYzlmZWY0OGIxMDRlZTk5MjM1ZjZhNzEiLCJ1c2VySWQiOiIxNTc1NzgxOTY0In0=</vt:lpwstr>
  </property>
  <property fmtid="{D5CDD505-2E9C-101B-9397-08002B2CF9AE}" pid="3" name="KSOProductBuildVer">
    <vt:lpwstr>2052-11.1.0.9021</vt:lpwstr>
  </property>
  <property fmtid="{D5CDD505-2E9C-101B-9397-08002B2CF9AE}" pid="4" name="ICV">
    <vt:lpwstr>bbdf8535355e48b7a9d155b9b3915c0f_23</vt:lpwstr>
  </property>
</Properti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B4AEA0-0754-46F4-B531-B508D5FAB36D}">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33</Pages>
  <Words>13582</Words>
  <Characters>14157</Characters>
  <Application>WPS Office_11.1.0.9021_F1E327BC-269C-435d-A152-05C5408002CA</Application>
  <DocSecurity>0</DocSecurity>
  <Paragraphs>561</Paragraphs>
  <Company>微软中国</Company>
  <CharactersWithSpaces>14205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宇</dc:creator>
  <cp:lastModifiedBy>Administrator</cp:lastModifiedBy>
  <cp:revision>2</cp:revision>
  <cp:lastPrinted>2023-04-11T02:57:00Z</cp:lastPrinted>
  <dcterms:created xsi:type="dcterms:W3CDTF">2025-05-29T03:47:00Z</dcterms:created>
  <dcterms:modified xsi:type="dcterms:W3CDTF">2025-08-29T10:01:51Z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eyJoZGlkIjoiODk4NzI3YmJmYzlmZWY0OGIxMDRlZTk5MjM1ZjZhNzEiLCJ1c2VySWQiOiIxNTc1NzgxOTY0In0_x003D_</vt:lpwstr>
  </property>
  <property fmtid="{D5CDD505-2E9C-101B-9397-08002B2CF9AE}" pid="3" name="KSOProductBuildVer">
    <vt:lpwstr>2052-11.1.0.9021</vt:lpwstr>
  </property>
  <property fmtid="{D5CDD505-2E9C-101B-9397-08002B2CF9AE}" pid="4" name="ICV">
    <vt:lpwstr>bbdf8535355e48b7a9d155b9b3915c0f_23</vt:lpwstr>
  </property>
</Properties>
</file>