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6AE2D6"/>
    <w:p w14:paraId="528BBF0F">
      <w:pPr>
        <w:spacing w:line="540" w:lineRule="exact"/>
        <w:jc w:val="left"/>
        <w:rPr>
          <w:rFonts w:ascii="仿宋" w:hAnsi="仿宋" w:eastAsia="仿宋" w:cs="宋体"/>
          <w:kern w:val="0"/>
          <w:sz w:val="32"/>
          <w:szCs w:val="32"/>
        </w:rPr>
      </w:pPr>
      <w:r>
        <w:rPr>
          <w:rFonts w:hint="eastAsia" w:ascii="仿宋" w:hAnsi="仿宋" w:eastAsia="仿宋" w:cs="宋体"/>
          <w:kern w:val="0"/>
          <w:sz w:val="32"/>
          <w:szCs w:val="32"/>
        </w:rPr>
        <w:t>附件</w:t>
      </w:r>
      <w:r>
        <w:rPr>
          <w:rFonts w:eastAsia="仿宋"/>
          <w:kern w:val="0"/>
          <w:sz w:val="32"/>
          <w:szCs w:val="32"/>
        </w:rPr>
        <w:t>2</w:t>
      </w:r>
      <w:r>
        <w:rPr>
          <w:rFonts w:hint="eastAsia" w:ascii="仿宋" w:hAnsi="仿宋" w:eastAsia="仿宋" w:cs="宋体"/>
          <w:kern w:val="0"/>
          <w:sz w:val="32"/>
          <w:szCs w:val="32"/>
        </w:rPr>
        <w:t>：</w:t>
      </w:r>
    </w:p>
    <w:p w14:paraId="5B544359">
      <w:pPr>
        <w:spacing w:line="540" w:lineRule="exact"/>
        <w:jc w:val="center"/>
        <w:rPr>
          <w:rFonts w:ascii="华文中宋" w:hAnsi="华文中宋" w:eastAsia="华文中宋" w:cs="宋体"/>
          <w:b/>
          <w:kern w:val="0"/>
          <w:sz w:val="52"/>
          <w:szCs w:val="52"/>
        </w:rPr>
      </w:pPr>
    </w:p>
    <w:p w14:paraId="35E1ABA2">
      <w:pPr>
        <w:spacing w:line="540" w:lineRule="exact"/>
        <w:jc w:val="center"/>
        <w:rPr>
          <w:rFonts w:ascii="华文中宋" w:hAnsi="华文中宋" w:eastAsia="华文中宋" w:cs="宋体"/>
          <w:b/>
          <w:kern w:val="0"/>
          <w:sz w:val="52"/>
          <w:szCs w:val="52"/>
        </w:rPr>
      </w:pPr>
    </w:p>
    <w:p w14:paraId="59508A6F">
      <w:pPr>
        <w:spacing w:line="540" w:lineRule="exact"/>
        <w:jc w:val="center"/>
        <w:rPr>
          <w:rFonts w:ascii="华文中宋" w:hAnsi="华文中宋" w:eastAsia="华文中宋" w:cs="宋体"/>
          <w:b/>
          <w:kern w:val="0"/>
          <w:sz w:val="52"/>
          <w:szCs w:val="52"/>
        </w:rPr>
      </w:pPr>
    </w:p>
    <w:p w14:paraId="260E7975">
      <w:pPr>
        <w:spacing w:line="540" w:lineRule="exact"/>
        <w:jc w:val="center"/>
        <w:rPr>
          <w:rFonts w:ascii="华文中宋" w:hAnsi="华文中宋" w:eastAsia="华文中宋" w:cs="宋体"/>
          <w:b/>
          <w:kern w:val="0"/>
          <w:sz w:val="52"/>
          <w:szCs w:val="52"/>
        </w:rPr>
      </w:pPr>
    </w:p>
    <w:p w14:paraId="4962E994">
      <w:pPr>
        <w:spacing w:line="540" w:lineRule="exact"/>
        <w:jc w:val="center"/>
        <w:rPr>
          <w:rFonts w:ascii="华文中宋" w:hAnsi="华文中宋" w:eastAsia="华文中宋" w:cs="宋体"/>
          <w:b/>
          <w:kern w:val="0"/>
          <w:sz w:val="52"/>
          <w:szCs w:val="52"/>
        </w:rPr>
      </w:pPr>
    </w:p>
    <w:p w14:paraId="74CEE08A">
      <w:pPr>
        <w:spacing w:line="540" w:lineRule="exact"/>
        <w:jc w:val="center"/>
        <w:rPr>
          <w:rFonts w:ascii="华文中宋" w:hAnsi="华文中宋" w:eastAsia="华文中宋" w:cs="宋体"/>
          <w:b/>
          <w:kern w:val="0"/>
          <w:sz w:val="52"/>
          <w:szCs w:val="52"/>
        </w:rPr>
      </w:pPr>
    </w:p>
    <w:p w14:paraId="40F0C58F">
      <w:pPr>
        <w:spacing w:line="560" w:lineRule="exact"/>
        <w:jc w:val="center"/>
        <w:rPr>
          <w:rFonts w:ascii="方正小标宋_GBK" w:hAnsi="华文中宋" w:eastAsia="方正小标宋_GBK" w:cs="宋体"/>
          <w:b/>
          <w:kern w:val="0"/>
          <w:sz w:val="52"/>
          <w:szCs w:val="52"/>
        </w:rPr>
      </w:pPr>
      <w:r>
        <w:rPr>
          <w:rFonts w:hint="eastAsia" w:ascii="方正小标宋_GBK" w:hAnsi="华文中宋" w:eastAsia="方正小标宋_GBK" w:cs="宋体"/>
          <w:b/>
          <w:kern w:val="0"/>
          <w:sz w:val="52"/>
          <w:szCs w:val="52"/>
        </w:rPr>
        <w:t>项目支出绩效自评报告</w:t>
      </w:r>
    </w:p>
    <w:p w14:paraId="10E0920C">
      <w:pPr>
        <w:spacing w:line="540" w:lineRule="exact"/>
        <w:jc w:val="center"/>
        <w:rPr>
          <w:rFonts w:ascii="华文中宋" w:hAnsi="华文中宋" w:eastAsia="华文中宋" w:cs="宋体"/>
          <w:b/>
          <w:kern w:val="0"/>
          <w:sz w:val="52"/>
          <w:szCs w:val="52"/>
        </w:rPr>
      </w:pPr>
    </w:p>
    <w:p w14:paraId="31AC7963">
      <w:pPr>
        <w:spacing w:line="540" w:lineRule="exact"/>
        <w:jc w:val="center"/>
        <w:rPr>
          <w:rFonts w:hAnsi="宋体" w:eastAsia="仿宋_GB2312" w:cs="宋体"/>
          <w:kern w:val="0"/>
          <w:sz w:val="36"/>
          <w:szCs w:val="36"/>
        </w:rPr>
      </w:pPr>
      <w:r>
        <w:rPr>
          <w:rFonts w:hint="eastAsia" w:hAnsi="宋体" w:eastAsia="仿宋_GB2312" w:cs="宋体"/>
          <w:kern w:val="0"/>
          <w:sz w:val="36"/>
          <w:szCs w:val="36"/>
        </w:rPr>
        <w:t xml:space="preserve">（   </w:t>
      </w:r>
      <w:r>
        <w:rPr>
          <w:rStyle w:val="19"/>
          <w:rFonts w:eastAsia="楷体"/>
          <w:spacing w:val="-4"/>
          <w:sz w:val="32"/>
          <w:szCs w:val="32"/>
        </w:rPr>
        <w:t>2024</w:t>
      </w:r>
      <w:r>
        <w:rPr>
          <w:rFonts w:hint="eastAsia" w:hAnsi="宋体" w:eastAsia="仿宋_GB2312" w:cs="宋体"/>
          <w:kern w:val="0"/>
          <w:sz w:val="36"/>
          <w:szCs w:val="36"/>
        </w:rPr>
        <w:t xml:space="preserve">  年度）</w:t>
      </w:r>
    </w:p>
    <w:p w14:paraId="38D70393">
      <w:pPr>
        <w:spacing w:line="540" w:lineRule="exact"/>
        <w:jc w:val="center"/>
        <w:rPr>
          <w:rFonts w:hAnsi="宋体" w:eastAsia="仿宋_GB2312" w:cs="宋体"/>
          <w:kern w:val="0"/>
          <w:sz w:val="30"/>
          <w:szCs w:val="30"/>
        </w:rPr>
      </w:pPr>
    </w:p>
    <w:p w14:paraId="401C7B11">
      <w:pPr>
        <w:spacing w:line="540" w:lineRule="exact"/>
        <w:jc w:val="center"/>
        <w:rPr>
          <w:rFonts w:hAnsi="宋体" w:eastAsia="仿宋_GB2312" w:cs="宋体"/>
          <w:kern w:val="0"/>
          <w:sz w:val="30"/>
          <w:szCs w:val="30"/>
        </w:rPr>
      </w:pPr>
    </w:p>
    <w:p w14:paraId="77611E77">
      <w:pPr>
        <w:spacing w:line="540" w:lineRule="exact"/>
        <w:jc w:val="center"/>
        <w:rPr>
          <w:rFonts w:hAnsi="宋体" w:eastAsia="仿宋_GB2312" w:cs="宋体"/>
          <w:kern w:val="0"/>
          <w:sz w:val="30"/>
          <w:szCs w:val="30"/>
        </w:rPr>
      </w:pPr>
    </w:p>
    <w:p w14:paraId="0B1803DA">
      <w:pPr>
        <w:spacing w:line="540" w:lineRule="exact"/>
        <w:jc w:val="center"/>
        <w:rPr>
          <w:rFonts w:hAnsi="宋体" w:eastAsia="仿宋_GB2312" w:cs="宋体"/>
          <w:kern w:val="0"/>
          <w:sz w:val="30"/>
          <w:szCs w:val="30"/>
        </w:rPr>
      </w:pPr>
    </w:p>
    <w:p w14:paraId="18756BAB">
      <w:pPr>
        <w:spacing w:line="540" w:lineRule="exact"/>
        <w:jc w:val="center"/>
        <w:rPr>
          <w:rFonts w:hAnsi="宋体" w:eastAsia="仿宋_GB2312" w:cs="宋体"/>
          <w:kern w:val="0"/>
          <w:sz w:val="30"/>
          <w:szCs w:val="30"/>
        </w:rPr>
      </w:pPr>
    </w:p>
    <w:p w14:paraId="2D5D0FBA">
      <w:pPr>
        <w:spacing w:line="540" w:lineRule="exact"/>
        <w:jc w:val="center"/>
        <w:rPr>
          <w:rFonts w:hAnsi="宋体" w:eastAsia="仿宋_GB2312" w:cs="宋体"/>
          <w:kern w:val="0"/>
          <w:sz w:val="30"/>
          <w:szCs w:val="30"/>
        </w:rPr>
      </w:pPr>
    </w:p>
    <w:p w14:paraId="054EFFDC">
      <w:pPr>
        <w:spacing w:line="540" w:lineRule="exact"/>
        <w:rPr>
          <w:rFonts w:hAnsi="宋体" w:eastAsia="仿宋_GB2312" w:cs="宋体"/>
          <w:kern w:val="0"/>
          <w:sz w:val="30"/>
          <w:szCs w:val="30"/>
        </w:rPr>
      </w:pPr>
    </w:p>
    <w:p w14:paraId="4D9C27CA">
      <w:pPr>
        <w:spacing w:line="700" w:lineRule="exact"/>
        <w:jc w:val="left"/>
        <w:rPr>
          <w:rFonts w:hAnsi="宋体" w:eastAsia="仿宋_GB2312" w:cs="宋体"/>
          <w:kern w:val="0"/>
          <w:sz w:val="36"/>
          <w:szCs w:val="36"/>
        </w:rPr>
      </w:pPr>
      <w:r>
        <w:rPr>
          <w:rFonts w:hint="eastAsia" w:hAnsi="宋体" w:eastAsia="仿宋_GB2312" w:cs="宋体"/>
          <w:kern w:val="0"/>
          <w:sz w:val="36"/>
          <w:szCs w:val="36"/>
        </w:rPr>
        <w:t xml:space="preserve">     </w:t>
      </w:r>
    </w:p>
    <w:p w14:paraId="0F2BEE57">
      <w:pPr>
        <w:spacing w:line="700" w:lineRule="exact"/>
        <w:ind w:firstLine="900" w:firstLineChars="250"/>
        <w:jc w:val="left"/>
        <w:rPr>
          <w:rFonts w:hAnsi="宋体" w:eastAsia="仿宋_GB2312" w:cs="宋体"/>
          <w:kern w:val="0"/>
          <w:sz w:val="36"/>
          <w:szCs w:val="36"/>
        </w:rPr>
      </w:pPr>
      <w:r>
        <w:rPr>
          <w:rFonts w:hint="eastAsia" w:hAnsi="宋体" w:eastAsia="仿宋_GB2312" w:cs="宋体"/>
          <w:kern w:val="0"/>
          <w:sz w:val="36"/>
          <w:szCs w:val="36"/>
        </w:rPr>
        <w:t>项目名称：</w:t>
      </w:r>
      <w:r>
        <w:rPr>
          <w:rStyle w:val="19"/>
          <w:rFonts w:hint="eastAsia" w:ascii="楷体" w:hAnsi="楷体" w:eastAsia="楷体"/>
          <w:spacing w:val="-4"/>
          <w:sz w:val="32"/>
          <w:szCs w:val="32"/>
        </w:rPr>
        <w:t>知识产权运营服务体系建设项目</w:t>
      </w:r>
    </w:p>
    <w:p w14:paraId="04359785">
      <w:pPr>
        <w:spacing w:line="540" w:lineRule="exact"/>
        <w:ind w:firstLine="567"/>
        <w:rPr>
          <w:rFonts w:ascii="楷体" w:hAnsi="楷体" w:eastAsia="楷体"/>
          <w:b/>
          <w:bCs/>
          <w:spacing w:val="-4"/>
          <w:sz w:val="32"/>
          <w:szCs w:val="32"/>
        </w:rPr>
      </w:pPr>
      <w:r>
        <w:rPr>
          <w:rFonts w:hint="eastAsia" w:hAnsi="宋体" w:eastAsia="仿宋_GB2312" w:cs="宋体"/>
          <w:kern w:val="0"/>
          <w:sz w:val="36"/>
          <w:szCs w:val="36"/>
        </w:rPr>
        <w:t xml:space="preserve">  实施单位（公章）：</w:t>
      </w:r>
      <w:r>
        <w:rPr>
          <w:rStyle w:val="19"/>
          <w:rFonts w:hint="eastAsia" w:ascii="楷体" w:hAnsi="楷体" w:eastAsia="楷体"/>
          <w:spacing w:val="-4"/>
          <w:sz w:val="28"/>
          <w:szCs w:val="28"/>
        </w:rPr>
        <w:t>乌鲁木齐市市场监督管理局</w:t>
      </w:r>
    </w:p>
    <w:p w14:paraId="219E50E2">
      <w:pPr>
        <w:spacing w:line="540" w:lineRule="exact"/>
        <w:ind w:firstLine="900" w:firstLineChars="250"/>
        <w:rPr>
          <w:rFonts w:ascii="楷体" w:hAnsi="楷体" w:eastAsia="楷体"/>
          <w:b/>
          <w:bCs/>
          <w:spacing w:val="-4"/>
          <w:sz w:val="28"/>
          <w:szCs w:val="28"/>
        </w:rPr>
      </w:pPr>
      <w:r>
        <w:rPr>
          <w:rFonts w:hint="eastAsia" w:hAnsi="宋体" w:eastAsia="仿宋_GB2312" w:cs="宋体"/>
          <w:kern w:val="0"/>
          <w:sz w:val="36"/>
          <w:szCs w:val="36"/>
        </w:rPr>
        <w:t>主管部门（公章）：</w:t>
      </w:r>
      <w:r>
        <w:rPr>
          <w:rStyle w:val="19"/>
          <w:rFonts w:hint="eastAsia" w:ascii="楷体" w:hAnsi="楷体" w:eastAsia="楷体"/>
          <w:spacing w:val="-4"/>
          <w:sz w:val="28"/>
          <w:szCs w:val="28"/>
        </w:rPr>
        <w:t>乌鲁木齐市市场监督管理局</w:t>
      </w:r>
    </w:p>
    <w:p w14:paraId="55199D1A">
      <w:pPr>
        <w:spacing w:line="540" w:lineRule="exact"/>
        <w:ind w:firstLine="900" w:firstLineChars="250"/>
        <w:rPr>
          <w:rFonts w:ascii="楷体" w:hAnsi="楷体" w:eastAsia="楷体"/>
          <w:b/>
          <w:bCs/>
          <w:spacing w:val="-4"/>
          <w:sz w:val="32"/>
          <w:szCs w:val="32"/>
        </w:rPr>
      </w:pPr>
      <w:r>
        <w:rPr>
          <w:rFonts w:hint="eastAsia" w:hAnsi="宋体" w:eastAsia="仿宋_GB2312" w:cs="宋体"/>
          <w:kern w:val="0"/>
          <w:sz w:val="36"/>
          <w:szCs w:val="36"/>
        </w:rPr>
        <w:t>项目负责人（签章）：</w:t>
      </w:r>
      <w:r>
        <w:rPr>
          <w:rStyle w:val="19"/>
          <w:rFonts w:hint="eastAsia" w:ascii="楷体" w:hAnsi="楷体" w:eastAsia="楷体"/>
          <w:spacing w:val="-4"/>
          <w:sz w:val="32"/>
          <w:szCs w:val="32"/>
        </w:rPr>
        <w:t>戴炯</w:t>
      </w:r>
    </w:p>
    <w:p w14:paraId="3827B60F">
      <w:pPr>
        <w:spacing w:line="540" w:lineRule="exact"/>
        <w:ind w:left="273" w:firstLine="567"/>
        <w:rPr>
          <w:rStyle w:val="19"/>
          <w:rFonts w:ascii="楷体" w:hAnsi="楷体" w:eastAsia="楷体"/>
          <w:spacing w:val="-4"/>
          <w:sz w:val="32"/>
          <w:szCs w:val="32"/>
        </w:rPr>
      </w:pPr>
      <w:r>
        <w:rPr>
          <w:rFonts w:hint="eastAsia" w:hAnsi="宋体" w:eastAsia="仿宋_GB2312" w:cs="宋体"/>
          <w:kern w:val="0"/>
          <w:sz w:val="36"/>
          <w:szCs w:val="36"/>
        </w:rPr>
        <w:t>填报时间：</w:t>
      </w:r>
      <w:r>
        <w:rPr>
          <w:rStyle w:val="19"/>
          <w:rFonts w:eastAsia="楷体"/>
          <w:spacing w:val="-4"/>
          <w:sz w:val="32"/>
          <w:szCs w:val="32"/>
        </w:rPr>
        <w:t>2025年05月13日</w:t>
      </w:r>
    </w:p>
    <w:p w14:paraId="60A10063">
      <w:pPr>
        <w:spacing w:line="700" w:lineRule="exact"/>
        <w:ind w:firstLine="708" w:firstLineChars="236"/>
        <w:jc w:val="left"/>
        <w:rPr>
          <w:rFonts w:hAnsi="宋体" w:eastAsia="仿宋_GB2312" w:cs="宋体"/>
          <w:kern w:val="0"/>
          <w:sz w:val="30"/>
          <w:szCs w:val="30"/>
        </w:rPr>
      </w:pPr>
    </w:p>
    <w:p w14:paraId="68AB6A03">
      <w:pPr>
        <w:spacing w:line="540" w:lineRule="exact"/>
        <w:rPr>
          <w:rStyle w:val="19"/>
          <w:rFonts w:ascii="黑体" w:hAnsi="黑体" w:eastAsia="黑体"/>
          <w:b w:val="0"/>
          <w:spacing w:val="-4"/>
          <w:sz w:val="32"/>
          <w:szCs w:val="32"/>
        </w:rPr>
      </w:pPr>
    </w:p>
    <w:p w14:paraId="54E269EA">
      <w:pPr>
        <w:spacing w:line="540" w:lineRule="exact"/>
        <w:ind w:firstLine="624" w:firstLineChars="200"/>
        <w:rPr>
          <w:rStyle w:val="19"/>
          <w:rFonts w:ascii="黑体" w:hAnsi="黑体" w:eastAsia="黑体"/>
          <w:b w:val="0"/>
          <w:spacing w:val="-4"/>
          <w:sz w:val="32"/>
          <w:szCs w:val="32"/>
        </w:rPr>
      </w:pPr>
      <w:r>
        <w:rPr>
          <w:rStyle w:val="19"/>
          <w:rFonts w:hint="eastAsia" w:ascii="黑体" w:hAnsi="黑体" w:eastAsia="黑体"/>
          <w:b w:val="0"/>
          <w:spacing w:val="-4"/>
          <w:sz w:val="32"/>
          <w:szCs w:val="32"/>
        </w:rPr>
        <w:t>一、基本情况</w:t>
      </w:r>
    </w:p>
    <w:p w14:paraId="3628BC03">
      <w:pPr>
        <w:spacing w:line="540" w:lineRule="exact"/>
        <w:ind w:firstLine="627" w:firstLineChars="200"/>
        <w:rPr>
          <w:rStyle w:val="19"/>
          <w:rFonts w:ascii="楷体" w:hAnsi="楷体" w:eastAsia="楷体"/>
          <w:spacing w:val="-4"/>
          <w:sz w:val="32"/>
          <w:szCs w:val="32"/>
        </w:rPr>
      </w:pPr>
      <w:r>
        <w:rPr>
          <w:rStyle w:val="19"/>
          <w:rFonts w:hint="eastAsia" w:ascii="楷体" w:hAnsi="楷体" w:eastAsia="楷体"/>
          <w:spacing w:val="-4"/>
          <w:sz w:val="32"/>
          <w:szCs w:val="32"/>
        </w:rPr>
        <w:t>（一）项目概况</w:t>
      </w:r>
    </w:p>
    <w:p w14:paraId="6ECD74E0">
      <w:pPr>
        <w:spacing w:line="540" w:lineRule="exact"/>
        <w:ind w:firstLine="624" w:firstLineChars="200"/>
        <w:rPr>
          <w:rStyle w:val="19"/>
          <w:rFonts w:eastAsia="楷体"/>
          <w:b w:val="0"/>
          <w:bCs w:val="0"/>
          <w:spacing w:val="-4"/>
          <w:sz w:val="32"/>
          <w:szCs w:val="32"/>
        </w:rPr>
      </w:pPr>
      <w:r>
        <w:rPr>
          <w:rStyle w:val="19"/>
          <w:rFonts w:eastAsia="楷体"/>
          <w:b w:val="0"/>
          <w:bCs w:val="0"/>
          <w:spacing w:val="-4"/>
          <w:sz w:val="32"/>
          <w:szCs w:val="32"/>
        </w:rPr>
        <w:t>（一）项目概况：</w:t>
      </w:r>
      <w:r>
        <w:rPr>
          <w:rFonts w:eastAsia="楷体"/>
          <w:b w:val="0"/>
          <w:bCs w:val="0"/>
          <w:spacing w:val="-4"/>
          <w:sz w:val="32"/>
          <w:szCs w:val="32"/>
        </w:rPr>
        <w:br w:type="textWrapping"/>
      </w:r>
      <w:r>
        <w:rPr>
          <w:rStyle w:val="19"/>
          <w:rFonts w:eastAsia="楷体"/>
          <w:b w:val="0"/>
          <w:bCs w:val="0"/>
          <w:spacing w:val="-4"/>
          <w:sz w:val="32"/>
          <w:szCs w:val="32"/>
        </w:rPr>
        <w:t>1．项目背景、主要内容及实施情况</w:t>
      </w:r>
      <w:r>
        <w:rPr>
          <w:rFonts w:eastAsia="楷体"/>
          <w:b w:val="0"/>
          <w:bCs w:val="0"/>
          <w:spacing w:val="-4"/>
          <w:sz w:val="32"/>
          <w:szCs w:val="32"/>
        </w:rPr>
        <w:br w:type="textWrapping"/>
      </w:r>
      <w:r>
        <w:rPr>
          <w:rStyle w:val="19"/>
          <w:rFonts w:eastAsia="楷体"/>
          <w:b w:val="0"/>
          <w:bCs w:val="0"/>
          <w:spacing w:val="-4"/>
          <w:sz w:val="32"/>
          <w:szCs w:val="32"/>
        </w:rPr>
        <w:t>（1）实施背景</w:t>
      </w:r>
      <w:r>
        <w:rPr>
          <w:rFonts w:eastAsia="楷体"/>
          <w:b w:val="0"/>
          <w:bCs w:val="0"/>
          <w:spacing w:val="-4"/>
          <w:sz w:val="32"/>
          <w:szCs w:val="32"/>
        </w:rPr>
        <w:br w:type="textWrapping"/>
      </w:r>
      <w:r>
        <w:rPr>
          <w:rStyle w:val="19"/>
          <w:rFonts w:eastAsia="楷体"/>
          <w:b w:val="0"/>
          <w:bCs w:val="0"/>
          <w:spacing w:val="-4"/>
          <w:sz w:val="32"/>
          <w:szCs w:val="32"/>
        </w:rPr>
        <w:t>根据财政部办公厅、国家知识产权局办公室《关于做好2020年知识产权运营服务体系建设工作的通知》（财办建〔2020〕40号）（以下简称《通知》）要求，2020年4月，乌鲁木齐市人民政府提出创建申请。经自治区市场监督管理局和财政厅推荐，2020年6月，乌鲁木齐市被确定为第四批国家级知识产权运营服务体系建设重点城市之一，财政部和国家知识产权局给每个重点城市拨付中央专项资金1.5亿元，用于支持知识产权运营服务体系建设工作。</w:t>
      </w:r>
      <w:r>
        <w:rPr>
          <w:rFonts w:eastAsia="楷体"/>
          <w:b w:val="0"/>
          <w:bCs w:val="0"/>
          <w:spacing w:val="-4"/>
          <w:sz w:val="32"/>
          <w:szCs w:val="32"/>
        </w:rPr>
        <w:br w:type="textWrapping"/>
      </w:r>
      <w:r>
        <w:rPr>
          <w:rStyle w:val="19"/>
          <w:rFonts w:eastAsia="楷体"/>
          <w:b w:val="0"/>
          <w:bCs w:val="0"/>
          <w:spacing w:val="-4"/>
          <w:sz w:val="32"/>
          <w:szCs w:val="32"/>
        </w:rPr>
        <w:t>根据《财政部关于下达2020年服务业发展资金（第一批）预算的通知》（财建〔2020〕183号）、财政部《关于提前下达2021年度服务业发展资金预算的通知》（财建〔2020〕455号）文件，中央财政资金到位15000万元。</w:t>
      </w:r>
      <w:r>
        <w:rPr>
          <w:rFonts w:eastAsia="楷体"/>
          <w:b w:val="0"/>
          <w:bCs w:val="0"/>
          <w:spacing w:val="-4"/>
          <w:sz w:val="32"/>
          <w:szCs w:val="32"/>
        </w:rPr>
        <w:br w:type="textWrapping"/>
      </w:r>
      <w:r>
        <w:rPr>
          <w:rStyle w:val="19"/>
          <w:rFonts w:eastAsia="楷体"/>
          <w:b w:val="0"/>
          <w:bCs w:val="0"/>
          <w:spacing w:val="-4"/>
          <w:sz w:val="32"/>
          <w:szCs w:val="32"/>
        </w:rPr>
        <w:t>围绕“1平台、2区、3中心”高水平建设知识产权运营服务体系。建设1家区域性知识产权运营服务平台，实现专利、商标等知识产权数据及交易功能互联互通；形成知识产权服务业集聚区和地理标志产品运营推广集聚区，引进、培育一批专业化、市场化、复合型的知识产权服务机构，形成知识产权服务业集聚效应；打造3个知识产权产业运营中心，围绕5至6个重点产业，开展产业专利导航工作，完善产业链、服务链，带动形成集聚发展的产业格局，促进乌鲁木齐市知识产权运营业态蓬勃发展，大幅提升知识产权质量，不断优化知识产权发展环境，明显增强知识产权经济社会效益。</w:t>
      </w:r>
      <w:r>
        <w:rPr>
          <w:rFonts w:eastAsia="楷体"/>
          <w:b w:val="0"/>
          <w:bCs w:val="0"/>
          <w:spacing w:val="-4"/>
          <w:sz w:val="32"/>
          <w:szCs w:val="32"/>
        </w:rPr>
        <w:br w:type="textWrapping"/>
      </w:r>
      <w:r>
        <w:rPr>
          <w:rStyle w:val="19"/>
          <w:rFonts w:eastAsia="楷体"/>
          <w:b w:val="0"/>
          <w:bCs w:val="0"/>
          <w:spacing w:val="-4"/>
          <w:sz w:val="32"/>
          <w:szCs w:val="32"/>
        </w:rPr>
        <w:t>（2）项目2024年的主要实施内容</w:t>
      </w:r>
      <w:r>
        <w:rPr>
          <w:rFonts w:eastAsia="楷体"/>
          <w:b w:val="0"/>
          <w:bCs w:val="0"/>
          <w:spacing w:val="-4"/>
          <w:sz w:val="32"/>
          <w:szCs w:val="32"/>
        </w:rPr>
        <w:br w:type="textWrapping"/>
      </w:r>
      <w:r>
        <w:rPr>
          <w:rStyle w:val="19"/>
          <w:rFonts w:eastAsia="楷体"/>
          <w:b w:val="0"/>
          <w:bCs w:val="0"/>
          <w:spacing w:val="-4"/>
          <w:sz w:val="32"/>
          <w:szCs w:val="32"/>
        </w:rPr>
        <w:t>2024年主要开展了高价值专利培育中心建设8个，开展高价值专利转移转化协同中心建设3个，乌鲁木齐知识产权服务平台项目1个等项目。</w:t>
      </w:r>
      <w:r>
        <w:rPr>
          <w:rFonts w:eastAsia="楷体"/>
          <w:b w:val="0"/>
          <w:bCs w:val="0"/>
          <w:spacing w:val="-4"/>
          <w:sz w:val="32"/>
          <w:szCs w:val="32"/>
        </w:rPr>
        <w:br w:type="textWrapping"/>
      </w:r>
      <w:r>
        <w:rPr>
          <w:rStyle w:val="19"/>
          <w:rFonts w:eastAsia="楷体"/>
          <w:b w:val="0"/>
          <w:bCs w:val="0"/>
          <w:spacing w:val="-4"/>
          <w:sz w:val="32"/>
          <w:szCs w:val="32"/>
        </w:rPr>
        <w:t>（3）2024年当年完成情况</w:t>
      </w:r>
      <w:r>
        <w:rPr>
          <w:rFonts w:eastAsia="楷体"/>
          <w:b w:val="0"/>
          <w:bCs w:val="0"/>
          <w:spacing w:val="-4"/>
          <w:sz w:val="32"/>
          <w:szCs w:val="32"/>
        </w:rPr>
        <w:br w:type="textWrapping"/>
      </w:r>
      <w:r>
        <w:rPr>
          <w:rStyle w:val="19"/>
          <w:rFonts w:eastAsia="楷体"/>
          <w:b w:val="0"/>
          <w:bCs w:val="0"/>
          <w:spacing w:val="-4"/>
          <w:sz w:val="32"/>
          <w:szCs w:val="32"/>
        </w:rPr>
        <w:t>按照与项目实施单位签署的合同任务书，实施8个高价值专利培育中心和3个高价值专利转移转化协同中心建设，且已经完成中期验收，继续建设乌鲁木齐知识产权运营服务平台。</w:t>
      </w:r>
      <w:r>
        <w:rPr>
          <w:rFonts w:eastAsia="楷体"/>
          <w:b w:val="0"/>
          <w:bCs w:val="0"/>
          <w:spacing w:val="-4"/>
          <w:sz w:val="32"/>
          <w:szCs w:val="32"/>
        </w:rPr>
        <w:br w:type="textWrapping"/>
      </w:r>
      <w:r>
        <w:rPr>
          <w:rStyle w:val="19"/>
          <w:rFonts w:eastAsia="楷体"/>
          <w:b w:val="0"/>
          <w:bCs w:val="0"/>
          <w:spacing w:val="-4"/>
          <w:sz w:val="32"/>
          <w:szCs w:val="32"/>
        </w:rPr>
        <w:t>2.资金投入和使用情况</w:t>
      </w:r>
      <w:r>
        <w:rPr>
          <w:rFonts w:eastAsia="楷体"/>
          <w:b w:val="0"/>
          <w:bCs w:val="0"/>
          <w:spacing w:val="-4"/>
          <w:sz w:val="32"/>
          <w:szCs w:val="32"/>
        </w:rPr>
        <w:br w:type="textWrapping"/>
      </w:r>
      <w:r>
        <w:rPr>
          <w:rStyle w:val="19"/>
          <w:rFonts w:eastAsia="楷体"/>
          <w:b w:val="0"/>
          <w:bCs w:val="0"/>
          <w:spacing w:val="-4"/>
          <w:sz w:val="32"/>
          <w:szCs w:val="32"/>
        </w:rPr>
        <w:t>该项目资金投入情况：经《财政部关于下达2020年服务业发展资金（第一批）预算的通知》（财建〔2020〕183号）、财政部《关于提前下达2021年度服务业发展资金预算的通知》（财建〔2020〕455号）、《乌鲁木齐市知识产权运营服务体系建设专项资金管理办法》（乌市监〔2021〕21号）、《关于拨付市市场监督管理局知识产权运营服务体系建设经费的通知》（乌财行〔2024〕17号）文件批准，项目使用中央财政资金，2024年共安排预算2448.61万元。</w:t>
      </w:r>
      <w:bookmarkStart w:id="0" w:name="_GoBack"/>
      <w:bookmarkEnd w:id="0"/>
      <w:r>
        <w:rPr>
          <w:rFonts w:eastAsia="楷体"/>
          <w:b w:val="0"/>
          <w:bCs w:val="0"/>
          <w:spacing w:val="-4"/>
          <w:sz w:val="32"/>
          <w:szCs w:val="32"/>
        </w:rPr>
        <w:br w:type="textWrapping"/>
      </w:r>
      <w:r>
        <w:rPr>
          <w:rStyle w:val="19"/>
          <w:rFonts w:eastAsia="楷体"/>
          <w:b w:val="0"/>
          <w:bCs w:val="0"/>
          <w:spacing w:val="-4"/>
          <w:sz w:val="32"/>
          <w:szCs w:val="32"/>
        </w:rPr>
        <w:t>该项目资金使用情况：2024年总预算2448.61万元，执行数2426.81万元，资金投入包括高价值专利培育中心8个、高价值专利转移转化协同中心3个，知识产权运营服务平台1个、以上项目的预算投入按计划执行预算执行率99.1%。</w:t>
      </w:r>
    </w:p>
    <w:p w14:paraId="3C805A40">
      <w:pPr>
        <w:spacing w:line="540" w:lineRule="exact"/>
        <w:ind w:firstLine="627" w:firstLineChars="200"/>
        <w:rPr>
          <w:rStyle w:val="19"/>
          <w:rFonts w:ascii="楷体" w:hAnsi="楷体" w:eastAsia="楷体"/>
          <w:spacing w:val="-4"/>
          <w:sz w:val="32"/>
          <w:szCs w:val="32"/>
        </w:rPr>
      </w:pPr>
      <w:r>
        <w:rPr>
          <w:rStyle w:val="19"/>
          <w:rFonts w:hint="eastAsia" w:ascii="楷体" w:hAnsi="楷体" w:eastAsia="楷体"/>
          <w:spacing w:val="-4"/>
          <w:sz w:val="32"/>
          <w:szCs w:val="32"/>
        </w:rPr>
        <w:t>（二）项目绩效目标</w:t>
      </w:r>
    </w:p>
    <w:p w14:paraId="330B96BF">
      <w:pPr>
        <w:spacing w:line="540" w:lineRule="exact"/>
        <w:ind w:firstLine="624" w:firstLineChars="200"/>
        <w:rPr>
          <w:rStyle w:val="19"/>
          <w:rFonts w:eastAsia="楷体"/>
          <w:b w:val="0"/>
          <w:bCs w:val="0"/>
          <w:spacing w:val="-4"/>
          <w:sz w:val="32"/>
          <w:szCs w:val="32"/>
        </w:rPr>
      </w:pPr>
      <w:r>
        <w:rPr>
          <w:rStyle w:val="19"/>
          <w:rFonts w:hint="eastAsia" w:eastAsia="楷体"/>
          <w:b w:val="0"/>
          <w:bCs w:val="0"/>
          <w:spacing w:val="-4"/>
          <w:sz w:val="32"/>
          <w:szCs w:val="32"/>
        </w:rPr>
        <w:t>（二）项目绩效目标：</w:t>
      </w:r>
      <w:r>
        <w:rPr>
          <w:rFonts w:hint="eastAsia" w:eastAsia="楷体"/>
          <w:b w:val="0"/>
          <w:bCs w:val="0"/>
          <w:spacing w:val="-4"/>
          <w:sz w:val="32"/>
          <w:szCs w:val="32"/>
        </w:rPr>
        <w:br w:type="textWrapping"/>
      </w:r>
      <w:r>
        <w:rPr>
          <w:rStyle w:val="19"/>
          <w:rFonts w:hint="eastAsia" w:eastAsia="楷体"/>
          <w:b w:val="0"/>
          <w:bCs w:val="0"/>
          <w:spacing w:val="-4"/>
          <w:sz w:val="32"/>
          <w:szCs w:val="32"/>
        </w:rPr>
        <w:t>本项目依据《中共中央 国务院关于全面实施预算绩效管理的意见》（中发〔2018〕34号）、《关于印发&lt;乌鲁木齐市本级部门预算绩效目标管理暂行办法&gt;的通知》（乌财预〔2018〕56号）、《关于做好2019年部门预算项目支出绩效目标管理有关事宜的通知》（乌财预〔2018〕76号）和《项目支出绩效评价管理办法》（财预〔2020〕10号）等文件要求，结合项目开展情况，按照“谁申请资金，谁编制目标”的原则和规定的方法、程序，科学合理编制。绩效目标作为对预期指标的细化和量化描述，主要包括产出指标、效益指标和满意度指标。按照指向明确、细化量化、合理可行和相应匹配的要求，设定三级绩效目标（数量指标、质量指标、时效指标、成本指标、效益指标、满意度指标），以准确、清晰地反映财政资金在使用期所能达到的预期产出和效果。</w:t>
      </w:r>
      <w:r>
        <w:rPr>
          <w:rFonts w:hint="eastAsia" w:eastAsia="楷体"/>
          <w:b w:val="0"/>
          <w:bCs w:val="0"/>
          <w:spacing w:val="-4"/>
          <w:sz w:val="32"/>
          <w:szCs w:val="32"/>
        </w:rPr>
        <w:br w:type="textWrapping"/>
      </w:r>
      <w:r>
        <w:rPr>
          <w:rStyle w:val="19"/>
          <w:rFonts w:hint="eastAsia" w:eastAsia="楷体"/>
          <w:b w:val="0"/>
          <w:bCs w:val="0"/>
          <w:spacing w:val="-4"/>
          <w:sz w:val="32"/>
          <w:szCs w:val="32"/>
        </w:rPr>
        <w:t>该项目为当年一次性项目。</w:t>
      </w:r>
      <w:r>
        <w:rPr>
          <w:rFonts w:hint="eastAsia" w:eastAsia="楷体"/>
          <w:b w:val="0"/>
          <w:bCs w:val="0"/>
          <w:spacing w:val="-4"/>
          <w:sz w:val="32"/>
          <w:szCs w:val="32"/>
        </w:rPr>
        <w:br w:type="textWrapping"/>
      </w:r>
      <w:r>
        <w:rPr>
          <w:rStyle w:val="19"/>
          <w:rFonts w:hint="eastAsia" w:eastAsia="楷体"/>
          <w:b w:val="0"/>
          <w:bCs w:val="0"/>
          <w:spacing w:val="-4"/>
          <w:sz w:val="32"/>
          <w:szCs w:val="32"/>
        </w:rPr>
        <w:t>2024年总体绩效目标：2024年主要开展了高价值专利培育中心建设8个，开展高价值专利转移转化协同中心建设3个，乌鲁木齐知识产权服务平台项目1个等项目。</w:t>
      </w:r>
      <w:r>
        <w:rPr>
          <w:rFonts w:hint="eastAsia" w:eastAsia="楷体"/>
          <w:b w:val="0"/>
          <w:bCs w:val="0"/>
          <w:spacing w:val="-4"/>
          <w:sz w:val="32"/>
          <w:szCs w:val="32"/>
        </w:rPr>
        <w:br w:type="textWrapping"/>
      </w:r>
      <w:r>
        <w:rPr>
          <w:rStyle w:val="19"/>
          <w:rFonts w:hint="eastAsia" w:eastAsia="楷体"/>
          <w:b w:val="0"/>
          <w:bCs w:val="0"/>
          <w:spacing w:val="-4"/>
          <w:sz w:val="32"/>
          <w:szCs w:val="32"/>
        </w:rPr>
        <w:t>该项目阶段性目标为：2024年主要开展高价值专利培育中心中期检查,结项验收，开展高价值专利转移转化协同中心中期检查、结项验收，乌鲁木齐知识产权服务平台项目验收等。</w:t>
      </w:r>
    </w:p>
    <w:p w14:paraId="389DEE6C">
      <w:pPr>
        <w:spacing w:line="540" w:lineRule="exact"/>
        <w:ind w:firstLine="624" w:firstLineChars="200"/>
        <w:rPr>
          <w:rStyle w:val="19"/>
          <w:rFonts w:ascii="黑体" w:hAnsi="黑体" w:eastAsia="黑体"/>
          <w:b w:val="0"/>
          <w:spacing w:val="-4"/>
          <w:sz w:val="32"/>
          <w:szCs w:val="32"/>
        </w:rPr>
      </w:pPr>
      <w:r>
        <w:rPr>
          <w:rStyle w:val="19"/>
          <w:rFonts w:hint="eastAsia" w:ascii="黑体" w:hAnsi="黑体" w:eastAsia="黑体"/>
          <w:b w:val="0"/>
          <w:spacing w:val="-4"/>
          <w:sz w:val="32"/>
          <w:szCs w:val="32"/>
        </w:rPr>
        <w:t>二、绩效评价工作开展情况</w:t>
      </w:r>
    </w:p>
    <w:p w14:paraId="2D0F8F72">
      <w:pPr>
        <w:spacing w:line="540" w:lineRule="exact"/>
        <w:ind w:firstLine="627" w:firstLineChars="200"/>
        <w:rPr>
          <w:rStyle w:val="19"/>
          <w:rFonts w:ascii="楷体" w:hAnsi="楷体" w:eastAsia="楷体"/>
          <w:spacing w:val="-4"/>
          <w:sz w:val="32"/>
          <w:szCs w:val="32"/>
        </w:rPr>
      </w:pPr>
      <w:r>
        <w:rPr>
          <w:rStyle w:val="19"/>
          <w:rFonts w:hint="eastAsia" w:ascii="楷体" w:hAnsi="楷体" w:eastAsia="楷体"/>
          <w:spacing w:val="-4"/>
          <w:sz w:val="32"/>
          <w:szCs w:val="32"/>
        </w:rPr>
        <w:t>（一）绩效评价目的、对象和范围</w:t>
      </w:r>
    </w:p>
    <w:p w14:paraId="01CF466C">
      <w:pPr>
        <w:spacing w:line="540" w:lineRule="exact"/>
        <w:ind w:firstLine="624" w:firstLineChars="200"/>
        <w:rPr>
          <w:rStyle w:val="19"/>
          <w:rFonts w:eastAsia="楷体"/>
          <w:b w:val="0"/>
          <w:bCs w:val="0"/>
          <w:spacing w:val="-4"/>
          <w:sz w:val="32"/>
          <w:szCs w:val="32"/>
        </w:rPr>
      </w:pPr>
      <w:r>
        <w:rPr>
          <w:rStyle w:val="19"/>
          <w:rFonts w:hint="eastAsia" w:eastAsia="楷体"/>
          <w:b w:val="0"/>
          <w:bCs w:val="0"/>
          <w:spacing w:val="-4"/>
          <w:sz w:val="32"/>
          <w:szCs w:val="32"/>
        </w:rPr>
        <w:t>（一）绩效评价目的、对象和范围</w:t>
      </w:r>
      <w:r>
        <w:rPr>
          <w:rFonts w:hint="eastAsia" w:eastAsia="楷体"/>
          <w:b w:val="0"/>
          <w:bCs w:val="0"/>
          <w:spacing w:val="-4"/>
          <w:sz w:val="32"/>
          <w:szCs w:val="32"/>
        </w:rPr>
        <w:br w:type="textWrapping"/>
      </w:r>
      <w:r>
        <w:rPr>
          <w:rStyle w:val="19"/>
          <w:rFonts w:hint="eastAsia" w:eastAsia="楷体"/>
          <w:b w:val="0"/>
          <w:bCs w:val="0"/>
          <w:spacing w:val="-4"/>
          <w:sz w:val="32"/>
          <w:szCs w:val="32"/>
        </w:rPr>
        <w:t>1.绩效评价完整性</w:t>
      </w:r>
      <w:r>
        <w:rPr>
          <w:rFonts w:hint="eastAsia" w:eastAsia="楷体"/>
          <w:b w:val="0"/>
          <w:bCs w:val="0"/>
          <w:spacing w:val="-4"/>
          <w:sz w:val="32"/>
          <w:szCs w:val="32"/>
        </w:rPr>
        <w:br w:type="textWrapping"/>
      </w:r>
      <w:r>
        <w:rPr>
          <w:rStyle w:val="19"/>
          <w:rFonts w:hint="eastAsia" w:eastAsia="楷体"/>
          <w:b w:val="0"/>
          <w:bCs w:val="0"/>
          <w:spacing w:val="-4"/>
          <w:sz w:val="32"/>
          <w:szCs w:val="32"/>
        </w:rPr>
        <w:t>本项目总体绩效目标、范围和要求：乌鲁木齐市已基本建立起自治区、市、区(县)三级联动管理服务机制，初步形成政策完善、要素完备、体系健全、运行顺畅的知识产权运营服务体系。乌鲁木齐重点产业知识产权的创造质量、运用效益、保护能力和服务水平明显提升，技术、资金、人才等创新要素以知识产权为纽带实现合理流动。通过机构引进、项目资助等方式，知识产权服务业水平整体提升，服务质量明显提高。知识产权与经济发展深度融合,知识产权在全疆引领示范作用得到充分发挥，对丝绸之路经济带核心区建设和乌鲁木齐市经济高质量发展起到有效支撑。能够通过绩效评价指标体系完整地体现。</w:t>
      </w:r>
      <w:r>
        <w:rPr>
          <w:rFonts w:hint="eastAsia" w:eastAsia="楷体"/>
          <w:b w:val="0"/>
          <w:bCs w:val="0"/>
          <w:spacing w:val="-4"/>
          <w:sz w:val="32"/>
          <w:szCs w:val="32"/>
        </w:rPr>
        <w:br w:type="textWrapping"/>
      </w:r>
      <w:r>
        <w:rPr>
          <w:rStyle w:val="19"/>
          <w:rFonts w:hint="eastAsia" w:eastAsia="楷体"/>
          <w:b w:val="0"/>
          <w:bCs w:val="0"/>
          <w:spacing w:val="-4"/>
          <w:sz w:val="32"/>
          <w:szCs w:val="32"/>
        </w:rPr>
        <w:t>从知识产权运营服务体系建设重点城市绩效考核指标完成情况来看，《实施方案》中设定12项具体指标，并设定了阶段性的目标值，通过指标值的实现程度来监督检查绩效完成情况。各项指标相关项目均正常实施，工作任务按计划基本完成，绩效指标基本实现。最后，所有项目的项目指南、各单位申报材料、项目承担单位合同任务书、资助类项目验收材料、过程材料、专家评审材料、收款材料等齐全，可对评价数据的来源、采集能进行描述，为数据的准确性和完整性提供佐证。</w:t>
      </w:r>
      <w:r>
        <w:rPr>
          <w:rFonts w:hint="eastAsia" w:eastAsia="楷体"/>
          <w:b w:val="0"/>
          <w:bCs w:val="0"/>
          <w:spacing w:val="-4"/>
          <w:sz w:val="32"/>
          <w:szCs w:val="32"/>
        </w:rPr>
        <w:br w:type="textWrapping"/>
      </w:r>
      <w:r>
        <w:rPr>
          <w:rStyle w:val="19"/>
          <w:rFonts w:hint="eastAsia" w:eastAsia="楷体"/>
          <w:b w:val="0"/>
          <w:bCs w:val="0"/>
          <w:spacing w:val="-4"/>
          <w:sz w:val="32"/>
          <w:szCs w:val="32"/>
        </w:rPr>
        <w:t>2.评价目的</w:t>
      </w:r>
      <w:r>
        <w:rPr>
          <w:rFonts w:hint="eastAsia" w:eastAsia="楷体"/>
          <w:b w:val="0"/>
          <w:bCs w:val="0"/>
          <w:spacing w:val="-4"/>
          <w:sz w:val="32"/>
          <w:szCs w:val="32"/>
        </w:rPr>
        <w:br w:type="textWrapping"/>
      </w:r>
      <w:r>
        <w:rPr>
          <w:rStyle w:val="19"/>
          <w:rFonts w:hint="eastAsia" w:eastAsia="楷体"/>
          <w:b w:val="0"/>
          <w:bCs w:val="0"/>
          <w:spacing w:val="-4"/>
          <w:sz w:val="32"/>
          <w:szCs w:val="32"/>
        </w:rPr>
        <w:t>本项工作旨在落实《中共中央 国务院关于全面实施预算绩效管理的意见》（中发〔2018〕34号）文件精神，全面推进预算绩效管理工作，落实预算执行及绩效管理主体责任。具体而言包括以下两点：（1）通过对项目设立的背景、意义、项目内容、项目现状及绩效目标、资金投入、资金管理、组织实施、数量指标、质量指标、时效指标、成本指标和效益指标等进行深入调研和分析，进一步了解财政委托审计费项目实施情况，并考察项目实施过程和效果。（2）通过评价，客观公正反映项目立项科学性、项目管理规范性、项目实施有效性和项目效果，总结项目实施的经验，发现项目实施过程中存在的问题，提出合理化建议，为完善项目管理和相关部门决策提供参考依据，并提高财政资金使用效益。</w:t>
      </w:r>
      <w:r>
        <w:rPr>
          <w:rFonts w:hint="eastAsia" w:eastAsia="楷体"/>
          <w:b w:val="0"/>
          <w:bCs w:val="0"/>
          <w:spacing w:val="-4"/>
          <w:sz w:val="32"/>
          <w:szCs w:val="32"/>
        </w:rPr>
        <w:br w:type="textWrapping"/>
      </w:r>
      <w:r>
        <w:rPr>
          <w:rStyle w:val="19"/>
          <w:rFonts w:hint="eastAsia" w:eastAsia="楷体"/>
          <w:b w:val="0"/>
          <w:bCs w:val="0"/>
          <w:spacing w:val="-4"/>
          <w:sz w:val="32"/>
          <w:szCs w:val="32"/>
        </w:rPr>
        <w:t>3.评价对象</w:t>
      </w:r>
      <w:r>
        <w:rPr>
          <w:rFonts w:hint="eastAsia" w:eastAsia="楷体"/>
          <w:b w:val="0"/>
          <w:bCs w:val="0"/>
          <w:spacing w:val="-4"/>
          <w:sz w:val="32"/>
          <w:szCs w:val="32"/>
        </w:rPr>
        <w:br w:type="textWrapping"/>
      </w:r>
      <w:r>
        <w:rPr>
          <w:rStyle w:val="19"/>
          <w:rFonts w:hint="eastAsia" w:eastAsia="楷体"/>
          <w:b w:val="0"/>
          <w:bCs w:val="0"/>
          <w:spacing w:val="-4"/>
          <w:sz w:val="32"/>
          <w:szCs w:val="32"/>
        </w:rPr>
        <w:t>（1）绩效评价的对象：知识产权运营服务体系建设项目</w:t>
      </w:r>
      <w:r>
        <w:rPr>
          <w:rFonts w:hint="eastAsia" w:eastAsia="楷体"/>
          <w:b w:val="0"/>
          <w:bCs w:val="0"/>
          <w:spacing w:val="-4"/>
          <w:sz w:val="32"/>
          <w:szCs w:val="32"/>
        </w:rPr>
        <w:br w:type="textWrapping"/>
      </w:r>
      <w:r>
        <w:rPr>
          <w:rStyle w:val="19"/>
          <w:rFonts w:hint="eastAsia" w:eastAsia="楷体"/>
          <w:b w:val="0"/>
          <w:bCs w:val="0"/>
          <w:spacing w:val="-4"/>
          <w:sz w:val="32"/>
          <w:szCs w:val="32"/>
        </w:rPr>
        <w:t>4.绩效评价范围</w:t>
      </w:r>
      <w:r>
        <w:rPr>
          <w:rFonts w:hint="eastAsia" w:eastAsia="楷体"/>
          <w:b w:val="0"/>
          <w:bCs w:val="0"/>
          <w:spacing w:val="-4"/>
          <w:sz w:val="32"/>
          <w:szCs w:val="32"/>
        </w:rPr>
        <w:br w:type="textWrapping"/>
      </w:r>
      <w:r>
        <w:rPr>
          <w:rStyle w:val="19"/>
          <w:rFonts w:hint="eastAsia" w:eastAsia="楷体"/>
          <w:b w:val="0"/>
          <w:bCs w:val="0"/>
          <w:spacing w:val="-4"/>
          <w:sz w:val="32"/>
          <w:szCs w:val="32"/>
        </w:rPr>
        <w:t>1.时间范围：2024年1月1日至2024年12月31日。</w:t>
      </w:r>
      <w:r>
        <w:rPr>
          <w:rFonts w:hint="eastAsia" w:eastAsia="楷体"/>
          <w:b w:val="0"/>
          <w:bCs w:val="0"/>
          <w:spacing w:val="-4"/>
          <w:sz w:val="32"/>
          <w:szCs w:val="32"/>
        </w:rPr>
        <w:br w:type="textWrapping"/>
      </w:r>
      <w:r>
        <w:rPr>
          <w:rStyle w:val="19"/>
          <w:rFonts w:hint="eastAsia" w:eastAsia="楷体"/>
          <w:b w:val="0"/>
          <w:bCs w:val="0"/>
          <w:spacing w:val="-4"/>
          <w:sz w:val="32"/>
          <w:szCs w:val="32"/>
        </w:rPr>
        <w:t>2.项目范围：</w:t>
      </w:r>
      <w:r>
        <w:rPr>
          <w:rFonts w:hint="eastAsia" w:eastAsia="楷体"/>
          <w:b w:val="0"/>
          <w:bCs w:val="0"/>
          <w:spacing w:val="-4"/>
          <w:sz w:val="32"/>
          <w:szCs w:val="32"/>
        </w:rPr>
        <w:br w:type="textWrapping"/>
      </w:r>
      <w:r>
        <w:rPr>
          <w:rStyle w:val="19"/>
          <w:rFonts w:hint="eastAsia" w:eastAsia="楷体"/>
          <w:b w:val="0"/>
          <w:bCs w:val="0"/>
          <w:spacing w:val="-4"/>
          <w:sz w:val="32"/>
          <w:szCs w:val="32"/>
        </w:rPr>
        <w:t>项目基本情况。2020年6月，乌鲁木齐市被确定为第四批国家级知识产权运营服务体系建设重点城市之一，财政部和国家知识产权局给每个重点城市拨付中央专项资金1.5亿元，用于支持知识产权运营服务体系建设工作。</w:t>
      </w:r>
      <w:r>
        <w:rPr>
          <w:rFonts w:hint="eastAsia" w:eastAsia="楷体"/>
          <w:b w:val="0"/>
          <w:bCs w:val="0"/>
          <w:spacing w:val="-4"/>
          <w:sz w:val="32"/>
          <w:szCs w:val="32"/>
        </w:rPr>
        <w:br w:type="textWrapping"/>
      </w:r>
      <w:r>
        <w:rPr>
          <w:rStyle w:val="19"/>
          <w:rFonts w:hint="eastAsia" w:eastAsia="楷体"/>
          <w:b w:val="0"/>
          <w:bCs w:val="0"/>
          <w:spacing w:val="-4"/>
          <w:sz w:val="32"/>
          <w:szCs w:val="32"/>
        </w:rPr>
        <w:t>评价工作开展情况。依据《实施方案》和《专项资金管理办法》，2024年相关项目均已顺利开展，绩效目标按计划完成。</w:t>
      </w:r>
      <w:r>
        <w:rPr>
          <w:rFonts w:hint="eastAsia" w:eastAsia="楷体"/>
          <w:b w:val="0"/>
          <w:bCs w:val="0"/>
          <w:spacing w:val="-4"/>
          <w:sz w:val="32"/>
          <w:szCs w:val="32"/>
        </w:rPr>
        <w:br w:type="textWrapping"/>
      </w:r>
      <w:r>
        <w:rPr>
          <w:rStyle w:val="19"/>
          <w:rFonts w:hint="eastAsia" w:eastAsia="楷体"/>
          <w:b w:val="0"/>
          <w:bCs w:val="0"/>
          <w:spacing w:val="-4"/>
          <w:sz w:val="32"/>
          <w:szCs w:val="32"/>
        </w:rPr>
        <w:t>项目实现产出情况。2024年主要开展了高价值专利培育中心建设8个，开展高价值专利转移转化协同中心建设3个，乌鲁木齐知识产权服务平台项目1个等项目。</w:t>
      </w:r>
      <w:r>
        <w:rPr>
          <w:rFonts w:hint="eastAsia" w:eastAsia="楷体"/>
          <w:b w:val="0"/>
          <w:bCs w:val="0"/>
          <w:spacing w:val="-4"/>
          <w:sz w:val="32"/>
          <w:szCs w:val="32"/>
        </w:rPr>
        <w:br w:type="textWrapping"/>
      </w:r>
      <w:r>
        <w:rPr>
          <w:rStyle w:val="19"/>
          <w:rFonts w:hint="eastAsia" w:eastAsia="楷体"/>
          <w:b w:val="0"/>
          <w:bCs w:val="0"/>
          <w:spacing w:val="-4"/>
          <w:sz w:val="32"/>
          <w:szCs w:val="32"/>
        </w:rPr>
        <w:t>取得效益情况。2024年我市知识产权发展水平逐步提高，年有效发明增长率达到10.7%，各项知识产权管理制度和政策体系更为健全，知识产权运营服务体系更加高效，知识产权市场价值有效体现，知识产权引领创新和促进乌鲁木齐市高质量发展的效果更加明显。</w:t>
      </w:r>
      <w:r>
        <w:rPr>
          <w:rFonts w:hint="eastAsia" w:eastAsia="楷体"/>
          <w:b w:val="0"/>
          <w:bCs w:val="0"/>
          <w:spacing w:val="-4"/>
          <w:sz w:val="32"/>
          <w:szCs w:val="32"/>
        </w:rPr>
        <w:br w:type="textWrapping"/>
      </w:r>
      <w:r>
        <w:rPr>
          <w:rStyle w:val="19"/>
          <w:rFonts w:hint="eastAsia" w:eastAsia="楷体"/>
          <w:b w:val="0"/>
          <w:bCs w:val="0"/>
          <w:spacing w:val="-4"/>
          <w:sz w:val="32"/>
          <w:szCs w:val="32"/>
        </w:rPr>
        <w:t>主要经验及做法。一是政策创新，建设期内，有针对性的出台相关政策及重要文件共计30项，涵盖政策指导、资金使用、项目管理、部门间合作等多个领域。二是成立了由市政府领导任组长的领导小组，统筹知识产权运营服务体系建设工作。三是明确总体目标，主要是围绕“1平台、2区、3中心”高水平建设知识产权运营服务体系。四是通过公开招标的形式，引进第三方质量评价和财务审计等单位，做到合法、合规、高效完成项目，资金、资源和项目合理配套，达到优势引导效果。</w:t>
      </w:r>
      <w:r>
        <w:rPr>
          <w:rFonts w:hint="eastAsia" w:eastAsia="楷体"/>
          <w:b w:val="0"/>
          <w:bCs w:val="0"/>
          <w:spacing w:val="-4"/>
          <w:sz w:val="32"/>
          <w:szCs w:val="32"/>
        </w:rPr>
        <w:br w:type="textWrapping"/>
      </w:r>
      <w:r>
        <w:rPr>
          <w:rStyle w:val="19"/>
          <w:rFonts w:hint="eastAsia" w:eastAsia="楷体"/>
          <w:b w:val="0"/>
          <w:bCs w:val="0"/>
          <w:spacing w:val="-4"/>
          <w:sz w:val="32"/>
          <w:szCs w:val="32"/>
        </w:rPr>
        <w:t>存在问题及原因分析。一是经验不足，基础相对薄弱，存在对项目内容认知不深等问题。二是统筹协调不够，工作任务繁重，各部门协调需进一步加强。三是公共服务需要进一步提升，乌鲁木齐市没有相应的知识产权公共服务机构，知识产权公共服务能力有待提高。</w:t>
      </w:r>
      <w:r>
        <w:rPr>
          <w:rFonts w:hint="eastAsia" w:eastAsia="楷体"/>
          <w:b w:val="0"/>
          <w:bCs w:val="0"/>
          <w:spacing w:val="-4"/>
          <w:sz w:val="32"/>
          <w:szCs w:val="32"/>
        </w:rPr>
        <w:br w:type="textWrapping"/>
      </w:r>
      <w:r>
        <w:rPr>
          <w:rStyle w:val="19"/>
          <w:rFonts w:hint="eastAsia" w:eastAsia="楷体"/>
          <w:b w:val="0"/>
          <w:bCs w:val="0"/>
          <w:spacing w:val="-4"/>
          <w:sz w:val="32"/>
          <w:szCs w:val="32"/>
        </w:rPr>
        <w:t>综合性评价结论。结合项目特点，制定符合项目实际的绩效评价指标体系及评分标准，通过数据采集、问卷调查及访谈等形式，对2024年知识产权运营服务体系建设进行客观评价，最终评分结果为：总分为99.96分，绩效评级为“优”[本次绩效评价结果实施百分制和四级分类，其中90（含）-100分为优、80（含）-90分为良、70（含）-80分为中、70分以下为差。]。</w:t>
      </w:r>
    </w:p>
    <w:p w14:paraId="62791AFC">
      <w:pPr>
        <w:spacing w:line="540" w:lineRule="exact"/>
        <w:ind w:firstLine="627" w:firstLineChars="200"/>
        <w:rPr>
          <w:rStyle w:val="19"/>
          <w:rFonts w:ascii="楷体" w:hAnsi="楷体" w:eastAsia="楷体"/>
          <w:spacing w:val="-4"/>
          <w:sz w:val="32"/>
          <w:szCs w:val="32"/>
        </w:rPr>
      </w:pPr>
      <w:r>
        <w:rPr>
          <w:rStyle w:val="19"/>
          <w:rFonts w:hint="eastAsia" w:ascii="楷体" w:hAnsi="楷体" w:eastAsia="楷体"/>
          <w:spacing w:val="-4"/>
          <w:sz w:val="32"/>
          <w:szCs w:val="32"/>
        </w:rPr>
        <w:t>（二）绩效评价原则、评价指标体系、评价方法、评价标准</w:t>
      </w:r>
    </w:p>
    <w:p w14:paraId="4E0CF391">
      <w:pPr>
        <w:spacing w:line="540" w:lineRule="exact"/>
        <w:ind w:firstLine="624" w:firstLineChars="200"/>
        <w:rPr>
          <w:rStyle w:val="19"/>
          <w:rFonts w:eastAsia="楷体"/>
          <w:b w:val="0"/>
          <w:bCs w:val="0"/>
          <w:spacing w:val="-4"/>
          <w:sz w:val="32"/>
          <w:szCs w:val="32"/>
        </w:rPr>
      </w:pPr>
      <w:r>
        <w:rPr>
          <w:rStyle w:val="19"/>
          <w:rFonts w:hint="eastAsia" w:eastAsia="楷体"/>
          <w:b w:val="0"/>
          <w:bCs w:val="0"/>
          <w:spacing w:val="-4"/>
          <w:sz w:val="32"/>
          <w:szCs w:val="32"/>
        </w:rPr>
        <w:t>（二）绩效评价原则、指标体系、方法及标准</w:t>
      </w:r>
      <w:r>
        <w:rPr>
          <w:rFonts w:hint="eastAsia" w:eastAsia="楷体"/>
          <w:b w:val="0"/>
          <w:bCs w:val="0"/>
          <w:spacing w:val="-4"/>
          <w:sz w:val="32"/>
          <w:szCs w:val="32"/>
        </w:rPr>
        <w:br w:type="textWrapping"/>
      </w:r>
      <w:r>
        <w:rPr>
          <w:rStyle w:val="19"/>
          <w:rFonts w:hint="eastAsia" w:eastAsia="楷体"/>
          <w:b w:val="0"/>
          <w:bCs w:val="0"/>
          <w:spacing w:val="-4"/>
          <w:sz w:val="32"/>
          <w:szCs w:val="32"/>
        </w:rPr>
        <w:t>1.评价原则</w:t>
      </w:r>
      <w:r>
        <w:rPr>
          <w:rFonts w:hint="eastAsia" w:eastAsia="楷体"/>
          <w:b w:val="0"/>
          <w:bCs w:val="0"/>
          <w:spacing w:val="-4"/>
          <w:sz w:val="32"/>
          <w:szCs w:val="32"/>
        </w:rPr>
        <w:br w:type="textWrapping"/>
      </w:r>
      <w:r>
        <w:rPr>
          <w:rStyle w:val="19"/>
          <w:rFonts w:hint="eastAsia" w:eastAsia="楷体"/>
          <w:b w:val="0"/>
          <w:bCs w:val="0"/>
          <w:spacing w:val="-4"/>
          <w:sz w:val="32"/>
          <w:szCs w:val="32"/>
        </w:rPr>
        <w:t>（一）科学公正。绩效评价应当运用科学合理的方法，按照规范的程序，对项目绩效进行客观、公正的反映。</w:t>
      </w:r>
      <w:r>
        <w:rPr>
          <w:rFonts w:hint="eastAsia" w:eastAsia="楷体"/>
          <w:b w:val="0"/>
          <w:bCs w:val="0"/>
          <w:spacing w:val="-4"/>
          <w:sz w:val="32"/>
          <w:szCs w:val="32"/>
        </w:rPr>
        <w:br w:type="textWrapping"/>
      </w:r>
      <w:r>
        <w:rPr>
          <w:rStyle w:val="19"/>
          <w:rFonts w:hint="eastAsia" w:eastAsia="楷体"/>
          <w:b w:val="0"/>
          <w:bCs w:val="0"/>
          <w:spacing w:val="-4"/>
          <w:sz w:val="32"/>
          <w:szCs w:val="32"/>
        </w:rPr>
        <w:t>（二）统筹兼顾。单位自评、部门评价和财政评价应职责明确，各有侧重，相互衔接。单位自评应由项目单位自主实施，即“谁支出、谁自评”。部门评价和财政评价应在单位自评的基础上开展，必要时可委托第三方机构实施。</w:t>
      </w:r>
      <w:r>
        <w:rPr>
          <w:rFonts w:hint="eastAsia" w:eastAsia="楷体"/>
          <w:b w:val="0"/>
          <w:bCs w:val="0"/>
          <w:spacing w:val="-4"/>
          <w:sz w:val="32"/>
          <w:szCs w:val="32"/>
        </w:rPr>
        <w:br w:type="textWrapping"/>
      </w:r>
      <w:r>
        <w:rPr>
          <w:rStyle w:val="19"/>
          <w:rFonts w:hint="eastAsia" w:eastAsia="楷体"/>
          <w:b w:val="0"/>
          <w:bCs w:val="0"/>
          <w:spacing w:val="-4"/>
          <w:sz w:val="32"/>
          <w:szCs w:val="32"/>
        </w:rPr>
        <w:t>（三）激励约束。绩效评价结果应与预算安排、政策调整、改进管理实质性挂钩，体现奖优罚劣和激励相容导向，有效要安排、低效要压减、无效要问责。</w:t>
      </w:r>
      <w:r>
        <w:rPr>
          <w:rFonts w:hint="eastAsia" w:eastAsia="楷体"/>
          <w:b w:val="0"/>
          <w:bCs w:val="0"/>
          <w:spacing w:val="-4"/>
          <w:sz w:val="32"/>
          <w:szCs w:val="32"/>
        </w:rPr>
        <w:br w:type="textWrapping"/>
      </w:r>
      <w:r>
        <w:rPr>
          <w:rStyle w:val="19"/>
          <w:rFonts w:hint="eastAsia" w:eastAsia="楷体"/>
          <w:b w:val="0"/>
          <w:bCs w:val="0"/>
          <w:spacing w:val="-4"/>
          <w:sz w:val="32"/>
          <w:szCs w:val="32"/>
        </w:rPr>
        <w:t>（四）公开透明。绩效评价结果应依法依规公开，并自觉接受社会监督。</w:t>
      </w:r>
      <w:r>
        <w:rPr>
          <w:rFonts w:hint="eastAsia" w:eastAsia="楷体"/>
          <w:b w:val="0"/>
          <w:bCs w:val="0"/>
          <w:spacing w:val="-4"/>
          <w:sz w:val="32"/>
          <w:szCs w:val="32"/>
        </w:rPr>
        <w:br w:type="textWrapping"/>
      </w:r>
      <w:r>
        <w:rPr>
          <w:rStyle w:val="19"/>
          <w:rFonts w:hint="eastAsia" w:eastAsia="楷体"/>
          <w:b w:val="0"/>
          <w:bCs w:val="0"/>
          <w:spacing w:val="-4"/>
          <w:sz w:val="32"/>
          <w:szCs w:val="32"/>
        </w:rPr>
        <w:t>2.评价指标体系</w:t>
      </w:r>
      <w:r>
        <w:rPr>
          <w:rFonts w:hint="eastAsia" w:eastAsia="楷体"/>
          <w:b w:val="0"/>
          <w:bCs w:val="0"/>
          <w:spacing w:val="-4"/>
          <w:sz w:val="32"/>
          <w:szCs w:val="32"/>
        </w:rPr>
        <w:br w:type="textWrapping"/>
      </w:r>
      <w:r>
        <w:rPr>
          <w:rStyle w:val="19"/>
          <w:rFonts w:hint="eastAsia" w:eastAsia="楷体"/>
          <w:b w:val="0"/>
          <w:bCs w:val="0"/>
          <w:spacing w:val="-4"/>
          <w:sz w:val="32"/>
          <w:szCs w:val="32"/>
        </w:rPr>
        <w:t>绩效评价指标体系作为衡量绩效目标实现程度的考核工具，一般遵循以下原则：</w:t>
      </w:r>
      <w:r>
        <w:rPr>
          <w:rFonts w:hint="eastAsia" w:eastAsia="楷体"/>
          <w:b w:val="0"/>
          <w:bCs w:val="0"/>
          <w:spacing w:val="-4"/>
          <w:sz w:val="32"/>
          <w:szCs w:val="32"/>
        </w:rPr>
        <w:br w:type="textWrapping"/>
      </w:r>
      <w:r>
        <w:rPr>
          <w:rStyle w:val="19"/>
          <w:rFonts w:hint="eastAsia" w:eastAsia="楷体"/>
          <w:b w:val="0"/>
          <w:bCs w:val="0"/>
          <w:spacing w:val="-4"/>
          <w:sz w:val="32"/>
          <w:szCs w:val="32"/>
        </w:rPr>
        <w:t>（1）相关性原则：绩效评价指标应当与绩效目标有直接的联系，能够恰当反映目标的实现程度。</w:t>
      </w:r>
      <w:r>
        <w:rPr>
          <w:rFonts w:hint="eastAsia" w:eastAsia="楷体"/>
          <w:b w:val="0"/>
          <w:bCs w:val="0"/>
          <w:spacing w:val="-4"/>
          <w:sz w:val="32"/>
          <w:szCs w:val="32"/>
        </w:rPr>
        <w:br w:type="textWrapping"/>
      </w:r>
      <w:r>
        <w:rPr>
          <w:rStyle w:val="19"/>
          <w:rFonts w:hint="eastAsia" w:eastAsia="楷体"/>
          <w:b w:val="0"/>
          <w:bCs w:val="0"/>
          <w:spacing w:val="-4"/>
          <w:sz w:val="32"/>
          <w:szCs w:val="32"/>
        </w:rPr>
        <w:t>（2）重要性原则：应当优先使用最具评价对象代表性、最能反映评价要求的核心指标。</w:t>
      </w:r>
      <w:r>
        <w:rPr>
          <w:rFonts w:hint="eastAsia" w:eastAsia="楷体"/>
          <w:b w:val="0"/>
          <w:bCs w:val="0"/>
          <w:spacing w:val="-4"/>
          <w:sz w:val="32"/>
          <w:szCs w:val="32"/>
        </w:rPr>
        <w:br w:type="textWrapping"/>
      </w:r>
      <w:r>
        <w:rPr>
          <w:rStyle w:val="19"/>
          <w:rFonts w:hint="eastAsia" w:eastAsia="楷体"/>
          <w:b w:val="0"/>
          <w:bCs w:val="0"/>
          <w:spacing w:val="-4"/>
          <w:sz w:val="32"/>
          <w:szCs w:val="32"/>
        </w:rPr>
        <w:t>（3）可比性原则：对同类评价对象要设定共性的绩效评价指标，以便于评价结果可以相互比较。</w:t>
      </w:r>
      <w:r>
        <w:rPr>
          <w:rFonts w:hint="eastAsia" w:eastAsia="楷体"/>
          <w:b w:val="0"/>
          <w:bCs w:val="0"/>
          <w:spacing w:val="-4"/>
          <w:sz w:val="32"/>
          <w:szCs w:val="32"/>
        </w:rPr>
        <w:br w:type="textWrapping"/>
      </w:r>
      <w:r>
        <w:rPr>
          <w:rStyle w:val="19"/>
          <w:rFonts w:hint="eastAsia" w:eastAsia="楷体"/>
          <w:b w:val="0"/>
          <w:bCs w:val="0"/>
          <w:spacing w:val="-4"/>
          <w:sz w:val="32"/>
          <w:szCs w:val="32"/>
        </w:rPr>
        <w:t>（4）系统性原则：绩效评价指标的设置应当将定量指标与定性指标相结合，能系统反映财政支出所产生的社会效益、经济效益和可持续影响等。</w:t>
      </w:r>
      <w:r>
        <w:rPr>
          <w:rFonts w:hint="eastAsia" w:eastAsia="楷体"/>
          <w:b w:val="0"/>
          <w:bCs w:val="0"/>
          <w:spacing w:val="-4"/>
          <w:sz w:val="32"/>
          <w:szCs w:val="32"/>
        </w:rPr>
        <w:br w:type="textWrapping"/>
      </w:r>
      <w:r>
        <w:rPr>
          <w:rStyle w:val="19"/>
          <w:rFonts w:hint="eastAsia" w:eastAsia="楷体"/>
          <w:b w:val="0"/>
          <w:bCs w:val="0"/>
          <w:spacing w:val="-4"/>
          <w:sz w:val="32"/>
          <w:szCs w:val="32"/>
        </w:rPr>
        <w:t>（5）经济性原则：绩效评价指标设计应当通俗易懂、简便易行，数据的获得应当考虑现实条件和可操作性，符合成本效益原则。</w:t>
      </w:r>
      <w:r>
        <w:rPr>
          <w:rFonts w:hint="eastAsia" w:eastAsia="楷体"/>
          <w:b w:val="0"/>
          <w:bCs w:val="0"/>
          <w:spacing w:val="-4"/>
          <w:sz w:val="32"/>
          <w:szCs w:val="32"/>
        </w:rPr>
        <w:br w:type="textWrapping"/>
      </w:r>
      <w:r>
        <w:rPr>
          <w:rStyle w:val="19"/>
          <w:rFonts w:hint="eastAsia" w:eastAsia="楷体"/>
          <w:b w:val="0"/>
          <w:bCs w:val="0"/>
          <w:spacing w:val="-4"/>
          <w:sz w:val="32"/>
          <w:szCs w:val="32"/>
        </w:rPr>
        <w:t>本项目的评价指标体系建立如下表所示</w:t>
      </w:r>
      <w:r>
        <w:rPr>
          <w:rFonts w:hint="eastAsia" w:eastAsia="楷体"/>
          <w:b w:val="0"/>
          <w:bCs w:val="0"/>
          <w:spacing w:val="-4"/>
          <w:sz w:val="32"/>
          <w:szCs w:val="32"/>
        </w:rPr>
        <w:br w:type="textWrapping"/>
      </w:r>
      <w:r>
        <w:rPr>
          <w:rStyle w:val="19"/>
          <w:rFonts w:hint="eastAsia" w:eastAsia="楷体"/>
          <w:b w:val="0"/>
          <w:bCs w:val="0"/>
          <w:spacing w:val="-4"/>
          <w:sz w:val="32"/>
          <w:szCs w:val="32"/>
        </w:rPr>
        <w:t xml:space="preserve"> </w:t>
      </w:r>
      <w:r>
        <w:rPr>
          <w:rFonts w:hint="eastAsia" w:eastAsia="楷体"/>
          <w:b w:val="0"/>
          <w:bCs w:val="0"/>
          <w:spacing w:val="-4"/>
          <w:sz w:val="32"/>
          <w:szCs w:val="32"/>
        </w:rPr>
        <w:br w:type="textWrapping"/>
      </w:r>
      <w:r>
        <w:rPr>
          <w:rStyle w:val="19"/>
          <w:rFonts w:hint="eastAsia" w:eastAsia="楷体"/>
          <w:b w:val="0"/>
          <w:bCs w:val="0"/>
          <w:spacing w:val="-4"/>
          <w:sz w:val="32"/>
          <w:szCs w:val="32"/>
        </w:rPr>
        <w:t xml:space="preserve"> </w:t>
      </w:r>
      <w:r>
        <w:rPr>
          <w:rFonts w:hint="eastAsia" w:eastAsia="楷体"/>
          <w:b w:val="0"/>
          <w:bCs w:val="0"/>
          <w:spacing w:val="-4"/>
          <w:sz w:val="32"/>
          <w:szCs w:val="32"/>
        </w:rPr>
        <w:br w:type="textWrapping"/>
      </w:r>
      <w:r>
        <w:rPr>
          <w:rStyle w:val="19"/>
          <w:rFonts w:hint="eastAsia" w:eastAsia="楷体"/>
          <w:b w:val="0"/>
          <w:bCs w:val="0"/>
          <w:spacing w:val="-4"/>
          <w:sz w:val="32"/>
          <w:szCs w:val="32"/>
        </w:rPr>
        <w:t xml:space="preserve">  项目支出绩效评价指标体系 </w:t>
      </w:r>
      <w:r>
        <w:rPr>
          <w:rFonts w:hint="eastAsia" w:eastAsia="楷体"/>
          <w:b w:val="0"/>
          <w:bCs w:val="0"/>
          <w:spacing w:val="-4"/>
          <w:sz w:val="32"/>
          <w:szCs w:val="32"/>
        </w:rPr>
        <w:br w:type="textWrapping"/>
      </w:r>
      <w:r>
        <w:rPr>
          <w:rStyle w:val="19"/>
          <w:rFonts w:hint="eastAsia" w:eastAsia="楷体"/>
          <w:b w:val="0"/>
          <w:bCs w:val="0"/>
          <w:spacing w:val="-4"/>
          <w:sz w:val="32"/>
          <w:szCs w:val="32"/>
        </w:rPr>
        <w:t>一级指标 二级指标 三级指标 指标解释 指标说明</w:t>
      </w:r>
      <w:r>
        <w:rPr>
          <w:rFonts w:hint="eastAsia" w:eastAsia="楷体"/>
          <w:b w:val="0"/>
          <w:bCs w:val="0"/>
          <w:spacing w:val="-4"/>
          <w:sz w:val="32"/>
          <w:szCs w:val="32"/>
        </w:rPr>
        <w:br w:type="textWrapping"/>
      </w:r>
      <w:r>
        <w:rPr>
          <w:rStyle w:val="19"/>
          <w:rFonts w:hint="eastAsia" w:eastAsia="楷体"/>
          <w:b w:val="0"/>
          <w:bCs w:val="0"/>
          <w:spacing w:val="-4"/>
          <w:sz w:val="32"/>
          <w:szCs w:val="32"/>
        </w:rPr>
        <w:t>决策 项目立项 立项依据</w:t>
      </w:r>
      <w:r>
        <w:rPr>
          <w:rFonts w:hint="eastAsia" w:eastAsia="楷体"/>
          <w:b w:val="0"/>
          <w:bCs w:val="0"/>
          <w:spacing w:val="-4"/>
          <w:sz w:val="32"/>
          <w:szCs w:val="32"/>
        </w:rPr>
        <w:br w:type="textWrapping"/>
      </w:r>
      <w:r>
        <w:rPr>
          <w:rStyle w:val="19"/>
          <w:rFonts w:hint="eastAsia" w:eastAsia="楷体"/>
          <w:b w:val="0"/>
          <w:bCs w:val="0"/>
          <w:spacing w:val="-4"/>
          <w:sz w:val="32"/>
          <w:szCs w:val="32"/>
        </w:rPr>
        <w:t>充分性 项目立项是否符合法律法规、相关政策、发展规划以及部门职责，用以反映和考核项目立项依据情况。 评价要点：</w:t>
      </w:r>
      <w:r>
        <w:rPr>
          <w:rFonts w:hint="eastAsia" w:eastAsia="楷体"/>
          <w:b w:val="0"/>
          <w:bCs w:val="0"/>
          <w:spacing w:val="-4"/>
          <w:sz w:val="32"/>
          <w:szCs w:val="32"/>
        </w:rPr>
        <w:br w:type="textWrapping"/>
      </w:r>
      <w:r>
        <w:rPr>
          <w:rStyle w:val="19"/>
          <w:rFonts w:hint="eastAsia" w:eastAsia="楷体"/>
          <w:b w:val="0"/>
          <w:bCs w:val="0"/>
          <w:spacing w:val="-4"/>
          <w:sz w:val="32"/>
          <w:szCs w:val="32"/>
        </w:rPr>
        <w:t>①项目立项是否符合国家法律法规、国民经济发展规划和相关政策；</w:t>
      </w:r>
      <w:r>
        <w:rPr>
          <w:rFonts w:hint="eastAsia" w:eastAsia="楷体"/>
          <w:b w:val="0"/>
          <w:bCs w:val="0"/>
          <w:spacing w:val="-4"/>
          <w:sz w:val="32"/>
          <w:szCs w:val="32"/>
        </w:rPr>
        <w:br w:type="textWrapping"/>
      </w:r>
      <w:r>
        <w:rPr>
          <w:rStyle w:val="19"/>
          <w:rFonts w:hint="eastAsia" w:eastAsia="楷体"/>
          <w:b w:val="0"/>
          <w:bCs w:val="0"/>
          <w:spacing w:val="-4"/>
          <w:sz w:val="32"/>
          <w:szCs w:val="32"/>
        </w:rPr>
        <w:t>②项目立项是否符合行业发展规划和政策要求；</w:t>
      </w:r>
      <w:r>
        <w:rPr>
          <w:rFonts w:hint="eastAsia" w:eastAsia="楷体"/>
          <w:b w:val="0"/>
          <w:bCs w:val="0"/>
          <w:spacing w:val="-4"/>
          <w:sz w:val="32"/>
          <w:szCs w:val="32"/>
        </w:rPr>
        <w:br w:type="textWrapping"/>
      </w:r>
      <w:r>
        <w:rPr>
          <w:rStyle w:val="19"/>
          <w:rFonts w:hint="eastAsia" w:eastAsia="楷体"/>
          <w:b w:val="0"/>
          <w:bCs w:val="0"/>
          <w:spacing w:val="-4"/>
          <w:sz w:val="32"/>
          <w:szCs w:val="32"/>
        </w:rPr>
        <w:t>③项目立项是否与部门职责范围相符，</w:t>
      </w:r>
      <w:r>
        <w:rPr>
          <w:rStyle w:val="19"/>
          <w:rFonts w:hint="eastAsia" w:eastAsia="楷体"/>
          <w:b w:val="0"/>
          <w:bCs w:val="0"/>
          <w:spacing w:val="-4"/>
          <w:sz w:val="32"/>
          <w:szCs w:val="32"/>
          <w:lang w:val="en-US" w:eastAsia="zh-CN"/>
        </w:rPr>
        <w:t>属于部门</w:t>
      </w:r>
      <w:r>
        <w:rPr>
          <w:rStyle w:val="19"/>
          <w:rFonts w:hint="eastAsia" w:eastAsia="楷体"/>
          <w:b w:val="0"/>
          <w:bCs w:val="0"/>
          <w:spacing w:val="-4"/>
          <w:sz w:val="32"/>
          <w:szCs w:val="32"/>
        </w:rPr>
        <w:t>履职所需；</w:t>
      </w:r>
      <w:r>
        <w:rPr>
          <w:rFonts w:hint="eastAsia" w:eastAsia="楷体"/>
          <w:b w:val="0"/>
          <w:bCs w:val="0"/>
          <w:spacing w:val="-4"/>
          <w:sz w:val="32"/>
          <w:szCs w:val="32"/>
        </w:rPr>
        <w:br w:type="textWrapping"/>
      </w:r>
      <w:r>
        <w:rPr>
          <w:rStyle w:val="19"/>
          <w:rFonts w:hint="eastAsia" w:eastAsia="楷体"/>
          <w:b w:val="0"/>
          <w:bCs w:val="0"/>
          <w:spacing w:val="-4"/>
          <w:sz w:val="32"/>
          <w:szCs w:val="32"/>
        </w:rPr>
        <w:t>④项目是否属于公共财政支持范围，是否符合中央、地方事权支出责任划分原则；</w:t>
      </w:r>
      <w:r>
        <w:rPr>
          <w:rFonts w:hint="eastAsia" w:eastAsia="楷体"/>
          <w:b w:val="0"/>
          <w:bCs w:val="0"/>
          <w:spacing w:val="-4"/>
          <w:sz w:val="32"/>
          <w:szCs w:val="32"/>
        </w:rPr>
        <w:br w:type="textWrapping"/>
      </w:r>
      <w:r>
        <w:rPr>
          <w:rStyle w:val="19"/>
          <w:rFonts w:hint="eastAsia" w:eastAsia="楷体"/>
          <w:b w:val="0"/>
          <w:bCs w:val="0"/>
          <w:spacing w:val="-4"/>
          <w:sz w:val="32"/>
          <w:szCs w:val="32"/>
        </w:rPr>
        <w:t>⑤项目是否与相关部门同类项目或部门内部相关项目重复。</w:t>
      </w:r>
      <w:r>
        <w:rPr>
          <w:rFonts w:hint="eastAsia" w:eastAsia="楷体"/>
          <w:b w:val="0"/>
          <w:bCs w:val="0"/>
          <w:spacing w:val="-4"/>
          <w:sz w:val="32"/>
          <w:szCs w:val="32"/>
        </w:rPr>
        <w:br w:type="textWrapping"/>
      </w:r>
      <w:r>
        <w:rPr>
          <w:rStyle w:val="19"/>
          <w:rFonts w:hint="eastAsia" w:eastAsia="楷体"/>
          <w:b w:val="0"/>
          <w:bCs w:val="0"/>
          <w:spacing w:val="-4"/>
          <w:sz w:val="32"/>
          <w:szCs w:val="32"/>
        </w:rPr>
        <w:t>立项程序</w:t>
      </w:r>
      <w:r>
        <w:rPr>
          <w:rFonts w:hint="eastAsia" w:eastAsia="楷体"/>
          <w:b w:val="0"/>
          <w:bCs w:val="0"/>
          <w:spacing w:val="-4"/>
          <w:sz w:val="32"/>
          <w:szCs w:val="32"/>
        </w:rPr>
        <w:br w:type="textWrapping"/>
      </w:r>
      <w:r>
        <w:rPr>
          <w:rStyle w:val="19"/>
          <w:rFonts w:hint="eastAsia" w:eastAsia="楷体"/>
          <w:b w:val="0"/>
          <w:bCs w:val="0"/>
          <w:spacing w:val="-4"/>
          <w:sz w:val="32"/>
          <w:szCs w:val="32"/>
        </w:rPr>
        <w:t>规范性 项目申请、设立过程是否符合相关要求，用以反映和考核项目立项的规范情况。 评价要点：</w:t>
      </w:r>
      <w:r>
        <w:rPr>
          <w:rFonts w:hint="eastAsia" w:eastAsia="楷体"/>
          <w:b w:val="0"/>
          <w:bCs w:val="0"/>
          <w:spacing w:val="-4"/>
          <w:sz w:val="32"/>
          <w:szCs w:val="32"/>
        </w:rPr>
        <w:br w:type="textWrapping"/>
      </w:r>
      <w:r>
        <w:rPr>
          <w:rStyle w:val="19"/>
          <w:rFonts w:hint="eastAsia" w:eastAsia="楷体"/>
          <w:b w:val="0"/>
          <w:bCs w:val="0"/>
          <w:spacing w:val="-4"/>
          <w:sz w:val="32"/>
          <w:szCs w:val="32"/>
        </w:rPr>
        <w:t>①项目是否按照规定的程序申请设立；</w:t>
      </w:r>
      <w:r>
        <w:rPr>
          <w:rFonts w:hint="eastAsia" w:eastAsia="楷体"/>
          <w:b w:val="0"/>
          <w:bCs w:val="0"/>
          <w:spacing w:val="-4"/>
          <w:sz w:val="32"/>
          <w:szCs w:val="32"/>
        </w:rPr>
        <w:br w:type="textWrapping"/>
      </w:r>
      <w:r>
        <w:rPr>
          <w:rStyle w:val="19"/>
          <w:rFonts w:hint="eastAsia" w:eastAsia="楷体"/>
          <w:b w:val="0"/>
          <w:bCs w:val="0"/>
          <w:spacing w:val="-4"/>
          <w:sz w:val="32"/>
          <w:szCs w:val="32"/>
        </w:rPr>
        <w:t>②审批文件、材料是否符合相关要求；</w:t>
      </w:r>
      <w:r>
        <w:rPr>
          <w:rFonts w:hint="eastAsia" w:eastAsia="楷体"/>
          <w:b w:val="0"/>
          <w:bCs w:val="0"/>
          <w:spacing w:val="-4"/>
          <w:sz w:val="32"/>
          <w:szCs w:val="32"/>
        </w:rPr>
        <w:br w:type="textWrapping"/>
      </w:r>
      <w:r>
        <w:rPr>
          <w:rStyle w:val="19"/>
          <w:rFonts w:hint="eastAsia" w:eastAsia="楷体"/>
          <w:b w:val="0"/>
          <w:bCs w:val="0"/>
          <w:spacing w:val="-4"/>
          <w:sz w:val="32"/>
          <w:szCs w:val="32"/>
        </w:rPr>
        <w:t>③事前是否已经过必要的可行性研究、专家论证、风险评估、绩效评估、集体决策。</w:t>
      </w:r>
      <w:r>
        <w:rPr>
          <w:rFonts w:hint="eastAsia" w:eastAsia="楷体"/>
          <w:b w:val="0"/>
          <w:bCs w:val="0"/>
          <w:spacing w:val="-4"/>
          <w:sz w:val="32"/>
          <w:szCs w:val="32"/>
        </w:rPr>
        <w:br w:type="textWrapping"/>
      </w:r>
      <w:r>
        <w:rPr>
          <w:rStyle w:val="19"/>
          <w:rFonts w:hint="eastAsia" w:eastAsia="楷体"/>
          <w:b w:val="0"/>
          <w:bCs w:val="0"/>
          <w:spacing w:val="-4"/>
          <w:sz w:val="32"/>
          <w:szCs w:val="32"/>
        </w:rPr>
        <w:t>绩效目标 绩效目标</w:t>
      </w:r>
      <w:r>
        <w:rPr>
          <w:rFonts w:hint="eastAsia" w:eastAsia="楷体"/>
          <w:b w:val="0"/>
          <w:bCs w:val="0"/>
          <w:spacing w:val="-4"/>
          <w:sz w:val="32"/>
          <w:szCs w:val="32"/>
        </w:rPr>
        <w:br w:type="textWrapping"/>
      </w:r>
      <w:r>
        <w:rPr>
          <w:rStyle w:val="19"/>
          <w:rFonts w:hint="eastAsia" w:eastAsia="楷体"/>
          <w:b w:val="0"/>
          <w:bCs w:val="0"/>
          <w:spacing w:val="-4"/>
          <w:sz w:val="32"/>
          <w:szCs w:val="32"/>
        </w:rPr>
        <w:t>合理性 项目所设定的绩效目标是否依据充分，是否符合客观实际，用以反映和考核项目绩效目标与项目实施的相符情况。 评价要点：</w:t>
      </w:r>
      <w:r>
        <w:rPr>
          <w:rFonts w:hint="eastAsia" w:eastAsia="楷体"/>
          <w:b w:val="0"/>
          <w:bCs w:val="0"/>
          <w:spacing w:val="-4"/>
          <w:sz w:val="32"/>
          <w:szCs w:val="32"/>
        </w:rPr>
        <w:br w:type="textWrapping"/>
      </w:r>
      <w:r>
        <w:rPr>
          <w:rStyle w:val="19"/>
          <w:rFonts w:hint="eastAsia" w:eastAsia="楷体"/>
          <w:b w:val="0"/>
          <w:bCs w:val="0"/>
          <w:spacing w:val="-4"/>
          <w:sz w:val="32"/>
          <w:szCs w:val="32"/>
        </w:rPr>
        <w:t>（如未设定预算绩效目标，也可考核其他工作任务目标）</w:t>
      </w:r>
      <w:r>
        <w:rPr>
          <w:rFonts w:hint="eastAsia" w:eastAsia="楷体"/>
          <w:b w:val="0"/>
          <w:bCs w:val="0"/>
          <w:spacing w:val="-4"/>
          <w:sz w:val="32"/>
          <w:szCs w:val="32"/>
        </w:rPr>
        <w:br w:type="textWrapping"/>
      </w:r>
      <w:r>
        <w:rPr>
          <w:rStyle w:val="19"/>
          <w:rFonts w:hint="eastAsia" w:eastAsia="楷体"/>
          <w:b w:val="0"/>
          <w:bCs w:val="0"/>
          <w:spacing w:val="-4"/>
          <w:sz w:val="32"/>
          <w:szCs w:val="32"/>
        </w:rPr>
        <w:t>①项目是否有绩效目标；</w:t>
      </w:r>
      <w:r>
        <w:rPr>
          <w:rFonts w:hint="eastAsia" w:eastAsia="楷体"/>
          <w:b w:val="0"/>
          <w:bCs w:val="0"/>
          <w:spacing w:val="-4"/>
          <w:sz w:val="32"/>
          <w:szCs w:val="32"/>
        </w:rPr>
        <w:br w:type="textWrapping"/>
      </w:r>
      <w:r>
        <w:rPr>
          <w:rStyle w:val="19"/>
          <w:rFonts w:hint="eastAsia" w:eastAsia="楷体"/>
          <w:b w:val="0"/>
          <w:bCs w:val="0"/>
          <w:spacing w:val="-4"/>
          <w:sz w:val="32"/>
          <w:szCs w:val="32"/>
        </w:rPr>
        <w:t>②项目绩效目标与实际工作内容是否具有相关性；</w:t>
      </w:r>
      <w:r>
        <w:rPr>
          <w:rFonts w:hint="eastAsia" w:eastAsia="楷体"/>
          <w:b w:val="0"/>
          <w:bCs w:val="0"/>
          <w:spacing w:val="-4"/>
          <w:sz w:val="32"/>
          <w:szCs w:val="32"/>
        </w:rPr>
        <w:br w:type="textWrapping"/>
      </w:r>
      <w:r>
        <w:rPr>
          <w:rStyle w:val="19"/>
          <w:rFonts w:hint="eastAsia" w:eastAsia="楷体"/>
          <w:b w:val="0"/>
          <w:bCs w:val="0"/>
          <w:spacing w:val="-4"/>
          <w:sz w:val="32"/>
          <w:szCs w:val="32"/>
        </w:rPr>
        <w:t>③项目预期产出效益和效果是否符合正常的业绩水平；</w:t>
      </w:r>
      <w:r>
        <w:rPr>
          <w:rFonts w:hint="eastAsia" w:eastAsia="楷体"/>
          <w:b w:val="0"/>
          <w:bCs w:val="0"/>
          <w:spacing w:val="-4"/>
          <w:sz w:val="32"/>
          <w:szCs w:val="32"/>
        </w:rPr>
        <w:br w:type="textWrapping"/>
      </w:r>
      <w:r>
        <w:rPr>
          <w:rStyle w:val="19"/>
          <w:rFonts w:hint="eastAsia" w:eastAsia="楷体"/>
          <w:b w:val="0"/>
          <w:bCs w:val="0"/>
          <w:spacing w:val="-4"/>
          <w:sz w:val="32"/>
          <w:szCs w:val="32"/>
        </w:rPr>
        <w:t>④是否与预算确定的项目投资额或资金量相匹配。</w:t>
      </w:r>
      <w:r>
        <w:rPr>
          <w:rFonts w:hint="eastAsia" w:eastAsia="楷体"/>
          <w:b w:val="0"/>
          <w:bCs w:val="0"/>
          <w:spacing w:val="-4"/>
          <w:sz w:val="32"/>
          <w:szCs w:val="32"/>
        </w:rPr>
        <w:br w:type="textWrapping"/>
      </w:r>
      <w:r>
        <w:rPr>
          <w:rStyle w:val="19"/>
          <w:rFonts w:hint="eastAsia" w:eastAsia="楷体"/>
          <w:b w:val="0"/>
          <w:bCs w:val="0"/>
          <w:spacing w:val="-4"/>
          <w:sz w:val="32"/>
          <w:szCs w:val="32"/>
        </w:rPr>
        <w:t>决策 绩效目标 绩效指标</w:t>
      </w:r>
      <w:r>
        <w:rPr>
          <w:rFonts w:hint="eastAsia" w:eastAsia="楷体"/>
          <w:b w:val="0"/>
          <w:bCs w:val="0"/>
          <w:spacing w:val="-4"/>
          <w:sz w:val="32"/>
          <w:szCs w:val="32"/>
        </w:rPr>
        <w:br w:type="textWrapping"/>
      </w:r>
      <w:r>
        <w:rPr>
          <w:rStyle w:val="19"/>
          <w:rFonts w:hint="eastAsia" w:eastAsia="楷体"/>
          <w:b w:val="0"/>
          <w:bCs w:val="0"/>
          <w:spacing w:val="-4"/>
          <w:sz w:val="32"/>
          <w:szCs w:val="32"/>
        </w:rPr>
        <w:t>明确性 依据绩效目标设定的绩效指标是否清晰、细化、可衡量等，用以反映和考核项目绩效目标的明细化情况。 评价要点：</w:t>
      </w:r>
      <w:r>
        <w:rPr>
          <w:rFonts w:hint="eastAsia" w:eastAsia="楷体"/>
          <w:b w:val="0"/>
          <w:bCs w:val="0"/>
          <w:spacing w:val="-4"/>
          <w:sz w:val="32"/>
          <w:szCs w:val="32"/>
        </w:rPr>
        <w:br w:type="textWrapping"/>
      </w:r>
      <w:r>
        <w:rPr>
          <w:rStyle w:val="19"/>
          <w:rFonts w:hint="eastAsia" w:eastAsia="楷体"/>
          <w:b w:val="0"/>
          <w:bCs w:val="0"/>
          <w:spacing w:val="-4"/>
          <w:sz w:val="32"/>
          <w:szCs w:val="32"/>
        </w:rPr>
        <w:t>①是否将项目绩效目标细化分解为具体的绩效指标；</w:t>
      </w:r>
      <w:r>
        <w:rPr>
          <w:rFonts w:hint="eastAsia" w:eastAsia="楷体"/>
          <w:b w:val="0"/>
          <w:bCs w:val="0"/>
          <w:spacing w:val="-4"/>
          <w:sz w:val="32"/>
          <w:szCs w:val="32"/>
        </w:rPr>
        <w:br w:type="textWrapping"/>
      </w:r>
      <w:r>
        <w:rPr>
          <w:rStyle w:val="19"/>
          <w:rFonts w:hint="eastAsia" w:eastAsia="楷体"/>
          <w:b w:val="0"/>
          <w:bCs w:val="0"/>
          <w:spacing w:val="-4"/>
          <w:sz w:val="32"/>
          <w:szCs w:val="32"/>
        </w:rPr>
        <w:t>②是否通过清晰、可衡量的指标值予以体现；</w:t>
      </w:r>
      <w:r>
        <w:rPr>
          <w:rFonts w:hint="eastAsia" w:eastAsia="楷体"/>
          <w:b w:val="0"/>
          <w:bCs w:val="0"/>
          <w:spacing w:val="-4"/>
          <w:sz w:val="32"/>
          <w:szCs w:val="32"/>
        </w:rPr>
        <w:br w:type="textWrapping"/>
      </w:r>
      <w:r>
        <w:rPr>
          <w:rStyle w:val="19"/>
          <w:rFonts w:hint="eastAsia" w:eastAsia="楷体"/>
          <w:b w:val="0"/>
          <w:bCs w:val="0"/>
          <w:spacing w:val="-4"/>
          <w:sz w:val="32"/>
          <w:szCs w:val="32"/>
        </w:rPr>
        <w:t>③是否与项目目标任务数或计划数相对应。</w:t>
      </w:r>
      <w:r>
        <w:rPr>
          <w:rFonts w:hint="eastAsia" w:eastAsia="楷体"/>
          <w:b w:val="0"/>
          <w:bCs w:val="0"/>
          <w:spacing w:val="-4"/>
          <w:sz w:val="32"/>
          <w:szCs w:val="32"/>
        </w:rPr>
        <w:br w:type="textWrapping"/>
      </w:r>
      <w:r>
        <w:rPr>
          <w:rStyle w:val="19"/>
          <w:rFonts w:hint="eastAsia" w:eastAsia="楷体"/>
          <w:b w:val="0"/>
          <w:bCs w:val="0"/>
          <w:spacing w:val="-4"/>
          <w:sz w:val="32"/>
          <w:szCs w:val="32"/>
        </w:rPr>
        <w:t xml:space="preserve"> </w:t>
      </w:r>
      <w:r>
        <w:rPr>
          <w:rFonts w:hint="eastAsia" w:eastAsia="楷体"/>
          <w:b w:val="0"/>
          <w:bCs w:val="0"/>
          <w:spacing w:val="-4"/>
          <w:sz w:val="32"/>
          <w:szCs w:val="32"/>
        </w:rPr>
        <w:br w:type="textWrapping"/>
      </w:r>
      <w:r>
        <w:rPr>
          <w:rStyle w:val="19"/>
          <w:rFonts w:hint="eastAsia" w:eastAsia="楷体"/>
          <w:b w:val="0"/>
          <w:bCs w:val="0"/>
          <w:spacing w:val="-4"/>
          <w:sz w:val="32"/>
          <w:szCs w:val="32"/>
        </w:rPr>
        <w:t>资金投入 预算编制</w:t>
      </w:r>
      <w:r>
        <w:rPr>
          <w:rFonts w:hint="eastAsia" w:eastAsia="楷体"/>
          <w:b w:val="0"/>
          <w:bCs w:val="0"/>
          <w:spacing w:val="-4"/>
          <w:sz w:val="32"/>
          <w:szCs w:val="32"/>
        </w:rPr>
        <w:br w:type="textWrapping"/>
      </w:r>
      <w:r>
        <w:rPr>
          <w:rStyle w:val="19"/>
          <w:rFonts w:hint="eastAsia" w:eastAsia="楷体"/>
          <w:b w:val="0"/>
          <w:bCs w:val="0"/>
          <w:spacing w:val="-4"/>
          <w:sz w:val="32"/>
          <w:szCs w:val="32"/>
        </w:rPr>
        <w:t>科学性 项目预算编制是否经过科学论证、有明确标准，资金额度与年度目标是否相适应，用以反映和考核项目预算编制的科学性、合理性情况。 评价要点：</w:t>
      </w:r>
      <w:r>
        <w:rPr>
          <w:rFonts w:hint="eastAsia" w:eastAsia="楷体"/>
          <w:b w:val="0"/>
          <w:bCs w:val="0"/>
          <w:spacing w:val="-4"/>
          <w:sz w:val="32"/>
          <w:szCs w:val="32"/>
        </w:rPr>
        <w:br w:type="textWrapping"/>
      </w:r>
      <w:r>
        <w:rPr>
          <w:rStyle w:val="19"/>
          <w:rFonts w:hint="eastAsia" w:eastAsia="楷体"/>
          <w:b w:val="0"/>
          <w:bCs w:val="0"/>
          <w:spacing w:val="-4"/>
          <w:sz w:val="32"/>
          <w:szCs w:val="32"/>
        </w:rPr>
        <w:t>①预算编制是否经过科学论证；</w:t>
      </w:r>
      <w:r>
        <w:rPr>
          <w:rFonts w:hint="eastAsia" w:eastAsia="楷体"/>
          <w:b w:val="0"/>
          <w:bCs w:val="0"/>
          <w:spacing w:val="-4"/>
          <w:sz w:val="32"/>
          <w:szCs w:val="32"/>
        </w:rPr>
        <w:br w:type="textWrapping"/>
      </w:r>
      <w:r>
        <w:rPr>
          <w:rStyle w:val="19"/>
          <w:rFonts w:hint="eastAsia" w:eastAsia="楷体"/>
          <w:b w:val="0"/>
          <w:bCs w:val="0"/>
          <w:spacing w:val="-4"/>
          <w:sz w:val="32"/>
          <w:szCs w:val="32"/>
        </w:rPr>
        <w:t>②预算内容与项目内容是否匹配；</w:t>
      </w:r>
      <w:r>
        <w:rPr>
          <w:rFonts w:hint="eastAsia" w:eastAsia="楷体"/>
          <w:b w:val="0"/>
          <w:bCs w:val="0"/>
          <w:spacing w:val="-4"/>
          <w:sz w:val="32"/>
          <w:szCs w:val="32"/>
        </w:rPr>
        <w:br w:type="textWrapping"/>
      </w:r>
      <w:r>
        <w:rPr>
          <w:rStyle w:val="19"/>
          <w:rFonts w:hint="eastAsia" w:eastAsia="楷体"/>
          <w:b w:val="0"/>
          <w:bCs w:val="0"/>
          <w:spacing w:val="-4"/>
          <w:sz w:val="32"/>
          <w:szCs w:val="32"/>
        </w:rPr>
        <w:t>③预算额度测算依据是否充分，是否按照标准编制；</w:t>
      </w:r>
      <w:r>
        <w:rPr>
          <w:rFonts w:hint="eastAsia" w:eastAsia="楷体"/>
          <w:b w:val="0"/>
          <w:bCs w:val="0"/>
          <w:spacing w:val="-4"/>
          <w:sz w:val="32"/>
          <w:szCs w:val="32"/>
        </w:rPr>
        <w:br w:type="textWrapping"/>
      </w:r>
      <w:r>
        <w:rPr>
          <w:rStyle w:val="19"/>
          <w:rFonts w:hint="eastAsia" w:eastAsia="楷体"/>
          <w:b w:val="0"/>
          <w:bCs w:val="0"/>
          <w:spacing w:val="-4"/>
          <w:sz w:val="32"/>
          <w:szCs w:val="32"/>
        </w:rPr>
        <w:t>④预算确定的项目投资额或资金量是否与工作任务相匹配。</w:t>
      </w:r>
      <w:r>
        <w:rPr>
          <w:rFonts w:hint="eastAsia" w:eastAsia="楷体"/>
          <w:b w:val="0"/>
          <w:bCs w:val="0"/>
          <w:spacing w:val="-4"/>
          <w:sz w:val="32"/>
          <w:szCs w:val="32"/>
        </w:rPr>
        <w:br w:type="textWrapping"/>
      </w:r>
      <w:r>
        <w:rPr>
          <w:rStyle w:val="19"/>
          <w:rFonts w:hint="eastAsia" w:eastAsia="楷体"/>
          <w:b w:val="0"/>
          <w:bCs w:val="0"/>
          <w:spacing w:val="-4"/>
          <w:sz w:val="32"/>
          <w:szCs w:val="32"/>
        </w:rPr>
        <w:t>资金分配</w:t>
      </w:r>
      <w:r>
        <w:rPr>
          <w:rFonts w:hint="eastAsia" w:eastAsia="楷体"/>
          <w:b w:val="0"/>
          <w:bCs w:val="0"/>
          <w:spacing w:val="-4"/>
          <w:sz w:val="32"/>
          <w:szCs w:val="32"/>
        </w:rPr>
        <w:br w:type="textWrapping"/>
      </w:r>
      <w:r>
        <w:rPr>
          <w:rStyle w:val="19"/>
          <w:rFonts w:hint="eastAsia" w:eastAsia="楷体"/>
          <w:b w:val="0"/>
          <w:bCs w:val="0"/>
          <w:spacing w:val="-4"/>
          <w:sz w:val="32"/>
          <w:szCs w:val="32"/>
        </w:rPr>
        <w:t>合理性 项目预算资金分配是否有测算依据，与补助单位或地方实际是否相适应，用以反映和考核项目预算资金分配的科学性、合理性情况。 评价要点：</w:t>
      </w:r>
      <w:r>
        <w:rPr>
          <w:rFonts w:hint="eastAsia" w:eastAsia="楷体"/>
          <w:b w:val="0"/>
          <w:bCs w:val="0"/>
          <w:spacing w:val="-4"/>
          <w:sz w:val="32"/>
          <w:szCs w:val="32"/>
        </w:rPr>
        <w:br w:type="textWrapping"/>
      </w:r>
      <w:r>
        <w:rPr>
          <w:rStyle w:val="19"/>
          <w:rFonts w:hint="eastAsia" w:eastAsia="楷体"/>
          <w:b w:val="0"/>
          <w:bCs w:val="0"/>
          <w:spacing w:val="-4"/>
          <w:sz w:val="32"/>
          <w:szCs w:val="32"/>
        </w:rPr>
        <w:t>①预算资金分配依据是否充分；</w:t>
      </w:r>
      <w:r>
        <w:rPr>
          <w:rFonts w:hint="eastAsia" w:eastAsia="楷体"/>
          <w:b w:val="0"/>
          <w:bCs w:val="0"/>
          <w:spacing w:val="-4"/>
          <w:sz w:val="32"/>
          <w:szCs w:val="32"/>
        </w:rPr>
        <w:br w:type="textWrapping"/>
      </w:r>
      <w:r>
        <w:rPr>
          <w:rStyle w:val="19"/>
          <w:rFonts w:hint="eastAsia" w:eastAsia="楷体"/>
          <w:b w:val="0"/>
          <w:bCs w:val="0"/>
          <w:spacing w:val="-4"/>
          <w:sz w:val="32"/>
          <w:szCs w:val="32"/>
        </w:rPr>
        <w:t>②资金分配额度是否合理，与项目单位或地方实际是否相适应。</w:t>
      </w:r>
      <w:r>
        <w:rPr>
          <w:rFonts w:hint="eastAsia" w:eastAsia="楷体"/>
          <w:b w:val="0"/>
          <w:bCs w:val="0"/>
          <w:spacing w:val="-4"/>
          <w:sz w:val="32"/>
          <w:szCs w:val="32"/>
        </w:rPr>
        <w:br w:type="textWrapping"/>
      </w:r>
      <w:r>
        <w:rPr>
          <w:rStyle w:val="19"/>
          <w:rFonts w:hint="eastAsia" w:eastAsia="楷体"/>
          <w:b w:val="0"/>
          <w:bCs w:val="0"/>
          <w:spacing w:val="-4"/>
          <w:sz w:val="32"/>
          <w:szCs w:val="32"/>
        </w:rPr>
        <w:t>过程 资金管理 资金到位率 实际到位资金与预算资金的比率，用以反映和考核资金落实情况对项目实施的总体保障程度。 资金到位率=（实际到位资金/预算资金）×100%。</w:t>
      </w:r>
      <w:r>
        <w:rPr>
          <w:rFonts w:hint="eastAsia" w:eastAsia="楷体"/>
          <w:b w:val="0"/>
          <w:bCs w:val="0"/>
          <w:spacing w:val="-4"/>
          <w:sz w:val="32"/>
          <w:szCs w:val="32"/>
        </w:rPr>
        <w:br w:type="textWrapping"/>
      </w:r>
      <w:r>
        <w:rPr>
          <w:rStyle w:val="19"/>
          <w:rFonts w:hint="eastAsia" w:eastAsia="楷体"/>
          <w:b w:val="0"/>
          <w:bCs w:val="0"/>
          <w:spacing w:val="-4"/>
          <w:sz w:val="32"/>
          <w:szCs w:val="32"/>
        </w:rPr>
        <w:t>实际到位资金：一定时期（本年度或项目期）内落实到具体项目的资金。</w:t>
      </w:r>
      <w:r>
        <w:rPr>
          <w:rFonts w:hint="eastAsia" w:eastAsia="楷体"/>
          <w:b w:val="0"/>
          <w:bCs w:val="0"/>
          <w:spacing w:val="-4"/>
          <w:sz w:val="32"/>
          <w:szCs w:val="32"/>
        </w:rPr>
        <w:br w:type="textWrapping"/>
      </w:r>
      <w:r>
        <w:rPr>
          <w:rStyle w:val="19"/>
          <w:rFonts w:hint="eastAsia" w:eastAsia="楷体"/>
          <w:b w:val="0"/>
          <w:bCs w:val="0"/>
          <w:spacing w:val="-4"/>
          <w:sz w:val="32"/>
          <w:szCs w:val="32"/>
        </w:rPr>
        <w:t>预算资金：一定时期（本年度或项目期）内预算安排到具体项目的资金。</w:t>
      </w:r>
      <w:r>
        <w:rPr>
          <w:rFonts w:hint="eastAsia" w:eastAsia="楷体"/>
          <w:b w:val="0"/>
          <w:bCs w:val="0"/>
          <w:spacing w:val="-4"/>
          <w:sz w:val="32"/>
          <w:szCs w:val="32"/>
        </w:rPr>
        <w:br w:type="textWrapping"/>
      </w:r>
      <w:r>
        <w:rPr>
          <w:rStyle w:val="19"/>
          <w:rFonts w:hint="eastAsia" w:eastAsia="楷体"/>
          <w:b w:val="0"/>
          <w:bCs w:val="0"/>
          <w:spacing w:val="-4"/>
          <w:sz w:val="32"/>
          <w:szCs w:val="32"/>
        </w:rPr>
        <w:t>预算执行率 项目预算资金是否按照计划执行，用以反映或考核项目预算执行情况。 预算执行率=（实际支出资金/实际到位资金）×100%。</w:t>
      </w:r>
      <w:r>
        <w:rPr>
          <w:rFonts w:hint="eastAsia" w:eastAsia="楷体"/>
          <w:b w:val="0"/>
          <w:bCs w:val="0"/>
          <w:spacing w:val="-4"/>
          <w:sz w:val="32"/>
          <w:szCs w:val="32"/>
        </w:rPr>
        <w:br w:type="textWrapping"/>
      </w:r>
      <w:r>
        <w:rPr>
          <w:rStyle w:val="19"/>
          <w:rFonts w:hint="eastAsia" w:eastAsia="楷体"/>
          <w:b w:val="0"/>
          <w:bCs w:val="0"/>
          <w:spacing w:val="-4"/>
          <w:sz w:val="32"/>
          <w:szCs w:val="32"/>
        </w:rPr>
        <w:t>实际支出资金：一定时期（本年度或项目期）内项目实际拨付的资金。</w:t>
      </w:r>
      <w:r>
        <w:rPr>
          <w:rFonts w:hint="eastAsia" w:eastAsia="楷体"/>
          <w:b w:val="0"/>
          <w:bCs w:val="0"/>
          <w:spacing w:val="-4"/>
          <w:sz w:val="32"/>
          <w:szCs w:val="32"/>
        </w:rPr>
        <w:br w:type="textWrapping"/>
      </w:r>
      <w:r>
        <w:rPr>
          <w:rStyle w:val="19"/>
          <w:rFonts w:hint="eastAsia" w:eastAsia="楷体"/>
          <w:b w:val="0"/>
          <w:bCs w:val="0"/>
          <w:spacing w:val="-4"/>
          <w:sz w:val="32"/>
          <w:szCs w:val="32"/>
        </w:rPr>
        <w:t>过程 资金管理 资金使用</w:t>
      </w:r>
      <w:r>
        <w:rPr>
          <w:rFonts w:hint="eastAsia" w:eastAsia="楷体"/>
          <w:b w:val="0"/>
          <w:bCs w:val="0"/>
          <w:spacing w:val="-4"/>
          <w:sz w:val="32"/>
          <w:szCs w:val="32"/>
        </w:rPr>
        <w:br w:type="textWrapping"/>
      </w:r>
      <w:r>
        <w:rPr>
          <w:rStyle w:val="19"/>
          <w:rFonts w:hint="eastAsia" w:eastAsia="楷体"/>
          <w:b w:val="0"/>
          <w:bCs w:val="0"/>
          <w:spacing w:val="-4"/>
          <w:sz w:val="32"/>
          <w:szCs w:val="32"/>
        </w:rPr>
        <w:t>合规性 项目资金使用是否符合相关的财务管理制度规定，用以反映和考核项目资金的规范运行情况。 评价要点：</w:t>
      </w:r>
      <w:r>
        <w:rPr>
          <w:rFonts w:hint="eastAsia" w:eastAsia="楷体"/>
          <w:b w:val="0"/>
          <w:bCs w:val="0"/>
          <w:spacing w:val="-4"/>
          <w:sz w:val="32"/>
          <w:szCs w:val="32"/>
        </w:rPr>
        <w:br w:type="textWrapping"/>
      </w:r>
      <w:r>
        <w:rPr>
          <w:rStyle w:val="19"/>
          <w:rFonts w:hint="eastAsia" w:eastAsia="楷体"/>
          <w:b w:val="0"/>
          <w:bCs w:val="0"/>
          <w:spacing w:val="-4"/>
          <w:sz w:val="32"/>
          <w:szCs w:val="32"/>
        </w:rPr>
        <w:t>①是否符合国家财经法规和财务管理制度以及有关专项资金管理办法的规定；</w:t>
      </w:r>
      <w:r>
        <w:rPr>
          <w:rFonts w:hint="eastAsia" w:eastAsia="楷体"/>
          <w:b w:val="0"/>
          <w:bCs w:val="0"/>
          <w:spacing w:val="-4"/>
          <w:sz w:val="32"/>
          <w:szCs w:val="32"/>
        </w:rPr>
        <w:br w:type="textWrapping"/>
      </w:r>
      <w:r>
        <w:rPr>
          <w:rStyle w:val="19"/>
          <w:rFonts w:hint="eastAsia" w:eastAsia="楷体"/>
          <w:b w:val="0"/>
          <w:bCs w:val="0"/>
          <w:spacing w:val="-4"/>
          <w:sz w:val="32"/>
          <w:szCs w:val="32"/>
        </w:rPr>
        <w:t>②资金的拨付是否有完整的审批程序和手续；</w:t>
      </w:r>
      <w:r>
        <w:rPr>
          <w:rFonts w:hint="eastAsia" w:eastAsia="楷体"/>
          <w:b w:val="0"/>
          <w:bCs w:val="0"/>
          <w:spacing w:val="-4"/>
          <w:sz w:val="32"/>
          <w:szCs w:val="32"/>
        </w:rPr>
        <w:br w:type="textWrapping"/>
      </w:r>
      <w:r>
        <w:rPr>
          <w:rStyle w:val="19"/>
          <w:rFonts w:hint="eastAsia" w:eastAsia="楷体"/>
          <w:b w:val="0"/>
          <w:bCs w:val="0"/>
          <w:spacing w:val="-4"/>
          <w:sz w:val="32"/>
          <w:szCs w:val="32"/>
        </w:rPr>
        <w:t>③是否符合项目预算批复或合同规定的用途；</w:t>
      </w:r>
      <w:r>
        <w:rPr>
          <w:rFonts w:hint="eastAsia" w:eastAsia="楷体"/>
          <w:b w:val="0"/>
          <w:bCs w:val="0"/>
          <w:spacing w:val="-4"/>
          <w:sz w:val="32"/>
          <w:szCs w:val="32"/>
        </w:rPr>
        <w:br w:type="textWrapping"/>
      </w:r>
      <w:r>
        <w:rPr>
          <w:rStyle w:val="19"/>
          <w:rFonts w:hint="eastAsia" w:eastAsia="楷体"/>
          <w:b w:val="0"/>
          <w:bCs w:val="0"/>
          <w:spacing w:val="-4"/>
          <w:sz w:val="32"/>
          <w:szCs w:val="32"/>
        </w:rPr>
        <w:t>④是否存在截留、挤占、挪用、虚列支出等情况。</w:t>
      </w:r>
      <w:r>
        <w:rPr>
          <w:rFonts w:hint="eastAsia" w:eastAsia="楷体"/>
          <w:b w:val="0"/>
          <w:bCs w:val="0"/>
          <w:spacing w:val="-4"/>
          <w:sz w:val="32"/>
          <w:szCs w:val="32"/>
        </w:rPr>
        <w:br w:type="textWrapping"/>
      </w:r>
      <w:r>
        <w:rPr>
          <w:rStyle w:val="19"/>
          <w:rFonts w:hint="eastAsia" w:eastAsia="楷体"/>
          <w:b w:val="0"/>
          <w:bCs w:val="0"/>
          <w:spacing w:val="-4"/>
          <w:sz w:val="32"/>
          <w:szCs w:val="32"/>
        </w:rPr>
        <w:t>组织实施 管理制度</w:t>
      </w:r>
      <w:r>
        <w:rPr>
          <w:rFonts w:hint="eastAsia" w:eastAsia="楷体"/>
          <w:b w:val="0"/>
          <w:bCs w:val="0"/>
          <w:spacing w:val="-4"/>
          <w:sz w:val="32"/>
          <w:szCs w:val="32"/>
        </w:rPr>
        <w:br w:type="textWrapping"/>
      </w:r>
      <w:r>
        <w:rPr>
          <w:rStyle w:val="19"/>
          <w:rFonts w:hint="eastAsia" w:eastAsia="楷体"/>
          <w:b w:val="0"/>
          <w:bCs w:val="0"/>
          <w:spacing w:val="-4"/>
          <w:sz w:val="32"/>
          <w:szCs w:val="32"/>
        </w:rPr>
        <w:t>健全性 项目实施单位的财务和业务管理制度是否健全，用以反映和考核财务和业务管理制度对项目顺利实施的保障情况。 评价要点：</w:t>
      </w:r>
      <w:r>
        <w:rPr>
          <w:rFonts w:hint="eastAsia" w:eastAsia="楷体"/>
          <w:b w:val="0"/>
          <w:bCs w:val="0"/>
          <w:spacing w:val="-4"/>
          <w:sz w:val="32"/>
          <w:szCs w:val="32"/>
        </w:rPr>
        <w:br w:type="textWrapping"/>
      </w:r>
      <w:r>
        <w:rPr>
          <w:rStyle w:val="19"/>
          <w:rFonts w:hint="eastAsia" w:eastAsia="楷体"/>
          <w:b w:val="0"/>
          <w:bCs w:val="0"/>
          <w:spacing w:val="-4"/>
          <w:sz w:val="32"/>
          <w:szCs w:val="32"/>
        </w:rPr>
        <w:t>①是否已制定或具有相应的财务和业务管理制度；</w:t>
      </w:r>
      <w:r>
        <w:rPr>
          <w:rFonts w:hint="eastAsia" w:eastAsia="楷体"/>
          <w:b w:val="0"/>
          <w:bCs w:val="0"/>
          <w:spacing w:val="-4"/>
          <w:sz w:val="32"/>
          <w:szCs w:val="32"/>
        </w:rPr>
        <w:br w:type="textWrapping"/>
      </w:r>
      <w:r>
        <w:rPr>
          <w:rStyle w:val="19"/>
          <w:rFonts w:hint="eastAsia" w:eastAsia="楷体"/>
          <w:b w:val="0"/>
          <w:bCs w:val="0"/>
          <w:spacing w:val="-4"/>
          <w:sz w:val="32"/>
          <w:szCs w:val="32"/>
        </w:rPr>
        <w:t>②财务和业务管理制度是否合法、合规、完整。</w:t>
      </w:r>
      <w:r>
        <w:rPr>
          <w:rFonts w:hint="eastAsia" w:eastAsia="楷体"/>
          <w:b w:val="0"/>
          <w:bCs w:val="0"/>
          <w:spacing w:val="-4"/>
          <w:sz w:val="32"/>
          <w:szCs w:val="32"/>
        </w:rPr>
        <w:br w:type="textWrapping"/>
      </w:r>
      <w:r>
        <w:rPr>
          <w:rStyle w:val="19"/>
          <w:rFonts w:hint="eastAsia" w:eastAsia="楷体"/>
          <w:b w:val="0"/>
          <w:bCs w:val="0"/>
          <w:spacing w:val="-4"/>
          <w:sz w:val="32"/>
          <w:szCs w:val="32"/>
        </w:rPr>
        <w:t>制度执行</w:t>
      </w:r>
      <w:r>
        <w:rPr>
          <w:rFonts w:hint="eastAsia" w:eastAsia="楷体"/>
          <w:b w:val="0"/>
          <w:bCs w:val="0"/>
          <w:spacing w:val="-4"/>
          <w:sz w:val="32"/>
          <w:szCs w:val="32"/>
        </w:rPr>
        <w:br w:type="textWrapping"/>
      </w:r>
      <w:r>
        <w:rPr>
          <w:rStyle w:val="19"/>
          <w:rFonts w:hint="eastAsia" w:eastAsia="楷体"/>
          <w:b w:val="0"/>
          <w:bCs w:val="0"/>
          <w:spacing w:val="-4"/>
          <w:sz w:val="32"/>
          <w:szCs w:val="32"/>
        </w:rPr>
        <w:t>有效性 项目实施是否符合相关管理规定，用以反映和考核相关管理制度的有效执行情况。 评价要点：</w:t>
      </w:r>
      <w:r>
        <w:rPr>
          <w:rFonts w:hint="eastAsia" w:eastAsia="楷体"/>
          <w:b w:val="0"/>
          <w:bCs w:val="0"/>
          <w:spacing w:val="-4"/>
          <w:sz w:val="32"/>
          <w:szCs w:val="32"/>
        </w:rPr>
        <w:br w:type="textWrapping"/>
      </w:r>
      <w:r>
        <w:rPr>
          <w:rStyle w:val="19"/>
          <w:rFonts w:hint="eastAsia" w:eastAsia="楷体"/>
          <w:b w:val="0"/>
          <w:bCs w:val="0"/>
          <w:spacing w:val="-4"/>
          <w:sz w:val="32"/>
          <w:szCs w:val="32"/>
        </w:rPr>
        <w:t>①是否遵守相关法律法规和相关管理规定；</w:t>
      </w:r>
      <w:r>
        <w:rPr>
          <w:rFonts w:hint="eastAsia" w:eastAsia="楷体"/>
          <w:b w:val="0"/>
          <w:bCs w:val="0"/>
          <w:spacing w:val="-4"/>
          <w:sz w:val="32"/>
          <w:szCs w:val="32"/>
        </w:rPr>
        <w:br w:type="textWrapping"/>
      </w:r>
      <w:r>
        <w:rPr>
          <w:rStyle w:val="19"/>
          <w:rFonts w:hint="eastAsia" w:eastAsia="楷体"/>
          <w:b w:val="0"/>
          <w:bCs w:val="0"/>
          <w:spacing w:val="-4"/>
          <w:sz w:val="32"/>
          <w:szCs w:val="32"/>
        </w:rPr>
        <w:t>②项目调整及支出调整手续是否完备；</w:t>
      </w:r>
      <w:r>
        <w:rPr>
          <w:rFonts w:hint="eastAsia" w:eastAsia="楷体"/>
          <w:b w:val="0"/>
          <w:bCs w:val="0"/>
          <w:spacing w:val="-4"/>
          <w:sz w:val="32"/>
          <w:szCs w:val="32"/>
        </w:rPr>
        <w:br w:type="textWrapping"/>
      </w:r>
      <w:r>
        <w:rPr>
          <w:rStyle w:val="19"/>
          <w:rFonts w:hint="eastAsia" w:eastAsia="楷体"/>
          <w:b w:val="0"/>
          <w:bCs w:val="0"/>
          <w:spacing w:val="-4"/>
          <w:sz w:val="32"/>
          <w:szCs w:val="32"/>
        </w:rPr>
        <w:t>③项目合同书、验收报告、技术鉴定等资料是否齐全并及时归档；</w:t>
      </w:r>
      <w:r>
        <w:rPr>
          <w:rFonts w:hint="eastAsia" w:eastAsia="楷体"/>
          <w:b w:val="0"/>
          <w:bCs w:val="0"/>
          <w:spacing w:val="-4"/>
          <w:sz w:val="32"/>
          <w:szCs w:val="32"/>
        </w:rPr>
        <w:br w:type="textWrapping"/>
      </w:r>
      <w:r>
        <w:rPr>
          <w:rStyle w:val="19"/>
          <w:rFonts w:hint="eastAsia" w:eastAsia="楷体"/>
          <w:b w:val="0"/>
          <w:bCs w:val="0"/>
          <w:spacing w:val="-4"/>
          <w:sz w:val="32"/>
          <w:szCs w:val="32"/>
        </w:rPr>
        <w:t>④项目实施的人员条件、场地设备、信息支撑等是否落实到位。</w:t>
      </w:r>
      <w:r>
        <w:rPr>
          <w:rFonts w:hint="eastAsia" w:eastAsia="楷体"/>
          <w:b w:val="0"/>
          <w:bCs w:val="0"/>
          <w:spacing w:val="-4"/>
          <w:sz w:val="32"/>
          <w:szCs w:val="32"/>
        </w:rPr>
        <w:br w:type="textWrapping"/>
      </w:r>
      <w:r>
        <w:rPr>
          <w:rStyle w:val="19"/>
          <w:rFonts w:hint="eastAsia" w:eastAsia="楷体"/>
          <w:b w:val="0"/>
          <w:bCs w:val="0"/>
          <w:spacing w:val="-4"/>
          <w:sz w:val="32"/>
          <w:szCs w:val="32"/>
        </w:rPr>
        <w:t>产出 产出数量 支持建设高价值专利培育中心 项目实施的实际产出数与计划产出数的比率，用以反映和考核项目产出数量目标的实现程度。 实际完成率=（实际产出数/计划产出数）×100%。</w:t>
      </w:r>
      <w:r>
        <w:rPr>
          <w:rFonts w:hint="eastAsia" w:eastAsia="楷体"/>
          <w:b w:val="0"/>
          <w:bCs w:val="0"/>
          <w:spacing w:val="-4"/>
          <w:sz w:val="32"/>
          <w:szCs w:val="32"/>
        </w:rPr>
        <w:br w:type="textWrapping"/>
      </w:r>
      <w:r>
        <w:rPr>
          <w:rStyle w:val="19"/>
          <w:rFonts w:hint="eastAsia" w:eastAsia="楷体"/>
          <w:b w:val="0"/>
          <w:bCs w:val="0"/>
          <w:spacing w:val="-4"/>
          <w:sz w:val="32"/>
          <w:szCs w:val="32"/>
        </w:rPr>
        <w:t>实际产出数：一定时期（本年度或项目期）内项目实际产出的产品或提供的服务数量。</w:t>
      </w:r>
      <w:r>
        <w:rPr>
          <w:rFonts w:hint="eastAsia" w:eastAsia="楷体"/>
          <w:b w:val="0"/>
          <w:bCs w:val="0"/>
          <w:spacing w:val="-4"/>
          <w:sz w:val="32"/>
          <w:szCs w:val="32"/>
        </w:rPr>
        <w:br w:type="textWrapping"/>
      </w:r>
      <w:r>
        <w:rPr>
          <w:rStyle w:val="19"/>
          <w:rFonts w:hint="eastAsia" w:eastAsia="楷体"/>
          <w:b w:val="0"/>
          <w:bCs w:val="0"/>
          <w:spacing w:val="-4"/>
          <w:sz w:val="32"/>
          <w:szCs w:val="32"/>
        </w:rPr>
        <w:t>计划产出数：项目绩效目标确定的在一定时期（本年度或项目期）内计划产出的产品或提供的服务数量。</w:t>
      </w:r>
      <w:r>
        <w:rPr>
          <w:rFonts w:hint="eastAsia" w:eastAsia="楷体"/>
          <w:b w:val="0"/>
          <w:bCs w:val="0"/>
          <w:spacing w:val="-4"/>
          <w:sz w:val="32"/>
          <w:szCs w:val="32"/>
        </w:rPr>
        <w:br w:type="textWrapping"/>
      </w:r>
      <w:r>
        <w:rPr>
          <w:rStyle w:val="19"/>
          <w:rFonts w:hint="eastAsia" w:eastAsia="楷体"/>
          <w:b w:val="0"/>
          <w:bCs w:val="0"/>
          <w:spacing w:val="-4"/>
          <w:sz w:val="32"/>
          <w:szCs w:val="32"/>
        </w:rPr>
        <w:t>高价值专利转移转化协同中心</w:t>
      </w:r>
      <w:r>
        <w:rPr>
          <w:rFonts w:hint="eastAsia" w:eastAsia="楷体"/>
          <w:b w:val="0"/>
          <w:bCs w:val="0"/>
          <w:spacing w:val="-4"/>
          <w:sz w:val="32"/>
          <w:szCs w:val="32"/>
        </w:rPr>
        <w:br w:type="textWrapping"/>
      </w:r>
      <w:r>
        <w:rPr>
          <w:rStyle w:val="19"/>
          <w:rFonts w:hint="eastAsia" w:eastAsia="楷体"/>
          <w:b w:val="0"/>
          <w:bCs w:val="0"/>
          <w:spacing w:val="-4"/>
          <w:sz w:val="32"/>
          <w:szCs w:val="32"/>
        </w:rPr>
        <w:t>建设知识产权运营服务平台</w:t>
      </w:r>
      <w:r>
        <w:rPr>
          <w:rFonts w:hint="eastAsia" w:eastAsia="楷体"/>
          <w:b w:val="0"/>
          <w:bCs w:val="0"/>
          <w:spacing w:val="-4"/>
          <w:sz w:val="32"/>
          <w:szCs w:val="32"/>
        </w:rPr>
        <w:br w:type="textWrapping"/>
      </w:r>
      <w:r>
        <w:rPr>
          <w:rStyle w:val="19"/>
          <w:rFonts w:hint="eastAsia" w:eastAsia="楷体"/>
          <w:b w:val="0"/>
          <w:bCs w:val="0"/>
          <w:spacing w:val="-4"/>
          <w:sz w:val="32"/>
          <w:szCs w:val="32"/>
        </w:rPr>
        <w:t>产出 产出质量 申报类项目开展绩效评价覆盖率 项目完成的质量达标产出数与实际产出数的比率，用以反映和考核项目产出质量目标的实现程度。 质量达标率=（质量达标产出数/实际产出数）×100%。</w:t>
      </w:r>
      <w:r>
        <w:rPr>
          <w:rFonts w:hint="eastAsia" w:eastAsia="楷体"/>
          <w:b w:val="0"/>
          <w:bCs w:val="0"/>
          <w:spacing w:val="-4"/>
          <w:sz w:val="32"/>
          <w:szCs w:val="32"/>
        </w:rPr>
        <w:br w:type="textWrapping"/>
      </w:r>
      <w:r>
        <w:rPr>
          <w:rStyle w:val="19"/>
          <w:rFonts w:hint="eastAsia" w:eastAsia="楷体"/>
          <w:b w:val="0"/>
          <w:bCs w:val="0"/>
          <w:spacing w:val="-4"/>
          <w:sz w:val="32"/>
          <w:szCs w:val="32"/>
        </w:rPr>
        <w:t>质量达标产出数：一定时期（本年度或项目期）内实际达到既定质量标准的产品或服务数量。既定质量标准是指项目实施单位设立绩效目标时依据计划标准、行业标准、历史标准或其他标准而设定的绩效指标值。</w:t>
      </w:r>
      <w:r>
        <w:rPr>
          <w:rFonts w:hint="eastAsia" w:eastAsia="楷体"/>
          <w:b w:val="0"/>
          <w:bCs w:val="0"/>
          <w:spacing w:val="-4"/>
          <w:sz w:val="32"/>
          <w:szCs w:val="32"/>
        </w:rPr>
        <w:br w:type="textWrapping"/>
      </w:r>
      <w:r>
        <w:rPr>
          <w:rStyle w:val="19"/>
          <w:rFonts w:hint="eastAsia" w:eastAsia="楷体"/>
          <w:b w:val="0"/>
          <w:bCs w:val="0"/>
          <w:spacing w:val="-4"/>
          <w:sz w:val="32"/>
          <w:szCs w:val="32"/>
        </w:rPr>
        <w:t>产出时效 资金使用完成时间 项目实际完成时间与计划完成时间的比较，用以反映和考核项目产出时效目标的实现程度。 实际完成时间：项目实施单位完成该项目实际所耗用的时间。</w:t>
      </w:r>
      <w:r>
        <w:rPr>
          <w:rFonts w:hint="eastAsia" w:eastAsia="楷体"/>
          <w:b w:val="0"/>
          <w:bCs w:val="0"/>
          <w:spacing w:val="-4"/>
          <w:sz w:val="32"/>
          <w:szCs w:val="32"/>
        </w:rPr>
        <w:br w:type="textWrapping"/>
      </w:r>
      <w:r>
        <w:rPr>
          <w:rStyle w:val="19"/>
          <w:rFonts w:hint="eastAsia" w:eastAsia="楷体"/>
          <w:b w:val="0"/>
          <w:bCs w:val="0"/>
          <w:spacing w:val="-4"/>
          <w:sz w:val="32"/>
          <w:szCs w:val="32"/>
        </w:rPr>
        <w:t>计划完成时间：按照项目实施计划或相关规定完成该项目所需的时间。</w:t>
      </w:r>
      <w:r>
        <w:rPr>
          <w:rFonts w:hint="eastAsia" w:eastAsia="楷体"/>
          <w:b w:val="0"/>
          <w:bCs w:val="0"/>
          <w:spacing w:val="-4"/>
          <w:sz w:val="32"/>
          <w:szCs w:val="32"/>
        </w:rPr>
        <w:br w:type="textWrapping"/>
      </w:r>
      <w:r>
        <w:rPr>
          <w:rStyle w:val="19"/>
          <w:rFonts w:hint="eastAsia" w:eastAsia="楷体"/>
          <w:b w:val="0"/>
          <w:bCs w:val="0"/>
          <w:spacing w:val="-4"/>
          <w:sz w:val="32"/>
          <w:szCs w:val="32"/>
        </w:rPr>
        <w:t>产出成本 经济成本完成情况 完成项目计划工作目标的实际节约成本与计划成本的比率，用以反映和考核项目的成本节约程度。</w:t>
      </w:r>
      <w:r>
        <w:rPr>
          <w:rFonts w:hint="eastAsia" w:eastAsia="楷体"/>
          <w:b w:val="0"/>
          <w:bCs w:val="0"/>
          <w:spacing w:val="-4"/>
          <w:sz w:val="32"/>
          <w:szCs w:val="32"/>
        </w:rPr>
        <w:br w:type="textWrapping"/>
      </w:r>
      <w:r>
        <w:rPr>
          <w:rStyle w:val="19"/>
          <w:rFonts w:hint="eastAsia" w:eastAsia="楷体"/>
          <w:b w:val="0"/>
          <w:bCs w:val="0"/>
          <w:spacing w:val="-4"/>
          <w:sz w:val="32"/>
          <w:szCs w:val="32"/>
        </w:rPr>
        <w:t>成本超支率=实际支付金额/预算金额×100%。</w:t>
      </w:r>
      <w:r>
        <w:rPr>
          <w:rFonts w:hint="eastAsia" w:eastAsia="楷体"/>
          <w:b w:val="0"/>
          <w:bCs w:val="0"/>
          <w:spacing w:val="-4"/>
          <w:sz w:val="32"/>
          <w:szCs w:val="32"/>
        </w:rPr>
        <w:br w:type="textWrapping"/>
      </w:r>
      <w:r>
        <w:rPr>
          <w:rStyle w:val="19"/>
          <w:rFonts w:hint="eastAsia" w:eastAsia="楷体"/>
          <w:b w:val="0"/>
          <w:bCs w:val="0"/>
          <w:spacing w:val="-4"/>
          <w:sz w:val="32"/>
          <w:szCs w:val="32"/>
        </w:rPr>
        <w:t>预算金额：年初对项目支出作出的预算</w:t>
      </w:r>
      <w:r>
        <w:rPr>
          <w:rFonts w:hint="eastAsia" w:eastAsia="楷体"/>
          <w:b w:val="0"/>
          <w:bCs w:val="0"/>
          <w:spacing w:val="-4"/>
          <w:sz w:val="32"/>
          <w:szCs w:val="32"/>
        </w:rPr>
        <w:br w:type="textWrapping"/>
      </w:r>
      <w:r>
        <w:rPr>
          <w:rStyle w:val="19"/>
          <w:rFonts w:hint="eastAsia" w:eastAsia="楷体"/>
          <w:b w:val="0"/>
          <w:bCs w:val="0"/>
          <w:spacing w:val="-4"/>
          <w:sz w:val="32"/>
          <w:szCs w:val="32"/>
        </w:rPr>
        <w:t>实际支付金额：按照合同任务书及项目实施进度实际支付的金额。。</w:t>
      </w:r>
      <w:r>
        <w:rPr>
          <w:rFonts w:hint="eastAsia" w:eastAsia="楷体"/>
          <w:b w:val="0"/>
          <w:bCs w:val="0"/>
          <w:spacing w:val="-4"/>
          <w:sz w:val="32"/>
          <w:szCs w:val="32"/>
        </w:rPr>
        <w:br w:type="textWrapping"/>
      </w:r>
      <w:r>
        <w:rPr>
          <w:rStyle w:val="19"/>
          <w:rFonts w:hint="eastAsia" w:eastAsia="楷体"/>
          <w:b w:val="0"/>
          <w:bCs w:val="0"/>
          <w:spacing w:val="-4"/>
          <w:sz w:val="32"/>
          <w:szCs w:val="32"/>
        </w:rPr>
        <w:t>效益 社会效益指标 知识产权发展水平（年有效发明专利增长率） 项目实施所产生的效益。 项目实施所产生的社会效益、经济效益、生态效益、可持续影响等。可根据项目实际情况有选择地设置和细化。</w:t>
      </w:r>
      <w:r>
        <w:rPr>
          <w:rFonts w:hint="eastAsia" w:eastAsia="楷体"/>
          <w:b w:val="0"/>
          <w:bCs w:val="0"/>
          <w:spacing w:val="-4"/>
          <w:sz w:val="32"/>
          <w:szCs w:val="32"/>
        </w:rPr>
        <w:br w:type="textWrapping"/>
      </w:r>
      <w:r>
        <w:rPr>
          <w:rStyle w:val="19"/>
          <w:rFonts w:hint="eastAsia" w:eastAsia="楷体"/>
          <w:b w:val="0"/>
          <w:bCs w:val="0"/>
          <w:spacing w:val="-4"/>
          <w:sz w:val="32"/>
          <w:szCs w:val="32"/>
        </w:rPr>
        <w:t>知识产权运营服务平台注册企业及个人  项目实施所产生的社会效益、经济效益、生态效益、可持续影响等。可根据项目实际情况有选择地设置和细化。</w:t>
      </w:r>
      <w:r>
        <w:rPr>
          <w:rFonts w:hint="eastAsia" w:eastAsia="楷体"/>
          <w:b w:val="0"/>
          <w:bCs w:val="0"/>
          <w:spacing w:val="-4"/>
          <w:sz w:val="32"/>
          <w:szCs w:val="32"/>
        </w:rPr>
        <w:br w:type="textWrapping"/>
      </w:r>
      <w:r>
        <w:rPr>
          <w:rStyle w:val="19"/>
          <w:rFonts w:hint="eastAsia" w:eastAsia="楷体"/>
          <w:b w:val="0"/>
          <w:bCs w:val="0"/>
          <w:spacing w:val="-4"/>
          <w:sz w:val="32"/>
          <w:szCs w:val="32"/>
        </w:rPr>
        <w:t>满意度指标完成情况分析 满意度指标 项目承担单位满意度 社会公众或服务对象对项目实施效果的满意程度。 社会公众或服务对象是指因该项目实施而受到影响的部门（单位）、群体或个人。一般采取社会调查的方式。</w:t>
      </w:r>
      <w:r>
        <w:rPr>
          <w:rFonts w:hint="eastAsia" w:eastAsia="楷体"/>
          <w:b w:val="0"/>
          <w:bCs w:val="0"/>
          <w:spacing w:val="-4"/>
          <w:sz w:val="32"/>
          <w:szCs w:val="32"/>
        </w:rPr>
        <w:br w:type="textWrapping"/>
      </w:r>
      <w:r>
        <w:rPr>
          <w:rStyle w:val="19"/>
          <w:rFonts w:hint="eastAsia" w:eastAsia="楷体"/>
          <w:b w:val="0"/>
          <w:bCs w:val="0"/>
          <w:spacing w:val="-4"/>
          <w:sz w:val="32"/>
          <w:szCs w:val="32"/>
        </w:rPr>
        <w:t xml:space="preserve"> </w:t>
      </w:r>
      <w:r>
        <w:rPr>
          <w:rFonts w:hint="eastAsia" w:eastAsia="楷体"/>
          <w:b w:val="0"/>
          <w:bCs w:val="0"/>
          <w:spacing w:val="-4"/>
          <w:sz w:val="32"/>
          <w:szCs w:val="32"/>
        </w:rPr>
        <w:br w:type="textWrapping"/>
      </w:r>
      <w:r>
        <w:rPr>
          <w:rStyle w:val="19"/>
          <w:rFonts w:hint="eastAsia" w:eastAsia="楷体"/>
          <w:b w:val="0"/>
          <w:bCs w:val="0"/>
          <w:spacing w:val="-4"/>
          <w:sz w:val="32"/>
          <w:szCs w:val="32"/>
        </w:rPr>
        <w:t xml:space="preserve"> </w:t>
      </w:r>
      <w:r>
        <w:rPr>
          <w:rFonts w:hint="eastAsia" w:eastAsia="楷体"/>
          <w:b w:val="0"/>
          <w:bCs w:val="0"/>
          <w:spacing w:val="-4"/>
          <w:sz w:val="32"/>
          <w:szCs w:val="32"/>
        </w:rPr>
        <w:br w:type="textWrapping"/>
      </w:r>
      <w:r>
        <w:rPr>
          <w:rStyle w:val="19"/>
          <w:rFonts w:hint="eastAsia" w:eastAsia="楷体"/>
          <w:b w:val="0"/>
          <w:bCs w:val="0"/>
          <w:spacing w:val="-4"/>
          <w:sz w:val="32"/>
          <w:szCs w:val="32"/>
        </w:rPr>
        <w:t xml:space="preserve"> </w:t>
      </w:r>
      <w:r>
        <w:rPr>
          <w:rFonts w:hint="eastAsia" w:eastAsia="楷体"/>
          <w:b w:val="0"/>
          <w:bCs w:val="0"/>
          <w:spacing w:val="-4"/>
          <w:sz w:val="32"/>
          <w:szCs w:val="32"/>
        </w:rPr>
        <w:br w:type="textWrapping"/>
      </w:r>
      <w:r>
        <w:rPr>
          <w:rStyle w:val="19"/>
          <w:rFonts w:hint="eastAsia" w:eastAsia="楷体"/>
          <w:b w:val="0"/>
          <w:bCs w:val="0"/>
          <w:spacing w:val="-4"/>
          <w:sz w:val="32"/>
          <w:szCs w:val="32"/>
        </w:rPr>
        <w:t xml:space="preserve"> </w:t>
      </w:r>
      <w:r>
        <w:rPr>
          <w:rFonts w:hint="eastAsia" w:eastAsia="楷体"/>
          <w:b w:val="0"/>
          <w:bCs w:val="0"/>
          <w:spacing w:val="-4"/>
          <w:sz w:val="32"/>
          <w:szCs w:val="32"/>
        </w:rPr>
        <w:br w:type="textWrapping"/>
      </w:r>
      <w:r>
        <w:rPr>
          <w:rStyle w:val="19"/>
          <w:rFonts w:hint="eastAsia" w:eastAsia="楷体"/>
          <w:b w:val="0"/>
          <w:bCs w:val="0"/>
          <w:spacing w:val="-4"/>
          <w:sz w:val="32"/>
          <w:szCs w:val="32"/>
        </w:rPr>
        <w:t>3.评价方法</w:t>
      </w:r>
      <w:r>
        <w:rPr>
          <w:rFonts w:hint="eastAsia" w:eastAsia="楷体"/>
          <w:b w:val="0"/>
          <w:bCs w:val="0"/>
          <w:spacing w:val="-4"/>
          <w:sz w:val="32"/>
          <w:szCs w:val="32"/>
        </w:rPr>
        <w:br w:type="textWrapping"/>
      </w:r>
      <w:r>
        <w:rPr>
          <w:rStyle w:val="19"/>
          <w:rFonts w:hint="eastAsia" w:eastAsia="楷体"/>
          <w:b w:val="0"/>
          <w:bCs w:val="0"/>
          <w:spacing w:val="-4"/>
          <w:sz w:val="32"/>
          <w:szCs w:val="32"/>
        </w:rPr>
        <w:t>《关于印发&lt;项目支出绩效评价管理办法&gt;的通知》（财预〔2020〕10号）文件指出部门评价的方法主要包括成本效益分析法、比较法、因素分析法、最低成本法、公众评判法、标杆管理法等。</w:t>
      </w:r>
      <w:r>
        <w:rPr>
          <w:rFonts w:hint="eastAsia" w:eastAsia="楷体"/>
          <w:b w:val="0"/>
          <w:bCs w:val="0"/>
          <w:spacing w:val="-4"/>
          <w:sz w:val="32"/>
          <w:szCs w:val="32"/>
        </w:rPr>
        <w:br w:type="textWrapping"/>
      </w:r>
      <w:r>
        <w:rPr>
          <w:rStyle w:val="19"/>
          <w:rFonts w:hint="eastAsia" w:eastAsia="楷体"/>
          <w:b w:val="0"/>
          <w:bCs w:val="0"/>
          <w:spacing w:val="-4"/>
          <w:sz w:val="32"/>
          <w:szCs w:val="32"/>
        </w:rPr>
        <w:t>（1）成本效益分析法。是指将投入与产出、效益进行关联性分析的方法。</w:t>
      </w:r>
      <w:r>
        <w:rPr>
          <w:rFonts w:hint="eastAsia" w:eastAsia="楷体"/>
          <w:b w:val="0"/>
          <w:bCs w:val="0"/>
          <w:spacing w:val="-4"/>
          <w:sz w:val="32"/>
          <w:szCs w:val="32"/>
        </w:rPr>
        <w:br w:type="textWrapping"/>
      </w:r>
      <w:r>
        <w:rPr>
          <w:rStyle w:val="19"/>
          <w:rFonts w:hint="eastAsia" w:eastAsia="楷体"/>
          <w:b w:val="0"/>
          <w:bCs w:val="0"/>
          <w:spacing w:val="-4"/>
          <w:sz w:val="32"/>
          <w:szCs w:val="32"/>
        </w:rPr>
        <w:t>（2）比较法。是指将实施情况与绩效目标、历史情况、不同部门和地区同类支出情况进行比较的方法。</w:t>
      </w:r>
      <w:r>
        <w:rPr>
          <w:rFonts w:hint="eastAsia" w:eastAsia="楷体"/>
          <w:b w:val="0"/>
          <w:bCs w:val="0"/>
          <w:spacing w:val="-4"/>
          <w:sz w:val="32"/>
          <w:szCs w:val="32"/>
        </w:rPr>
        <w:br w:type="textWrapping"/>
      </w:r>
      <w:r>
        <w:rPr>
          <w:rStyle w:val="19"/>
          <w:rFonts w:hint="eastAsia" w:eastAsia="楷体"/>
          <w:b w:val="0"/>
          <w:bCs w:val="0"/>
          <w:spacing w:val="-4"/>
          <w:sz w:val="32"/>
          <w:szCs w:val="32"/>
        </w:rPr>
        <w:t>（3）因素分析法。是指综合分析影响绩效目标实现、实施效果的内外部因素的方法。</w:t>
      </w:r>
      <w:r>
        <w:rPr>
          <w:rFonts w:hint="eastAsia" w:eastAsia="楷体"/>
          <w:b w:val="0"/>
          <w:bCs w:val="0"/>
          <w:spacing w:val="-4"/>
          <w:sz w:val="32"/>
          <w:szCs w:val="32"/>
        </w:rPr>
        <w:br w:type="textWrapping"/>
      </w:r>
      <w:r>
        <w:rPr>
          <w:rStyle w:val="19"/>
          <w:rFonts w:hint="eastAsia" w:eastAsia="楷体"/>
          <w:b w:val="0"/>
          <w:bCs w:val="0"/>
          <w:spacing w:val="-4"/>
          <w:sz w:val="32"/>
          <w:szCs w:val="32"/>
        </w:rPr>
        <w:t>（4）最低成本法。是指在绩效目标确定的前提下，成本最小者为优的方法。</w:t>
      </w:r>
      <w:r>
        <w:rPr>
          <w:rFonts w:hint="eastAsia" w:eastAsia="楷体"/>
          <w:b w:val="0"/>
          <w:bCs w:val="0"/>
          <w:spacing w:val="-4"/>
          <w:sz w:val="32"/>
          <w:szCs w:val="32"/>
        </w:rPr>
        <w:br w:type="textWrapping"/>
      </w:r>
      <w:r>
        <w:rPr>
          <w:rStyle w:val="19"/>
          <w:rFonts w:hint="eastAsia" w:eastAsia="楷体"/>
          <w:b w:val="0"/>
          <w:bCs w:val="0"/>
          <w:spacing w:val="-4"/>
          <w:sz w:val="32"/>
          <w:szCs w:val="32"/>
        </w:rPr>
        <w:t>（5）公众评判法。是指通过专家评估、公众问卷及抽样调查等方式进行评判的方法。</w:t>
      </w:r>
      <w:r>
        <w:rPr>
          <w:rFonts w:hint="eastAsia" w:eastAsia="楷体"/>
          <w:b w:val="0"/>
          <w:bCs w:val="0"/>
          <w:spacing w:val="-4"/>
          <w:sz w:val="32"/>
          <w:szCs w:val="32"/>
        </w:rPr>
        <w:br w:type="textWrapping"/>
      </w:r>
      <w:r>
        <w:rPr>
          <w:rStyle w:val="19"/>
          <w:rFonts w:hint="eastAsia" w:eastAsia="楷体"/>
          <w:b w:val="0"/>
          <w:bCs w:val="0"/>
          <w:spacing w:val="-4"/>
          <w:sz w:val="32"/>
          <w:szCs w:val="32"/>
        </w:rPr>
        <w:t>（6）标杆管理法。是指以国内外同行业中较高的绩效水平为标杆进行评判的方法。</w:t>
      </w:r>
      <w:r>
        <w:rPr>
          <w:rFonts w:hint="eastAsia" w:eastAsia="楷体"/>
          <w:b w:val="0"/>
          <w:bCs w:val="0"/>
          <w:spacing w:val="-4"/>
          <w:sz w:val="32"/>
          <w:szCs w:val="32"/>
        </w:rPr>
        <w:br w:type="textWrapping"/>
      </w:r>
      <w:r>
        <w:rPr>
          <w:rStyle w:val="19"/>
          <w:rFonts w:hint="eastAsia" w:eastAsia="楷体"/>
          <w:b w:val="0"/>
          <w:bCs w:val="0"/>
          <w:spacing w:val="-4"/>
          <w:sz w:val="32"/>
          <w:szCs w:val="32"/>
        </w:rPr>
        <w:t>（7）其他评价方法。</w:t>
      </w:r>
      <w:r>
        <w:rPr>
          <w:rFonts w:hint="eastAsia" w:eastAsia="楷体"/>
          <w:b w:val="0"/>
          <w:bCs w:val="0"/>
          <w:spacing w:val="-4"/>
          <w:sz w:val="32"/>
          <w:szCs w:val="32"/>
        </w:rPr>
        <w:br w:type="textWrapping"/>
      </w:r>
      <w:r>
        <w:rPr>
          <w:rStyle w:val="19"/>
          <w:rFonts w:hint="eastAsia" w:eastAsia="楷体"/>
          <w:b w:val="0"/>
          <w:bCs w:val="0"/>
          <w:spacing w:val="-4"/>
          <w:sz w:val="32"/>
          <w:szCs w:val="32"/>
        </w:rPr>
        <w:t>根据本项目的特点，本次评价主要采用成本效益分析法、比较法，对项目总预算和明细预算的内容、标准、计划是否经济合理进行深入分析，以考察实际产出和效益是否达到预期。</w:t>
      </w:r>
      <w:r>
        <w:rPr>
          <w:rFonts w:hint="eastAsia" w:eastAsia="楷体"/>
          <w:b w:val="0"/>
          <w:bCs w:val="0"/>
          <w:spacing w:val="-4"/>
          <w:sz w:val="32"/>
          <w:szCs w:val="32"/>
        </w:rPr>
        <w:br w:type="textWrapping"/>
      </w:r>
      <w:r>
        <w:rPr>
          <w:rStyle w:val="19"/>
          <w:rFonts w:hint="eastAsia" w:eastAsia="楷体"/>
          <w:b w:val="0"/>
          <w:bCs w:val="0"/>
          <w:spacing w:val="-4"/>
          <w:sz w:val="32"/>
          <w:szCs w:val="32"/>
        </w:rPr>
        <w:t>4.评价标准</w:t>
      </w:r>
      <w:r>
        <w:rPr>
          <w:rFonts w:hint="eastAsia" w:eastAsia="楷体"/>
          <w:b w:val="0"/>
          <w:bCs w:val="0"/>
          <w:spacing w:val="-4"/>
          <w:sz w:val="32"/>
          <w:szCs w:val="32"/>
        </w:rPr>
        <w:br w:type="textWrapping"/>
      </w:r>
      <w:r>
        <w:rPr>
          <w:rStyle w:val="19"/>
          <w:rFonts w:hint="eastAsia" w:eastAsia="楷体"/>
          <w:b w:val="0"/>
          <w:bCs w:val="0"/>
          <w:spacing w:val="-4"/>
          <w:sz w:val="32"/>
          <w:szCs w:val="32"/>
        </w:rPr>
        <w:t>绩效评价标准主要包括计划标准、行业标准、历史标准等，用于对绩效指标完成情况进行比较。</w:t>
      </w:r>
      <w:r>
        <w:rPr>
          <w:rFonts w:hint="eastAsia" w:eastAsia="楷体"/>
          <w:b w:val="0"/>
          <w:bCs w:val="0"/>
          <w:spacing w:val="-4"/>
          <w:sz w:val="32"/>
          <w:szCs w:val="32"/>
        </w:rPr>
        <w:br w:type="textWrapping"/>
      </w:r>
      <w:r>
        <w:rPr>
          <w:rStyle w:val="19"/>
          <w:rFonts w:hint="eastAsia" w:eastAsia="楷体"/>
          <w:b w:val="0"/>
          <w:bCs w:val="0"/>
          <w:spacing w:val="-4"/>
          <w:sz w:val="32"/>
          <w:szCs w:val="32"/>
        </w:rPr>
        <w:t>（1）计划标准。指以预先制定的目标、计划、预算、定额等作为评价标准。</w:t>
      </w:r>
      <w:r>
        <w:rPr>
          <w:rFonts w:hint="eastAsia" w:eastAsia="楷体"/>
          <w:b w:val="0"/>
          <w:bCs w:val="0"/>
          <w:spacing w:val="-4"/>
          <w:sz w:val="32"/>
          <w:szCs w:val="32"/>
        </w:rPr>
        <w:br w:type="textWrapping"/>
      </w:r>
      <w:r>
        <w:rPr>
          <w:rStyle w:val="19"/>
          <w:rFonts w:hint="eastAsia" w:eastAsia="楷体"/>
          <w:b w:val="0"/>
          <w:bCs w:val="0"/>
          <w:spacing w:val="-4"/>
          <w:sz w:val="32"/>
          <w:szCs w:val="32"/>
        </w:rPr>
        <w:t>（2）行业标准。指参照国家公布的行业指标数据制定的评价标准。</w:t>
      </w:r>
      <w:r>
        <w:rPr>
          <w:rFonts w:hint="eastAsia" w:eastAsia="楷体"/>
          <w:b w:val="0"/>
          <w:bCs w:val="0"/>
          <w:spacing w:val="-4"/>
          <w:sz w:val="32"/>
          <w:szCs w:val="32"/>
        </w:rPr>
        <w:br w:type="textWrapping"/>
      </w:r>
      <w:r>
        <w:rPr>
          <w:rStyle w:val="19"/>
          <w:rFonts w:hint="eastAsia" w:eastAsia="楷体"/>
          <w:b w:val="0"/>
          <w:bCs w:val="0"/>
          <w:spacing w:val="-4"/>
          <w:sz w:val="32"/>
          <w:szCs w:val="32"/>
        </w:rPr>
        <w:t>（3）历史标准。指参照历史数据制定的评价标准，为体现绩效改进的原则，在可实现的条件下应当确定相对较高的评价标准。</w:t>
      </w:r>
      <w:r>
        <w:rPr>
          <w:rFonts w:hint="eastAsia" w:eastAsia="楷体"/>
          <w:b w:val="0"/>
          <w:bCs w:val="0"/>
          <w:spacing w:val="-4"/>
          <w:sz w:val="32"/>
          <w:szCs w:val="32"/>
        </w:rPr>
        <w:br w:type="textWrapping"/>
      </w:r>
      <w:r>
        <w:rPr>
          <w:rStyle w:val="19"/>
          <w:rFonts w:hint="eastAsia" w:eastAsia="楷体"/>
          <w:b w:val="0"/>
          <w:bCs w:val="0"/>
          <w:spacing w:val="-4"/>
          <w:sz w:val="32"/>
          <w:szCs w:val="32"/>
        </w:rPr>
        <w:t>在上述评价标准的基础上，本次评价依据以下文件为重要指导和准绳：</w:t>
      </w:r>
      <w:r>
        <w:rPr>
          <w:rFonts w:hint="eastAsia" w:eastAsia="楷体"/>
          <w:b w:val="0"/>
          <w:bCs w:val="0"/>
          <w:spacing w:val="-4"/>
          <w:sz w:val="32"/>
          <w:szCs w:val="32"/>
        </w:rPr>
        <w:br w:type="textWrapping"/>
      </w:r>
      <w:r>
        <w:rPr>
          <w:rStyle w:val="19"/>
          <w:rFonts w:hint="eastAsia" w:eastAsia="楷体"/>
          <w:b w:val="0"/>
          <w:bCs w:val="0"/>
          <w:spacing w:val="-4"/>
          <w:sz w:val="32"/>
          <w:szCs w:val="32"/>
        </w:rPr>
        <w:t>·《中共中央国务院关于全面实施预算绩效管理的意见》（中发〔2018〕34号）</w:t>
      </w:r>
      <w:r>
        <w:rPr>
          <w:rFonts w:hint="eastAsia" w:eastAsia="楷体"/>
          <w:b w:val="0"/>
          <w:bCs w:val="0"/>
          <w:spacing w:val="-4"/>
          <w:sz w:val="32"/>
          <w:szCs w:val="32"/>
        </w:rPr>
        <w:br w:type="textWrapping"/>
      </w:r>
      <w:r>
        <w:rPr>
          <w:rStyle w:val="19"/>
          <w:rFonts w:hint="eastAsia" w:eastAsia="楷体"/>
          <w:b w:val="0"/>
          <w:bCs w:val="0"/>
          <w:spacing w:val="-4"/>
          <w:sz w:val="32"/>
          <w:szCs w:val="32"/>
        </w:rPr>
        <w:t>·《关于印发&lt;乌鲁木齐市本级部门预算绩效目标管理暂行办法&gt;的通知》（乌财预〔2018〕56号）</w:t>
      </w:r>
      <w:r>
        <w:rPr>
          <w:rFonts w:hint="eastAsia" w:eastAsia="楷体"/>
          <w:b w:val="0"/>
          <w:bCs w:val="0"/>
          <w:spacing w:val="-4"/>
          <w:sz w:val="32"/>
          <w:szCs w:val="32"/>
        </w:rPr>
        <w:br w:type="textWrapping"/>
      </w:r>
      <w:r>
        <w:rPr>
          <w:rStyle w:val="19"/>
          <w:rFonts w:hint="eastAsia" w:eastAsia="楷体"/>
          <w:b w:val="0"/>
          <w:bCs w:val="0"/>
          <w:spacing w:val="-4"/>
          <w:sz w:val="32"/>
          <w:szCs w:val="32"/>
        </w:rPr>
        <w:t>·《关于做好2019年部门预算项目支出绩效目标管理有关事宜的通知》（乌财预〔2018〕76号）</w:t>
      </w:r>
      <w:r>
        <w:rPr>
          <w:rFonts w:hint="eastAsia" w:eastAsia="楷体"/>
          <w:b w:val="0"/>
          <w:bCs w:val="0"/>
          <w:spacing w:val="-4"/>
          <w:sz w:val="32"/>
          <w:szCs w:val="32"/>
        </w:rPr>
        <w:br w:type="textWrapping"/>
      </w:r>
      <w:r>
        <w:rPr>
          <w:rStyle w:val="19"/>
          <w:rFonts w:hint="eastAsia" w:eastAsia="楷体"/>
          <w:b w:val="0"/>
          <w:bCs w:val="0"/>
          <w:spacing w:val="-4"/>
          <w:sz w:val="32"/>
          <w:szCs w:val="32"/>
        </w:rPr>
        <w:t>·《项目支出绩效评价管理办法》（财预〔2020〕10号）</w:t>
      </w:r>
      <w:r>
        <w:rPr>
          <w:rFonts w:hint="eastAsia" w:eastAsia="楷体"/>
          <w:b w:val="0"/>
          <w:bCs w:val="0"/>
          <w:spacing w:val="-4"/>
          <w:sz w:val="32"/>
          <w:szCs w:val="32"/>
        </w:rPr>
        <w:br w:type="textWrapping"/>
      </w:r>
      <w:r>
        <w:rPr>
          <w:rStyle w:val="19"/>
          <w:rFonts w:hint="eastAsia" w:eastAsia="楷体"/>
          <w:b w:val="0"/>
          <w:bCs w:val="0"/>
          <w:spacing w:val="-4"/>
          <w:sz w:val="32"/>
          <w:szCs w:val="32"/>
        </w:rPr>
        <w:t>·《中共中央 国务院关于构建更加完善的要素市场化配置体制机制的意见》</w:t>
      </w:r>
      <w:r>
        <w:rPr>
          <w:rFonts w:hint="eastAsia" w:eastAsia="楷体"/>
          <w:b w:val="0"/>
          <w:bCs w:val="0"/>
          <w:spacing w:val="-4"/>
          <w:sz w:val="32"/>
          <w:szCs w:val="32"/>
        </w:rPr>
        <w:br w:type="textWrapping"/>
      </w:r>
      <w:r>
        <w:rPr>
          <w:rStyle w:val="19"/>
          <w:rFonts w:hint="eastAsia" w:eastAsia="楷体"/>
          <w:b w:val="0"/>
          <w:bCs w:val="0"/>
          <w:spacing w:val="-4"/>
          <w:sz w:val="32"/>
          <w:szCs w:val="32"/>
        </w:rPr>
        <w:t>·《国务院关于新形势下加快知识产权强国建设的若干意见》(国发〔2015〕71号)</w:t>
      </w:r>
      <w:r>
        <w:rPr>
          <w:rFonts w:hint="eastAsia" w:eastAsia="楷体"/>
          <w:b w:val="0"/>
          <w:bCs w:val="0"/>
          <w:spacing w:val="-4"/>
          <w:sz w:val="32"/>
          <w:szCs w:val="32"/>
        </w:rPr>
        <w:br w:type="textWrapping"/>
      </w:r>
      <w:r>
        <w:rPr>
          <w:rStyle w:val="19"/>
          <w:rFonts w:hint="eastAsia" w:eastAsia="楷体"/>
          <w:b w:val="0"/>
          <w:bCs w:val="0"/>
          <w:spacing w:val="-4"/>
          <w:sz w:val="32"/>
          <w:szCs w:val="32"/>
        </w:rPr>
        <w:t>·《国务院关于印发“十三五”国家知识产权保护和运用规划的通知》(国发〔2016〕86号)</w:t>
      </w:r>
      <w:r>
        <w:rPr>
          <w:rFonts w:hint="eastAsia" w:eastAsia="楷体"/>
          <w:b w:val="0"/>
          <w:bCs w:val="0"/>
          <w:spacing w:val="-4"/>
          <w:sz w:val="32"/>
          <w:szCs w:val="32"/>
        </w:rPr>
        <w:br w:type="textWrapping"/>
      </w:r>
      <w:r>
        <w:rPr>
          <w:rStyle w:val="19"/>
          <w:rFonts w:hint="eastAsia" w:eastAsia="楷体"/>
          <w:b w:val="0"/>
          <w:bCs w:val="0"/>
          <w:spacing w:val="-4"/>
          <w:sz w:val="32"/>
          <w:szCs w:val="32"/>
        </w:rPr>
        <w:t>·财政部办公厅、国家知识产权局办公室《关于开展2020年知识产权运营服务体系建设工作的通知》(财办建〔2020〕40号）</w:t>
      </w:r>
      <w:r>
        <w:rPr>
          <w:rFonts w:hint="eastAsia" w:eastAsia="楷体"/>
          <w:b w:val="0"/>
          <w:bCs w:val="0"/>
          <w:spacing w:val="-4"/>
          <w:sz w:val="32"/>
          <w:szCs w:val="32"/>
        </w:rPr>
        <w:br w:type="textWrapping"/>
      </w:r>
      <w:r>
        <w:rPr>
          <w:rStyle w:val="19"/>
          <w:rFonts w:hint="eastAsia" w:eastAsia="楷体"/>
          <w:b w:val="0"/>
          <w:bCs w:val="0"/>
          <w:spacing w:val="-4"/>
          <w:sz w:val="32"/>
          <w:szCs w:val="32"/>
        </w:rPr>
        <w:t>·《关于印发乌鲁木齐市知识产权运营服务体系建设实施方案的通知》(乌政发〔2020〕159号)</w:t>
      </w:r>
      <w:r>
        <w:rPr>
          <w:rFonts w:hint="eastAsia" w:eastAsia="楷体"/>
          <w:b w:val="0"/>
          <w:bCs w:val="0"/>
          <w:spacing w:val="-4"/>
          <w:sz w:val="32"/>
          <w:szCs w:val="32"/>
        </w:rPr>
        <w:br w:type="textWrapping"/>
      </w:r>
      <w:r>
        <w:rPr>
          <w:rStyle w:val="19"/>
          <w:rFonts w:hint="eastAsia" w:eastAsia="楷体"/>
          <w:b w:val="0"/>
          <w:bCs w:val="0"/>
          <w:spacing w:val="-4"/>
          <w:sz w:val="32"/>
          <w:szCs w:val="32"/>
        </w:rPr>
        <w:t>·《乌鲁木齐市知识产权运营服务体系建设专项资金管理办法》（乌市监〔2021〕21号）</w:t>
      </w:r>
      <w:r>
        <w:rPr>
          <w:rFonts w:hint="eastAsia" w:eastAsia="楷体"/>
          <w:b w:val="0"/>
          <w:bCs w:val="0"/>
          <w:spacing w:val="-4"/>
          <w:sz w:val="32"/>
          <w:szCs w:val="32"/>
        </w:rPr>
        <w:br w:type="textWrapping"/>
      </w:r>
      <w:r>
        <w:rPr>
          <w:rStyle w:val="19"/>
          <w:rFonts w:hint="eastAsia" w:eastAsia="楷体"/>
          <w:b w:val="0"/>
          <w:bCs w:val="0"/>
          <w:spacing w:val="-4"/>
          <w:sz w:val="32"/>
          <w:szCs w:val="32"/>
        </w:rPr>
        <w:t>·《关于拨付市市场监督管理局知识产权运营服务体系建设经费的通知》（乌财行〔2024〕17号）</w:t>
      </w:r>
    </w:p>
    <w:p w14:paraId="18143FC0">
      <w:pPr>
        <w:spacing w:line="540" w:lineRule="exact"/>
        <w:ind w:firstLine="627" w:firstLineChars="200"/>
        <w:rPr>
          <w:rStyle w:val="19"/>
          <w:rFonts w:ascii="楷体" w:hAnsi="楷体" w:eastAsia="楷体"/>
          <w:spacing w:val="-4"/>
          <w:sz w:val="32"/>
          <w:szCs w:val="32"/>
        </w:rPr>
      </w:pPr>
      <w:r>
        <w:rPr>
          <w:rStyle w:val="19"/>
          <w:rFonts w:hint="eastAsia" w:ascii="楷体" w:hAnsi="楷体" w:eastAsia="楷体"/>
          <w:spacing w:val="-4"/>
          <w:sz w:val="32"/>
          <w:szCs w:val="32"/>
        </w:rPr>
        <w:t>（三）绩效评价工作过程</w:t>
      </w:r>
    </w:p>
    <w:p w14:paraId="3531A5A5">
      <w:pPr>
        <w:spacing w:line="540" w:lineRule="exact"/>
        <w:ind w:firstLine="624" w:firstLineChars="200"/>
        <w:rPr>
          <w:rStyle w:val="19"/>
          <w:rFonts w:eastAsia="楷体"/>
          <w:b w:val="0"/>
          <w:bCs w:val="0"/>
          <w:spacing w:val="-4"/>
          <w:sz w:val="32"/>
          <w:szCs w:val="32"/>
        </w:rPr>
      </w:pPr>
      <w:r>
        <w:rPr>
          <w:rStyle w:val="19"/>
          <w:rFonts w:hint="eastAsia" w:eastAsia="楷体"/>
          <w:b w:val="0"/>
          <w:bCs w:val="0"/>
          <w:spacing w:val="-4"/>
          <w:sz w:val="32"/>
          <w:szCs w:val="32"/>
        </w:rPr>
        <w:t>（三）绩效评价工作过程</w:t>
      </w:r>
      <w:r>
        <w:rPr>
          <w:rFonts w:hint="eastAsia" w:eastAsia="楷体"/>
          <w:b w:val="0"/>
          <w:bCs w:val="0"/>
          <w:spacing w:val="-4"/>
          <w:sz w:val="32"/>
          <w:szCs w:val="32"/>
        </w:rPr>
        <w:br w:type="textWrapping"/>
      </w:r>
      <w:r>
        <w:rPr>
          <w:rStyle w:val="19"/>
          <w:rFonts w:hint="eastAsia" w:eastAsia="楷体"/>
          <w:b w:val="0"/>
          <w:bCs w:val="0"/>
          <w:spacing w:val="-4"/>
          <w:sz w:val="32"/>
          <w:szCs w:val="32"/>
        </w:rPr>
        <w:t>评价小组根据项目绩效目标，查阅有关佐证资料，结合现场抽样调查及延伸评价等方式开展此次评价，重点关注和评价项目预算和绩效目标的匹配情况、项目资金的管理和使用情况、项目实施和监督情况（包括但不限于项目立项、制度执行、质量达标、完成时效等）以及项目产生的实际效益等。具体而言，通过前期准备[ 前期准备主要包括实地调研和认真研读相关文件，根据绩效评价的基本原理、原则和项目特点，结合项目绩效目标，项目绩效评组制定了评价指标体系、评分标准、评价方法和相关的工作程序及步骤，形成评价初步方案。]、材料审核分析、现场核查评价、综合分析评价及报告撰写，评价项目实施情况，展现资金使用效益。</w:t>
      </w:r>
    </w:p>
    <w:p w14:paraId="4E5B5333">
      <w:pPr>
        <w:spacing w:line="540" w:lineRule="exact"/>
        <w:ind w:firstLine="624" w:firstLineChars="200"/>
        <w:rPr>
          <w:rStyle w:val="19"/>
          <w:rFonts w:ascii="黑体" w:hAnsi="黑体" w:eastAsia="黑体"/>
          <w:b w:val="0"/>
          <w:spacing w:val="-4"/>
          <w:sz w:val="32"/>
          <w:szCs w:val="32"/>
        </w:rPr>
      </w:pPr>
      <w:r>
        <w:rPr>
          <w:rStyle w:val="19"/>
          <w:rFonts w:hint="eastAsia" w:ascii="黑体" w:hAnsi="黑体" w:eastAsia="黑体"/>
          <w:b w:val="0"/>
          <w:spacing w:val="-4"/>
          <w:sz w:val="32"/>
          <w:szCs w:val="32"/>
        </w:rPr>
        <w:t>三、综合评价情况及评价结论</w:t>
      </w:r>
    </w:p>
    <w:p w14:paraId="15CC3DC2">
      <w:pPr>
        <w:spacing w:line="540" w:lineRule="exact"/>
        <w:ind w:firstLine="624" w:firstLineChars="200"/>
        <w:rPr>
          <w:rStyle w:val="19"/>
          <w:rFonts w:eastAsia="楷体"/>
          <w:b w:val="0"/>
          <w:bCs w:val="0"/>
          <w:spacing w:val="-4"/>
          <w:sz w:val="32"/>
          <w:szCs w:val="32"/>
        </w:rPr>
      </w:pPr>
      <w:r>
        <w:rPr>
          <w:rStyle w:val="19"/>
          <w:rFonts w:hint="eastAsia" w:eastAsia="楷体"/>
          <w:b w:val="0"/>
          <w:bCs w:val="0"/>
          <w:spacing w:val="-4"/>
          <w:sz w:val="32"/>
          <w:szCs w:val="32"/>
        </w:rPr>
        <w:t>三、综合评价情况及评价结论</w:t>
      </w:r>
      <w:r>
        <w:rPr>
          <w:rFonts w:hint="eastAsia" w:eastAsia="楷体"/>
          <w:b w:val="0"/>
          <w:bCs w:val="0"/>
          <w:spacing w:val="-4"/>
          <w:sz w:val="32"/>
          <w:szCs w:val="32"/>
        </w:rPr>
        <w:br w:type="textWrapping"/>
      </w:r>
      <w:r>
        <w:rPr>
          <w:rStyle w:val="19"/>
          <w:rFonts w:hint="eastAsia" w:eastAsia="楷体"/>
          <w:b w:val="0"/>
          <w:bCs w:val="0"/>
          <w:spacing w:val="-4"/>
          <w:sz w:val="32"/>
          <w:szCs w:val="32"/>
        </w:rPr>
        <w:t>（一）评价结论</w:t>
      </w:r>
      <w:r>
        <w:rPr>
          <w:rFonts w:hint="eastAsia" w:eastAsia="楷体"/>
          <w:b w:val="0"/>
          <w:bCs w:val="0"/>
          <w:spacing w:val="-4"/>
          <w:sz w:val="32"/>
          <w:szCs w:val="32"/>
        </w:rPr>
        <w:br w:type="textWrapping"/>
      </w:r>
      <w:r>
        <w:rPr>
          <w:rStyle w:val="19"/>
          <w:rFonts w:hint="eastAsia" w:eastAsia="楷体"/>
          <w:b w:val="0"/>
          <w:bCs w:val="0"/>
          <w:spacing w:val="-4"/>
          <w:sz w:val="32"/>
          <w:szCs w:val="32"/>
        </w:rPr>
        <w:t>结合项目特点，制定符合项目实际的绩效评价指标体系及评分标准，通过数据采集、问卷调查及访谈等形式，对2024年知识产权运营服务体系建设进行客观评价，最终评分结果为：总分为99.96分，绩效评级为“优”[本次绩效评价结果实施百分制和四级分类，其中90（含）-100分为优、80（含）-90分为良、70（含）-80分为中、70分以下为差。]。</w:t>
      </w:r>
      <w:r>
        <w:rPr>
          <w:rFonts w:hint="eastAsia" w:eastAsia="楷体"/>
          <w:b w:val="0"/>
          <w:bCs w:val="0"/>
          <w:spacing w:val="-4"/>
          <w:sz w:val="32"/>
          <w:szCs w:val="32"/>
        </w:rPr>
        <w:br w:type="textWrapping"/>
      </w:r>
      <w:r>
        <w:rPr>
          <w:rStyle w:val="19"/>
          <w:rFonts w:hint="eastAsia" w:eastAsia="楷体"/>
          <w:b w:val="0"/>
          <w:bCs w:val="0"/>
          <w:spacing w:val="-4"/>
          <w:sz w:val="32"/>
          <w:szCs w:val="32"/>
        </w:rPr>
        <w:t>项目各部分权重和绩效分值如附表所示：</w:t>
      </w:r>
      <w:r>
        <w:rPr>
          <w:rFonts w:hint="eastAsia" w:eastAsia="楷体"/>
          <w:b w:val="0"/>
          <w:bCs w:val="0"/>
          <w:spacing w:val="-4"/>
          <w:sz w:val="32"/>
          <w:szCs w:val="32"/>
        </w:rPr>
        <w:br w:type="textWrapping"/>
      </w:r>
      <w:r>
        <w:rPr>
          <w:rStyle w:val="19"/>
          <w:rFonts w:hint="eastAsia" w:eastAsia="楷体"/>
          <w:b w:val="0"/>
          <w:bCs w:val="0"/>
          <w:spacing w:val="-4"/>
          <w:sz w:val="32"/>
          <w:szCs w:val="32"/>
        </w:rPr>
        <w:t xml:space="preserve">  项目各部分权重和绩效分值 </w:t>
      </w:r>
      <w:r>
        <w:rPr>
          <w:rFonts w:hint="eastAsia" w:eastAsia="楷体"/>
          <w:b w:val="0"/>
          <w:bCs w:val="0"/>
          <w:spacing w:val="-4"/>
          <w:sz w:val="32"/>
          <w:szCs w:val="32"/>
        </w:rPr>
        <w:br w:type="textWrapping"/>
      </w:r>
      <w:r>
        <w:rPr>
          <w:rStyle w:val="19"/>
          <w:rFonts w:hint="eastAsia" w:eastAsia="楷体"/>
          <w:b w:val="0"/>
          <w:bCs w:val="0"/>
          <w:spacing w:val="-4"/>
          <w:sz w:val="32"/>
          <w:szCs w:val="32"/>
        </w:rPr>
        <w:t>一级指标 二级指标 三级指标 分值 得分 得分率</w:t>
      </w:r>
      <w:r>
        <w:rPr>
          <w:rFonts w:hint="eastAsia" w:eastAsia="楷体"/>
          <w:b w:val="0"/>
          <w:bCs w:val="0"/>
          <w:spacing w:val="-4"/>
          <w:sz w:val="32"/>
          <w:szCs w:val="32"/>
        </w:rPr>
        <w:br w:type="textWrapping"/>
      </w:r>
      <w:r>
        <w:rPr>
          <w:rStyle w:val="19"/>
          <w:rFonts w:hint="eastAsia" w:eastAsia="楷体"/>
          <w:b w:val="0"/>
          <w:bCs w:val="0"/>
          <w:spacing w:val="-4"/>
          <w:sz w:val="32"/>
          <w:szCs w:val="32"/>
        </w:rPr>
        <w:t>决策 项目立项 立项依据充分性 4 4 100%</w:t>
      </w:r>
      <w:r>
        <w:rPr>
          <w:rFonts w:hint="eastAsia" w:eastAsia="楷体"/>
          <w:b w:val="0"/>
          <w:bCs w:val="0"/>
          <w:spacing w:val="-4"/>
          <w:sz w:val="32"/>
          <w:szCs w:val="32"/>
        </w:rPr>
        <w:br w:type="textWrapping"/>
      </w:r>
      <w:r>
        <w:rPr>
          <w:rStyle w:val="19"/>
          <w:rFonts w:hint="eastAsia" w:eastAsia="楷体"/>
          <w:b w:val="0"/>
          <w:bCs w:val="0"/>
          <w:spacing w:val="-4"/>
          <w:sz w:val="32"/>
          <w:szCs w:val="32"/>
        </w:rPr>
        <w:t>立项程序规范性 4 4 100%</w:t>
      </w:r>
      <w:r>
        <w:rPr>
          <w:rFonts w:hint="eastAsia" w:eastAsia="楷体"/>
          <w:b w:val="0"/>
          <w:bCs w:val="0"/>
          <w:spacing w:val="-4"/>
          <w:sz w:val="32"/>
          <w:szCs w:val="32"/>
        </w:rPr>
        <w:br w:type="textWrapping"/>
      </w:r>
      <w:r>
        <w:rPr>
          <w:rStyle w:val="19"/>
          <w:rFonts w:hint="eastAsia" w:eastAsia="楷体"/>
          <w:b w:val="0"/>
          <w:bCs w:val="0"/>
          <w:spacing w:val="-4"/>
          <w:sz w:val="32"/>
          <w:szCs w:val="32"/>
        </w:rPr>
        <w:t>绩效目标 绩效目标合理性 3 3 100%</w:t>
      </w:r>
      <w:r>
        <w:rPr>
          <w:rFonts w:hint="eastAsia" w:eastAsia="楷体"/>
          <w:b w:val="0"/>
          <w:bCs w:val="0"/>
          <w:spacing w:val="-4"/>
          <w:sz w:val="32"/>
          <w:szCs w:val="32"/>
        </w:rPr>
        <w:br w:type="textWrapping"/>
      </w:r>
      <w:r>
        <w:rPr>
          <w:rStyle w:val="19"/>
          <w:rFonts w:hint="eastAsia" w:eastAsia="楷体"/>
          <w:b w:val="0"/>
          <w:bCs w:val="0"/>
          <w:spacing w:val="-4"/>
          <w:sz w:val="32"/>
          <w:szCs w:val="32"/>
        </w:rPr>
        <w:t>绩效指标明确性 3 3 100%</w:t>
      </w:r>
      <w:r>
        <w:rPr>
          <w:rFonts w:hint="eastAsia" w:eastAsia="楷体"/>
          <w:b w:val="0"/>
          <w:bCs w:val="0"/>
          <w:spacing w:val="-4"/>
          <w:sz w:val="32"/>
          <w:szCs w:val="32"/>
        </w:rPr>
        <w:br w:type="textWrapping"/>
      </w:r>
      <w:r>
        <w:rPr>
          <w:rStyle w:val="19"/>
          <w:rFonts w:hint="eastAsia" w:eastAsia="楷体"/>
          <w:b w:val="0"/>
          <w:bCs w:val="0"/>
          <w:spacing w:val="-4"/>
          <w:sz w:val="32"/>
          <w:szCs w:val="32"/>
        </w:rPr>
        <w:t>资金投入 预算编制科学性 3 3 100%</w:t>
      </w:r>
      <w:r>
        <w:rPr>
          <w:rFonts w:hint="eastAsia" w:eastAsia="楷体"/>
          <w:b w:val="0"/>
          <w:bCs w:val="0"/>
          <w:spacing w:val="-4"/>
          <w:sz w:val="32"/>
          <w:szCs w:val="32"/>
        </w:rPr>
        <w:br w:type="textWrapping"/>
      </w:r>
      <w:r>
        <w:rPr>
          <w:rStyle w:val="19"/>
          <w:rFonts w:hint="eastAsia" w:eastAsia="楷体"/>
          <w:b w:val="0"/>
          <w:bCs w:val="0"/>
          <w:spacing w:val="-4"/>
          <w:sz w:val="32"/>
          <w:szCs w:val="32"/>
        </w:rPr>
        <w:t>资金分配合理性 3 3 100%</w:t>
      </w:r>
      <w:r>
        <w:rPr>
          <w:rFonts w:hint="eastAsia" w:eastAsia="楷体"/>
          <w:b w:val="0"/>
          <w:bCs w:val="0"/>
          <w:spacing w:val="-4"/>
          <w:sz w:val="32"/>
          <w:szCs w:val="32"/>
        </w:rPr>
        <w:br w:type="textWrapping"/>
      </w:r>
      <w:r>
        <w:rPr>
          <w:rStyle w:val="19"/>
          <w:rFonts w:hint="eastAsia" w:eastAsia="楷体"/>
          <w:b w:val="0"/>
          <w:bCs w:val="0"/>
          <w:spacing w:val="-4"/>
          <w:sz w:val="32"/>
          <w:szCs w:val="32"/>
        </w:rPr>
        <w:t>过程 资金管理 资金到位率 5 5 100%</w:t>
      </w:r>
      <w:r>
        <w:rPr>
          <w:rFonts w:hint="eastAsia" w:eastAsia="楷体"/>
          <w:b w:val="0"/>
          <w:bCs w:val="0"/>
          <w:spacing w:val="-4"/>
          <w:sz w:val="32"/>
          <w:szCs w:val="32"/>
        </w:rPr>
        <w:br w:type="textWrapping"/>
      </w:r>
      <w:r>
        <w:rPr>
          <w:rStyle w:val="19"/>
          <w:rFonts w:hint="eastAsia" w:eastAsia="楷体"/>
          <w:b w:val="0"/>
          <w:bCs w:val="0"/>
          <w:spacing w:val="-4"/>
          <w:sz w:val="32"/>
          <w:szCs w:val="32"/>
        </w:rPr>
        <w:t>预算执行率 5 4.96 99.1%</w:t>
      </w:r>
      <w:r>
        <w:rPr>
          <w:rFonts w:hint="eastAsia" w:eastAsia="楷体"/>
          <w:b w:val="0"/>
          <w:bCs w:val="0"/>
          <w:spacing w:val="-4"/>
          <w:sz w:val="32"/>
          <w:szCs w:val="32"/>
        </w:rPr>
        <w:br w:type="textWrapping"/>
      </w:r>
      <w:r>
        <w:rPr>
          <w:rStyle w:val="19"/>
          <w:rFonts w:hint="eastAsia" w:eastAsia="楷体"/>
          <w:b w:val="0"/>
          <w:bCs w:val="0"/>
          <w:spacing w:val="-4"/>
          <w:sz w:val="32"/>
          <w:szCs w:val="32"/>
        </w:rPr>
        <w:t>资金使用合规性 3 3 100%</w:t>
      </w:r>
      <w:r>
        <w:rPr>
          <w:rFonts w:hint="eastAsia" w:eastAsia="楷体"/>
          <w:b w:val="0"/>
          <w:bCs w:val="0"/>
          <w:spacing w:val="-4"/>
          <w:sz w:val="32"/>
          <w:szCs w:val="32"/>
        </w:rPr>
        <w:br w:type="textWrapping"/>
      </w:r>
      <w:r>
        <w:rPr>
          <w:rStyle w:val="19"/>
          <w:rFonts w:hint="eastAsia" w:eastAsia="楷体"/>
          <w:b w:val="0"/>
          <w:bCs w:val="0"/>
          <w:spacing w:val="-4"/>
          <w:sz w:val="32"/>
          <w:szCs w:val="32"/>
        </w:rPr>
        <w:t>组织实施 管理制度健全性 3 3 100%</w:t>
      </w:r>
      <w:r>
        <w:rPr>
          <w:rFonts w:hint="eastAsia" w:eastAsia="楷体"/>
          <w:b w:val="0"/>
          <w:bCs w:val="0"/>
          <w:spacing w:val="-4"/>
          <w:sz w:val="32"/>
          <w:szCs w:val="32"/>
        </w:rPr>
        <w:br w:type="textWrapping"/>
      </w:r>
      <w:r>
        <w:rPr>
          <w:rStyle w:val="19"/>
          <w:rFonts w:hint="eastAsia" w:eastAsia="楷体"/>
          <w:b w:val="0"/>
          <w:bCs w:val="0"/>
          <w:spacing w:val="-4"/>
          <w:sz w:val="32"/>
          <w:szCs w:val="32"/>
        </w:rPr>
        <w:t>制度执行有效性 4 4 100%</w:t>
      </w:r>
      <w:r>
        <w:rPr>
          <w:rFonts w:hint="eastAsia" w:eastAsia="楷体"/>
          <w:b w:val="0"/>
          <w:bCs w:val="0"/>
          <w:spacing w:val="-4"/>
          <w:sz w:val="32"/>
          <w:szCs w:val="32"/>
        </w:rPr>
        <w:br w:type="textWrapping"/>
      </w:r>
      <w:r>
        <w:rPr>
          <w:rStyle w:val="19"/>
          <w:rFonts w:hint="eastAsia" w:eastAsia="楷体"/>
          <w:b w:val="0"/>
          <w:bCs w:val="0"/>
          <w:spacing w:val="-4"/>
          <w:sz w:val="32"/>
          <w:szCs w:val="32"/>
        </w:rPr>
        <w:t>产出 产出数量 支持建设高价值专利培育中心 16 16 100%</w:t>
      </w:r>
      <w:r>
        <w:rPr>
          <w:rFonts w:hint="eastAsia" w:eastAsia="楷体"/>
          <w:b w:val="0"/>
          <w:bCs w:val="0"/>
          <w:spacing w:val="-4"/>
          <w:sz w:val="32"/>
          <w:szCs w:val="32"/>
        </w:rPr>
        <w:br w:type="textWrapping"/>
      </w:r>
      <w:r>
        <w:rPr>
          <w:rStyle w:val="19"/>
          <w:rFonts w:hint="eastAsia" w:eastAsia="楷体"/>
          <w:b w:val="0"/>
          <w:bCs w:val="0"/>
          <w:spacing w:val="-4"/>
          <w:sz w:val="32"/>
          <w:szCs w:val="32"/>
        </w:rPr>
        <w:t>高价值专利转移转化协同中心 9 9 100%</w:t>
      </w:r>
      <w:r>
        <w:rPr>
          <w:rFonts w:hint="eastAsia" w:eastAsia="楷体"/>
          <w:b w:val="0"/>
          <w:bCs w:val="0"/>
          <w:spacing w:val="-4"/>
          <w:sz w:val="32"/>
          <w:szCs w:val="32"/>
        </w:rPr>
        <w:br w:type="textWrapping"/>
      </w:r>
      <w:r>
        <w:rPr>
          <w:rStyle w:val="19"/>
          <w:rFonts w:hint="eastAsia" w:eastAsia="楷体"/>
          <w:b w:val="0"/>
          <w:bCs w:val="0"/>
          <w:spacing w:val="-4"/>
          <w:sz w:val="32"/>
          <w:szCs w:val="32"/>
        </w:rPr>
        <w:t>建设知识产权运营服务平台 4 4 100%</w:t>
      </w:r>
      <w:r>
        <w:rPr>
          <w:rFonts w:hint="eastAsia" w:eastAsia="楷体"/>
          <w:b w:val="0"/>
          <w:bCs w:val="0"/>
          <w:spacing w:val="-4"/>
          <w:sz w:val="32"/>
          <w:szCs w:val="32"/>
        </w:rPr>
        <w:br w:type="textWrapping"/>
      </w:r>
      <w:r>
        <w:rPr>
          <w:rStyle w:val="19"/>
          <w:rFonts w:hint="eastAsia" w:eastAsia="楷体"/>
          <w:b w:val="0"/>
          <w:bCs w:val="0"/>
          <w:spacing w:val="-4"/>
          <w:sz w:val="32"/>
          <w:szCs w:val="32"/>
        </w:rPr>
        <w:t>产出质量 开展绩效评价工作（申报类项目开展绩效评价覆盖率） 6 6 100%</w:t>
      </w:r>
      <w:r>
        <w:rPr>
          <w:rFonts w:hint="eastAsia" w:eastAsia="楷体"/>
          <w:b w:val="0"/>
          <w:bCs w:val="0"/>
          <w:spacing w:val="-4"/>
          <w:sz w:val="32"/>
          <w:szCs w:val="32"/>
        </w:rPr>
        <w:br w:type="textWrapping"/>
      </w:r>
      <w:r>
        <w:rPr>
          <w:rStyle w:val="19"/>
          <w:rFonts w:hint="eastAsia" w:eastAsia="楷体"/>
          <w:b w:val="0"/>
          <w:bCs w:val="0"/>
          <w:spacing w:val="-4"/>
          <w:sz w:val="32"/>
          <w:szCs w:val="32"/>
        </w:rPr>
        <w:t>产出时效 资金使用完毕时间 5 5 100%</w:t>
      </w:r>
      <w:r>
        <w:rPr>
          <w:rFonts w:hint="eastAsia" w:eastAsia="楷体"/>
          <w:b w:val="0"/>
          <w:bCs w:val="0"/>
          <w:spacing w:val="-4"/>
          <w:sz w:val="32"/>
          <w:szCs w:val="32"/>
        </w:rPr>
        <w:br w:type="textWrapping"/>
      </w:r>
      <w:r>
        <w:rPr>
          <w:rStyle w:val="19"/>
          <w:rFonts w:hint="eastAsia" w:eastAsia="楷体"/>
          <w:b w:val="0"/>
          <w:bCs w:val="0"/>
          <w:spacing w:val="-4"/>
          <w:sz w:val="32"/>
          <w:szCs w:val="32"/>
        </w:rPr>
        <w:t>产出成本 项目成本超支率 3 3 100%</w:t>
      </w:r>
      <w:r>
        <w:rPr>
          <w:rFonts w:hint="eastAsia" w:eastAsia="楷体"/>
          <w:b w:val="0"/>
          <w:bCs w:val="0"/>
          <w:spacing w:val="-4"/>
          <w:sz w:val="32"/>
          <w:szCs w:val="32"/>
        </w:rPr>
        <w:br w:type="textWrapping"/>
      </w:r>
      <w:r>
        <w:rPr>
          <w:rStyle w:val="19"/>
          <w:rFonts w:hint="eastAsia" w:eastAsia="楷体"/>
          <w:b w:val="0"/>
          <w:bCs w:val="0"/>
          <w:spacing w:val="-4"/>
          <w:sz w:val="32"/>
          <w:szCs w:val="32"/>
        </w:rPr>
        <w:t>效益 社会效益 知识产权发展水平年有效发明专利增长率 6 6 100%</w:t>
      </w:r>
      <w:r>
        <w:rPr>
          <w:rFonts w:hint="eastAsia" w:eastAsia="楷体"/>
          <w:b w:val="0"/>
          <w:bCs w:val="0"/>
          <w:spacing w:val="-4"/>
          <w:sz w:val="32"/>
          <w:szCs w:val="32"/>
        </w:rPr>
        <w:br w:type="textWrapping"/>
      </w:r>
      <w:r>
        <w:rPr>
          <w:rStyle w:val="19"/>
          <w:rFonts w:hint="eastAsia" w:eastAsia="楷体"/>
          <w:b w:val="0"/>
          <w:bCs w:val="0"/>
          <w:spacing w:val="-4"/>
          <w:sz w:val="32"/>
          <w:szCs w:val="32"/>
        </w:rPr>
        <w:t>知识产权运营服务平台注册企业及个人 6 6 100%</w:t>
      </w:r>
      <w:r>
        <w:rPr>
          <w:rFonts w:hint="eastAsia" w:eastAsia="楷体"/>
          <w:b w:val="0"/>
          <w:bCs w:val="0"/>
          <w:spacing w:val="-4"/>
          <w:sz w:val="32"/>
          <w:szCs w:val="32"/>
        </w:rPr>
        <w:br w:type="textWrapping"/>
      </w:r>
      <w:r>
        <w:rPr>
          <w:rStyle w:val="19"/>
          <w:rFonts w:hint="eastAsia" w:eastAsia="楷体"/>
          <w:b w:val="0"/>
          <w:bCs w:val="0"/>
          <w:spacing w:val="-4"/>
          <w:sz w:val="32"/>
          <w:szCs w:val="32"/>
        </w:rPr>
        <w:t>满意度指标完成情况分析 满意度指标 项目承担单位满意度 5 5 100%</w:t>
      </w:r>
      <w:r>
        <w:rPr>
          <w:rFonts w:hint="eastAsia" w:eastAsia="楷体"/>
          <w:b w:val="0"/>
          <w:bCs w:val="0"/>
          <w:spacing w:val="-4"/>
          <w:sz w:val="32"/>
          <w:szCs w:val="32"/>
        </w:rPr>
        <w:br w:type="textWrapping"/>
      </w:r>
      <w:r>
        <w:rPr>
          <w:rStyle w:val="19"/>
          <w:rFonts w:hint="eastAsia" w:eastAsia="楷体"/>
          <w:b w:val="0"/>
          <w:bCs w:val="0"/>
          <w:spacing w:val="-4"/>
          <w:sz w:val="32"/>
          <w:szCs w:val="32"/>
        </w:rPr>
        <w:t>（二）主要绩效</w:t>
      </w:r>
      <w:r>
        <w:rPr>
          <w:rFonts w:hint="eastAsia" w:eastAsia="楷体"/>
          <w:b w:val="0"/>
          <w:bCs w:val="0"/>
          <w:spacing w:val="-4"/>
          <w:sz w:val="32"/>
          <w:szCs w:val="32"/>
        </w:rPr>
        <w:br w:type="textWrapping"/>
      </w:r>
      <w:r>
        <w:rPr>
          <w:rStyle w:val="19"/>
          <w:rFonts w:hint="eastAsia" w:eastAsia="楷体"/>
          <w:b w:val="0"/>
          <w:bCs w:val="0"/>
          <w:spacing w:val="-4"/>
          <w:sz w:val="32"/>
          <w:szCs w:val="32"/>
        </w:rPr>
        <w:t>1.项目管理流程科学，财务管理较为规范</w:t>
      </w:r>
      <w:r>
        <w:rPr>
          <w:rFonts w:hint="eastAsia" w:eastAsia="楷体"/>
          <w:b w:val="0"/>
          <w:bCs w:val="0"/>
          <w:spacing w:val="-4"/>
          <w:sz w:val="32"/>
          <w:szCs w:val="32"/>
        </w:rPr>
        <w:br w:type="textWrapping"/>
      </w:r>
      <w:r>
        <w:rPr>
          <w:rStyle w:val="19"/>
          <w:rFonts w:hint="eastAsia" w:eastAsia="楷体"/>
          <w:b w:val="0"/>
          <w:bCs w:val="0"/>
          <w:spacing w:val="-4"/>
          <w:sz w:val="32"/>
          <w:szCs w:val="32"/>
        </w:rPr>
        <w:t>在项目管理过程中，构建了包括申报指南、申报、评审方案、专家评审、立项建议、资金拨付等在内的管理模块，对申报条件、申报程序、补助范围、补助标准都提出了明确的要求。项目资金管理主要依据《乌鲁木齐市知识产权运营服务体系建设专项资金管理办法》（乌市监〔2021〕21号）、《乌鲁木齐市知识产权运营服务体系建设实施方案》（乌政发〔2020〕159号）等文件执行，相应的财务管理制度设定科学；从专项资金使用规范性看，资金使用没有超过职能范围，重要职能履行未遗漏并合理 ，没有发现资金在划拨和使用过程中存在截留、挪用、虚列等违规问题。</w:t>
      </w:r>
      <w:r>
        <w:rPr>
          <w:rFonts w:hint="eastAsia" w:eastAsia="楷体"/>
          <w:b w:val="0"/>
          <w:bCs w:val="0"/>
          <w:spacing w:val="-4"/>
          <w:sz w:val="32"/>
          <w:szCs w:val="32"/>
        </w:rPr>
        <w:br w:type="textWrapping"/>
      </w:r>
      <w:r>
        <w:rPr>
          <w:rStyle w:val="19"/>
          <w:rFonts w:hint="eastAsia" w:eastAsia="楷体"/>
          <w:b w:val="0"/>
          <w:bCs w:val="0"/>
          <w:spacing w:val="-4"/>
          <w:sz w:val="32"/>
          <w:szCs w:val="32"/>
        </w:rPr>
        <w:t>2.项目产出稳定增长，数量质量双面提升</w:t>
      </w:r>
      <w:r>
        <w:rPr>
          <w:rFonts w:hint="eastAsia" w:eastAsia="楷体"/>
          <w:b w:val="0"/>
          <w:bCs w:val="0"/>
          <w:spacing w:val="-4"/>
          <w:sz w:val="32"/>
          <w:szCs w:val="32"/>
        </w:rPr>
        <w:br w:type="textWrapping"/>
      </w:r>
      <w:r>
        <w:rPr>
          <w:rStyle w:val="19"/>
          <w:rFonts w:hint="eastAsia" w:eastAsia="楷体"/>
          <w:b w:val="0"/>
          <w:bCs w:val="0"/>
          <w:spacing w:val="-4"/>
          <w:sz w:val="32"/>
          <w:szCs w:val="32"/>
        </w:rPr>
        <w:t>在此次评价期间内,围绕“1平台、2区、3中心”高水平建设知识产权运营服务体系。2024年按照与项目实施单位签署的合同任务书，主要开展了高价值专利培育中心建设8个，开展高价值专利转移转化协同中心建设3个，乌鲁木齐市知识产权运营服务平台项目1个等项目。促进乌鲁木齐市知识产权运营业态蓬勃发展，大幅提升知识产权质量。</w:t>
      </w:r>
      <w:r>
        <w:rPr>
          <w:rFonts w:hint="eastAsia" w:eastAsia="楷体"/>
          <w:b w:val="0"/>
          <w:bCs w:val="0"/>
          <w:spacing w:val="-4"/>
          <w:sz w:val="32"/>
          <w:szCs w:val="32"/>
        </w:rPr>
        <w:br w:type="textWrapping"/>
      </w:r>
      <w:r>
        <w:rPr>
          <w:rStyle w:val="19"/>
          <w:rFonts w:hint="eastAsia" w:eastAsia="楷体"/>
          <w:b w:val="0"/>
          <w:bCs w:val="0"/>
          <w:spacing w:val="-4"/>
          <w:sz w:val="32"/>
          <w:szCs w:val="32"/>
        </w:rPr>
        <w:t>3.项目效益稳步提升，资金效果逐步凸显</w:t>
      </w:r>
      <w:r>
        <w:rPr>
          <w:rFonts w:hint="eastAsia" w:eastAsia="楷体"/>
          <w:b w:val="0"/>
          <w:bCs w:val="0"/>
          <w:spacing w:val="-4"/>
          <w:sz w:val="32"/>
          <w:szCs w:val="32"/>
        </w:rPr>
        <w:br w:type="textWrapping"/>
      </w:r>
      <w:r>
        <w:rPr>
          <w:rStyle w:val="19"/>
          <w:rFonts w:hint="eastAsia" w:eastAsia="楷体"/>
          <w:b w:val="0"/>
          <w:bCs w:val="0"/>
          <w:spacing w:val="-4"/>
          <w:sz w:val="32"/>
          <w:szCs w:val="32"/>
        </w:rPr>
        <w:t>社会效益：2024年我市知识产权发展水平逐步提高，年有效发明增长率达到10.7%，知识产权运营平台注册企业和个人达到1130家，各项知识产权管理制度和政策体系更为健全，知识产权运营服务体系更加高效，知识产权市场价值有效体现，知识产权引领创新和促进乌鲁木齐市高质量发展的效果更加明显。</w:t>
      </w:r>
    </w:p>
    <w:p w14:paraId="41D3A02E">
      <w:pPr>
        <w:spacing w:line="540" w:lineRule="exact"/>
        <w:ind w:firstLine="624" w:firstLineChars="200"/>
        <w:rPr>
          <w:rStyle w:val="19"/>
          <w:rFonts w:ascii="黑体" w:hAnsi="黑体" w:eastAsia="黑体"/>
        </w:rPr>
      </w:pPr>
      <w:r>
        <w:rPr>
          <w:rStyle w:val="19"/>
          <w:rFonts w:hint="eastAsia" w:ascii="黑体" w:hAnsi="黑体" w:eastAsia="黑体"/>
          <w:b w:val="0"/>
          <w:spacing w:val="-4"/>
          <w:sz w:val="32"/>
          <w:szCs w:val="32"/>
        </w:rPr>
        <w:t>四、绩效评价指标分析</w:t>
      </w:r>
      <w:r>
        <w:rPr>
          <w:rStyle w:val="19"/>
          <w:rFonts w:hint="eastAsia" w:ascii="黑体" w:hAnsi="黑体" w:eastAsia="黑体"/>
        </w:rPr>
        <w:t xml:space="preserve"> </w:t>
      </w:r>
    </w:p>
    <w:p w14:paraId="1DD3FE18">
      <w:pPr>
        <w:spacing w:line="540" w:lineRule="exact"/>
        <w:ind w:firstLine="627" w:firstLineChars="200"/>
        <w:rPr>
          <w:rFonts w:ascii="楷体" w:hAnsi="楷体" w:eastAsia="楷体"/>
          <w:b/>
          <w:spacing w:val="-4"/>
          <w:sz w:val="32"/>
          <w:szCs w:val="32"/>
        </w:rPr>
      </w:pPr>
      <w:r>
        <w:rPr>
          <w:rFonts w:hint="eastAsia" w:ascii="楷体" w:hAnsi="楷体" w:eastAsia="楷体"/>
          <w:b/>
          <w:spacing w:val="-4"/>
          <w:sz w:val="32"/>
          <w:szCs w:val="32"/>
        </w:rPr>
        <w:t>（一）</w:t>
      </w:r>
      <w:r>
        <w:rPr>
          <w:rStyle w:val="19"/>
          <w:rFonts w:hint="eastAsia" w:ascii="楷体" w:hAnsi="楷体" w:eastAsia="楷体"/>
          <w:spacing w:val="-4"/>
          <w:sz w:val="32"/>
          <w:szCs w:val="32"/>
        </w:rPr>
        <w:t>项目决策情况</w:t>
      </w:r>
    </w:p>
    <w:p w14:paraId="64DC4D85">
      <w:pPr>
        <w:spacing w:line="540" w:lineRule="exact"/>
        <w:ind w:firstLine="624" w:firstLineChars="200"/>
        <w:rPr>
          <w:rStyle w:val="19"/>
          <w:rFonts w:eastAsia="楷体"/>
          <w:b w:val="0"/>
          <w:bCs w:val="0"/>
          <w:spacing w:val="-4"/>
          <w:sz w:val="32"/>
          <w:szCs w:val="32"/>
        </w:rPr>
      </w:pPr>
      <w:r>
        <w:rPr>
          <w:rStyle w:val="19"/>
          <w:rFonts w:hint="eastAsia" w:eastAsia="楷体"/>
          <w:b w:val="0"/>
          <w:bCs w:val="0"/>
          <w:spacing w:val="-4"/>
          <w:sz w:val="32"/>
          <w:szCs w:val="32"/>
        </w:rPr>
        <w:t>（一）项目决策情况</w:t>
      </w:r>
      <w:r>
        <w:rPr>
          <w:rFonts w:hint="eastAsia" w:eastAsia="楷体"/>
          <w:b w:val="0"/>
          <w:bCs w:val="0"/>
          <w:spacing w:val="-4"/>
          <w:sz w:val="32"/>
          <w:szCs w:val="32"/>
        </w:rPr>
        <w:br w:type="textWrapping"/>
      </w:r>
      <w:r>
        <w:rPr>
          <w:rStyle w:val="19"/>
          <w:rFonts w:hint="eastAsia" w:eastAsia="楷体"/>
          <w:b w:val="0"/>
          <w:bCs w:val="0"/>
          <w:spacing w:val="-4"/>
          <w:sz w:val="32"/>
          <w:szCs w:val="32"/>
        </w:rPr>
        <w:t>项目决算指标由3个二级指标和6个三级指标构成，权重为20分，实际得分20分。</w:t>
      </w:r>
      <w:r>
        <w:rPr>
          <w:rFonts w:hint="eastAsia" w:eastAsia="楷体"/>
          <w:b w:val="0"/>
          <w:bCs w:val="0"/>
          <w:spacing w:val="-4"/>
          <w:sz w:val="32"/>
          <w:szCs w:val="32"/>
        </w:rPr>
        <w:br w:type="textWrapping"/>
      </w:r>
      <w:r>
        <w:rPr>
          <w:rStyle w:val="19"/>
          <w:rFonts w:hint="eastAsia" w:eastAsia="楷体"/>
          <w:b w:val="0"/>
          <w:bCs w:val="0"/>
          <w:spacing w:val="-4"/>
          <w:sz w:val="32"/>
          <w:szCs w:val="32"/>
        </w:rPr>
        <w:t>1.项目立项</w:t>
      </w:r>
      <w:r>
        <w:rPr>
          <w:rFonts w:hint="eastAsia" w:eastAsia="楷体"/>
          <w:b w:val="0"/>
          <w:bCs w:val="0"/>
          <w:spacing w:val="-4"/>
          <w:sz w:val="32"/>
          <w:szCs w:val="32"/>
        </w:rPr>
        <w:br w:type="textWrapping"/>
      </w:r>
      <w:r>
        <w:rPr>
          <w:rStyle w:val="19"/>
          <w:rFonts w:hint="eastAsia" w:eastAsia="楷体"/>
          <w:b w:val="0"/>
          <w:bCs w:val="0"/>
          <w:spacing w:val="-4"/>
          <w:sz w:val="32"/>
          <w:szCs w:val="32"/>
        </w:rPr>
        <w:t>立项依据充分性：知识产权运营服务体系建设以《关于做好2020年知识产权运营服务体系建设工作的通知》（财办建〔2020〕40号）文件作为立项依据，经报自治区市场监督管理局和国家知识产权局审核同意，市人民政府印发了《乌鲁木齐市知识产权运营服务体系建设实施方案》（乌政发〔2020〕159号）。项目立项符合国家法律法规、政策要求。同时，项目与部门职责范围相符，属于部门履职所需。此外，本项目属于公共财政支持范围，符合中央、地方事权支出责任划分原则。因此，立项依据充分，得4分。</w:t>
      </w:r>
      <w:r>
        <w:rPr>
          <w:rFonts w:hint="eastAsia" w:eastAsia="楷体"/>
          <w:b w:val="0"/>
          <w:bCs w:val="0"/>
          <w:spacing w:val="-4"/>
          <w:sz w:val="32"/>
          <w:szCs w:val="32"/>
        </w:rPr>
        <w:br w:type="textWrapping"/>
      </w:r>
      <w:r>
        <w:rPr>
          <w:rStyle w:val="19"/>
          <w:rFonts w:hint="eastAsia" w:eastAsia="楷体"/>
          <w:b w:val="0"/>
          <w:bCs w:val="0"/>
          <w:spacing w:val="-4"/>
          <w:sz w:val="32"/>
          <w:szCs w:val="32"/>
        </w:rPr>
        <w:t>立项程序规范性:</w:t>
      </w:r>
      <w:r>
        <w:rPr>
          <w:rFonts w:hint="eastAsia" w:eastAsia="楷体"/>
          <w:b w:val="0"/>
          <w:bCs w:val="0"/>
          <w:spacing w:val="-4"/>
          <w:sz w:val="32"/>
          <w:szCs w:val="32"/>
        </w:rPr>
        <w:br w:type="textWrapping"/>
      </w:r>
      <w:r>
        <w:rPr>
          <w:rStyle w:val="19"/>
          <w:rFonts w:hint="eastAsia" w:eastAsia="楷体"/>
          <w:b w:val="0"/>
          <w:bCs w:val="0"/>
          <w:spacing w:val="-4"/>
          <w:sz w:val="32"/>
          <w:szCs w:val="32"/>
        </w:rPr>
        <w:t>知识产权运营服务体系建设根据财政部办公厅、国家知识产权局办公室《关于做好2020年知识产权运营服务体系建设工作的通知》（财办建〔2020〕40号），2020年4月，乌鲁木齐市人民政府提出创建申请。经自治区推荐，2020年6月，乌鲁木齐市被确定为第四批国家级知识产权运营服务体系建设重点城市之一，财政部和国家知识产权局给每个重点城市拨付中央专项资金1.5亿元，用于支持知识产权运营服务体系建设工作。</w:t>
      </w:r>
      <w:r>
        <w:rPr>
          <w:rFonts w:hint="eastAsia" w:eastAsia="楷体"/>
          <w:b w:val="0"/>
          <w:bCs w:val="0"/>
          <w:spacing w:val="-4"/>
          <w:sz w:val="32"/>
          <w:szCs w:val="32"/>
        </w:rPr>
        <w:br w:type="textWrapping"/>
      </w:r>
      <w:r>
        <w:rPr>
          <w:rStyle w:val="19"/>
          <w:rFonts w:hint="eastAsia" w:eastAsia="楷体"/>
          <w:b w:val="0"/>
          <w:bCs w:val="0"/>
          <w:spacing w:val="-4"/>
          <w:sz w:val="32"/>
          <w:szCs w:val="32"/>
        </w:rPr>
        <w:t>2020年底，成立乌鲁木齐市知识产权运营服务体系建设工作领导小组，统筹推进全市知识产权运营服务体系建设工作。领导小组办公室设在市市场监督管理局，负责组织开展建设工作。2020年11月底，经报自治区市场监督管理局和国家知识产权局审核同意，市人民政府印发了《乌鲁木齐市知识产权运营服务体系建设实施方案》。2021年2月，乌鲁木齐市市场监督管理局、乌鲁木齐市财政局印发《乌鲁木齐市知识产权运营服务体系建设专项资金管理办法》（乌市监〔2021〕21号）（下称《资金管理办法》），确定管理职责、支持范围及方式、专项资金分配方式、项目管理、资金拨付及绩效管理、监督管理等事项。项目按照规定的程序申请设立，审批文件、材料符合相关要求，故立项程序规范，得4分。</w:t>
      </w:r>
      <w:r>
        <w:rPr>
          <w:rFonts w:hint="eastAsia" w:eastAsia="楷体"/>
          <w:b w:val="0"/>
          <w:bCs w:val="0"/>
          <w:spacing w:val="-4"/>
          <w:sz w:val="32"/>
          <w:szCs w:val="32"/>
        </w:rPr>
        <w:br w:type="textWrapping"/>
      </w:r>
      <w:r>
        <w:rPr>
          <w:rStyle w:val="19"/>
          <w:rFonts w:hint="eastAsia" w:eastAsia="楷体"/>
          <w:b w:val="0"/>
          <w:bCs w:val="0"/>
          <w:spacing w:val="-4"/>
          <w:sz w:val="32"/>
          <w:szCs w:val="32"/>
        </w:rPr>
        <w:t>综上，该指标满分8分，得分8分。</w:t>
      </w:r>
      <w:r>
        <w:rPr>
          <w:rFonts w:hint="eastAsia" w:eastAsia="楷体"/>
          <w:b w:val="0"/>
          <w:bCs w:val="0"/>
          <w:spacing w:val="-4"/>
          <w:sz w:val="32"/>
          <w:szCs w:val="32"/>
        </w:rPr>
        <w:br w:type="textWrapping"/>
      </w:r>
      <w:r>
        <w:rPr>
          <w:rStyle w:val="19"/>
          <w:rFonts w:hint="eastAsia" w:eastAsia="楷体"/>
          <w:b w:val="0"/>
          <w:bCs w:val="0"/>
          <w:spacing w:val="-4"/>
          <w:sz w:val="32"/>
          <w:szCs w:val="32"/>
        </w:rPr>
        <w:t>2.绩效目标</w:t>
      </w:r>
      <w:r>
        <w:rPr>
          <w:rFonts w:hint="eastAsia" w:eastAsia="楷体"/>
          <w:b w:val="0"/>
          <w:bCs w:val="0"/>
          <w:spacing w:val="-4"/>
          <w:sz w:val="32"/>
          <w:szCs w:val="32"/>
        </w:rPr>
        <w:br w:type="textWrapping"/>
      </w:r>
      <w:r>
        <w:rPr>
          <w:rStyle w:val="19"/>
          <w:rFonts w:hint="eastAsia" w:eastAsia="楷体"/>
          <w:b w:val="0"/>
          <w:bCs w:val="0"/>
          <w:spacing w:val="-4"/>
          <w:sz w:val="32"/>
          <w:szCs w:val="32"/>
        </w:rPr>
        <w:t>绩效目标合理性：本项目的绩效目标按照产出、效益和满意度构建绩效评价指标，且具有明确性、可衡量性、可实现性、相关性和时限性等特点，能较为全面地反映本项目的产出和效益，故绩效目标合理性指标得分3分。</w:t>
      </w:r>
      <w:r>
        <w:rPr>
          <w:rFonts w:hint="eastAsia" w:eastAsia="楷体"/>
          <w:b w:val="0"/>
          <w:bCs w:val="0"/>
          <w:spacing w:val="-4"/>
          <w:sz w:val="32"/>
          <w:szCs w:val="32"/>
        </w:rPr>
        <w:br w:type="textWrapping"/>
      </w:r>
      <w:r>
        <w:rPr>
          <w:rStyle w:val="19"/>
          <w:rFonts w:hint="eastAsia" w:eastAsia="楷体"/>
          <w:b w:val="0"/>
          <w:bCs w:val="0"/>
          <w:spacing w:val="-4"/>
          <w:sz w:val="32"/>
          <w:szCs w:val="32"/>
        </w:rPr>
        <w:t>绩效目标明确性：其中，目标已细化为具体的绩效指标9项，其中，产出指标6个，效益指标2个,满意度指标1个。并具有确切的评价标准，且指标设定均与目标相关。各项指标均能在现实条件下收集到相关数据进行佐证包括相关项目合同任务书，项目中期及验收评审材料、国家知识产权局官方数字作为佐证，并与当年项目年度计划相对应，故绩效目标明确性指标得分3分。</w:t>
      </w:r>
      <w:r>
        <w:rPr>
          <w:rFonts w:hint="eastAsia" w:eastAsia="楷体"/>
          <w:b w:val="0"/>
          <w:bCs w:val="0"/>
          <w:spacing w:val="-4"/>
          <w:sz w:val="32"/>
          <w:szCs w:val="32"/>
        </w:rPr>
        <w:br w:type="textWrapping"/>
      </w:r>
      <w:r>
        <w:rPr>
          <w:rStyle w:val="19"/>
          <w:rFonts w:hint="eastAsia" w:eastAsia="楷体"/>
          <w:b w:val="0"/>
          <w:bCs w:val="0"/>
          <w:spacing w:val="-4"/>
          <w:sz w:val="32"/>
          <w:szCs w:val="32"/>
        </w:rPr>
        <w:t>综上，该指标满分6分，得分6分。</w:t>
      </w:r>
      <w:r>
        <w:rPr>
          <w:rFonts w:hint="eastAsia" w:eastAsia="楷体"/>
          <w:b w:val="0"/>
          <w:bCs w:val="0"/>
          <w:spacing w:val="-4"/>
          <w:sz w:val="32"/>
          <w:szCs w:val="32"/>
        </w:rPr>
        <w:br w:type="textWrapping"/>
      </w:r>
      <w:r>
        <w:rPr>
          <w:rStyle w:val="19"/>
          <w:rFonts w:hint="eastAsia" w:eastAsia="楷体"/>
          <w:b w:val="0"/>
          <w:bCs w:val="0"/>
          <w:spacing w:val="-4"/>
          <w:sz w:val="32"/>
          <w:szCs w:val="32"/>
        </w:rPr>
        <w:t>3.资金投入</w:t>
      </w:r>
      <w:r>
        <w:rPr>
          <w:rFonts w:hint="eastAsia" w:eastAsia="楷体"/>
          <w:b w:val="0"/>
          <w:bCs w:val="0"/>
          <w:spacing w:val="-4"/>
          <w:sz w:val="32"/>
          <w:szCs w:val="32"/>
        </w:rPr>
        <w:br w:type="textWrapping"/>
      </w:r>
      <w:r>
        <w:rPr>
          <w:rStyle w:val="19"/>
          <w:rFonts w:hint="eastAsia" w:eastAsia="楷体"/>
          <w:b w:val="0"/>
          <w:bCs w:val="0"/>
          <w:spacing w:val="-4"/>
          <w:sz w:val="32"/>
          <w:szCs w:val="32"/>
        </w:rPr>
        <w:t>预算编制科学性：本单位根据《乌鲁木齐市知识产权运营服务体系建设专项资金管理办法》、《乌鲁木齐市知识产权运营服务体系建设实施方案》等文件。针对知识产权运营服务体系建设32个子项目，分别编制预算资金，确定2024年度投资预算金额，预算的编制能够与项目内容及工作任务相匹配，预算的编制能够按照相应的依据编制。</w:t>
      </w:r>
      <w:r>
        <w:rPr>
          <w:rFonts w:hint="eastAsia" w:eastAsia="楷体"/>
          <w:b w:val="0"/>
          <w:bCs w:val="0"/>
          <w:spacing w:val="-4"/>
          <w:sz w:val="32"/>
          <w:szCs w:val="32"/>
        </w:rPr>
        <w:br w:type="textWrapping"/>
      </w:r>
      <w:r>
        <w:rPr>
          <w:rStyle w:val="19"/>
          <w:rFonts w:hint="eastAsia" w:eastAsia="楷体"/>
          <w:b w:val="0"/>
          <w:bCs w:val="0"/>
          <w:spacing w:val="-4"/>
          <w:sz w:val="32"/>
          <w:szCs w:val="32"/>
        </w:rPr>
        <w:t>故预算编制科学性指标得分3分。</w:t>
      </w:r>
      <w:r>
        <w:rPr>
          <w:rFonts w:hint="eastAsia" w:eastAsia="楷体"/>
          <w:b w:val="0"/>
          <w:bCs w:val="0"/>
          <w:spacing w:val="-4"/>
          <w:sz w:val="32"/>
          <w:szCs w:val="32"/>
        </w:rPr>
        <w:br w:type="textWrapping"/>
      </w:r>
      <w:r>
        <w:rPr>
          <w:rStyle w:val="19"/>
          <w:rFonts w:hint="eastAsia" w:eastAsia="楷体"/>
          <w:b w:val="0"/>
          <w:bCs w:val="0"/>
          <w:spacing w:val="-4"/>
          <w:sz w:val="32"/>
          <w:szCs w:val="32"/>
        </w:rPr>
        <w:t xml:space="preserve"> </w:t>
      </w:r>
      <w:r>
        <w:rPr>
          <w:rFonts w:hint="eastAsia" w:eastAsia="楷体"/>
          <w:b w:val="0"/>
          <w:bCs w:val="0"/>
          <w:spacing w:val="-4"/>
          <w:sz w:val="32"/>
          <w:szCs w:val="32"/>
        </w:rPr>
        <w:br w:type="textWrapping"/>
      </w:r>
      <w:r>
        <w:rPr>
          <w:rStyle w:val="19"/>
          <w:rFonts w:hint="eastAsia" w:eastAsia="楷体"/>
          <w:b w:val="0"/>
          <w:bCs w:val="0"/>
          <w:spacing w:val="-4"/>
          <w:sz w:val="32"/>
          <w:szCs w:val="32"/>
        </w:rPr>
        <w:t>资金分配合理性：本单位根据《乌鲁木齐市知识产权运营服务体系建设实施方案》、《乌鲁木齐市知识产权运营服务体系建设申报类项目申报指南（第一批）》、《乌鲁木齐市知识产权运营服务体系建设申报类项目申报指南（第二批）》《乌鲁木齐市知识产权运营服务体系建设申报类项目申报指南（第三批）》《2021年乌鲁木齐市知识产权运营服务体系建设后补助类项目申报指南》、《2022年乌鲁木齐市知识产权运营服务体系建设后补助类项目申报指南》《关于组织2023年度乌鲁木齐市知识产权运营服务体系建设后补助类项目的通知》《关于组织乌鲁木齐市知识产权运营服务体系建设申报类项目（第四批）》《关于组织2024年度乌鲁木齐市知识产权运营服务体系建设后补助类项目评审的通知》等文件及各子项目预算评审结果，各项目承担单位承担的项目数量，对预算资金进行分配。</w:t>
      </w:r>
      <w:r>
        <w:rPr>
          <w:rFonts w:hint="eastAsia" w:eastAsia="楷体"/>
          <w:b w:val="0"/>
          <w:bCs w:val="0"/>
          <w:spacing w:val="-4"/>
          <w:sz w:val="32"/>
          <w:szCs w:val="32"/>
        </w:rPr>
        <w:br w:type="textWrapping"/>
      </w:r>
      <w:r>
        <w:rPr>
          <w:rStyle w:val="19"/>
          <w:rFonts w:hint="eastAsia" w:eastAsia="楷体"/>
          <w:b w:val="0"/>
          <w:bCs w:val="0"/>
          <w:spacing w:val="-4"/>
          <w:sz w:val="32"/>
          <w:szCs w:val="32"/>
        </w:rPr>
        <w:t>故资金分配合理性指标得分3分。</w:t>
      </w:r>
      <w:r>
        <w:rPr>
          <w:rFonts w:hint="eastAsia" w:eastAsia="楷体"/>
          <w:b w:val="0"/>
          <w:bCs w:val="0"/>
          <w:spacing w:val="-4"/>
          <w:sz w:val="32"/>
          <w:szCs w:val="32"/>
        </w:rPr>
        <w:br w:type="textWrapping"/>
      </w:r>
      <w:r>
        <w:rPr>
          <w:rStyle w:val="19"/>
          <w:rFonts w:hint="eastAsia" w:eastAsia="楷体"/>
          <w:b w:val="0"/>
          <w:bCs w:val="0"/>
          <w:spacing w:val="-4"/>
          <w:sz w:val="32"/>
          <w:szCs w:val="32"/>
        </w:rPr>
        <w:t>综上，该指标满分6分，得分6分。</w:t>
      </w:r>
      <w:r>
        <w:rPr>
          <w:rStyle w:val="19"/>
          <w:rFonts w:hint="eastAsia" w:eastAsia="楷体"/>
          <w:b w:val="0"/>
          <w:bCs w:val="0"/>
          <w:spacing w:val="-4"/>
          <w:sz w:val="32"/>
          <w:szCs w:val="32"/>
        </w:rPr>
        <w:tab/>
      </w:r>
    </w:p>
    <w:p w14:paraId="4124BE86">
      <w:pPr>
        <w:spacing w:line="540" w:lineRule="exact"/>
        <w:ind w:firstLine="627" w:firstLineChars="200"/>
        <w:rPr>
          <w:rStyle w:val="19"/>
          <w:rFonts w:ascii="楷体" w:hAnsi="楷体" w:eastAsia="楷体"/>
          <w:spacing w:val="-4"/>
          <w:sz w:val="32"/>
          <w:szCs w:val="32"/>
        </w:rPr>
      </w:pPr>
      <w:r>
        <w:rPr>
          <w:rFonts w:hint="eastAsia" w:ascii="楷体" w:hAnsi="楷体" w:eastAsia="楷体"/>
          <w:b/>
          <w:spacing w:val="-4"/>
          <w:sz w:val="32"/>
          <w:szCs w:val="32"/>
        </w:rPr>
        <w:t>（二）</w:t>
      </w:r>
      <w:r>
        <w:rPr>
          <w:rStyle w:val="19"/>
          <w:rFonts w:hint="eastAsia" w:ascii="楷体" w:hAnsi="楷体" w:eastAsia="楷体"/>
          <w:spacing w:val="-4"/>
          <w:sz w:val="32"/>
          <w:szCs w:val="32"/>
        </w:rPr>
        <w:t>项目过程情况</w:t>
      </w:r>
    </w:p>
    <w:p w14:paraId="4379A92E">
      <w:pPr>
        <w:spacing w:line="540" w:lineRule="exact"/>
        <w:ind w:firstLine="624" w:firstLineChars="200"/>
        <w:rPr>
          <w:rStyle w:val="19"/>
          <w:rFonts w:eastAsia="楷体"/>
          <w:b w:val="0"/>
          <w:bCs w:val="0"/>
          <w:spacing w:val="-4"/>
          <w:sz w:val="32"/>
          <w:szCs w:val="32"/>
        </w:rPr>
      </w:pPr>
      <w:r>
        <w:rPr>
          <w:rStyle w:val="19"/>
          <w:rFonts w:hint="eastAsia" w:eastAsia="楷体"/>
          <w:b w:val="0"/>
          <w:bCs w:val="0"/>
          <w:spacing w:val="-4"/>
          <w:sz w:val="32"/>
          <w:szCs w:val="32"/>
        </w:rPr>
        <w:t>（二）项目过程情况</w:t>
      </w:r>
      <w:r>
        <w:rPr>
          <w:rFonts w:hint="eastAsia" w:eastAsia="楷体"/>
          <w:b w:val="0"/>
          <w:bCs w:val="0"/>
          <w:spacing w:val="-4"/>
          <w:sz w:val="32"/>
          <w:szCs w:val="32"/>
        </w:rPr>
        <w:br w:type="textWrapping"/>
      </w:r>
      <w:r>
        <w:rPr>
          <w:rStyle w:val="19"/>
          <w:rFonts w:hint="eastAsia" w:eastAsia="楷体"/>
          <w:b w:val="0"/>
          <w:bCs w:val="0"/>
          <w:spacing w:val="-4"/>
          <w:sz w:val="32"/>
          <w:szCs w:val="32"/>
        </w:rPr>
        <w:t>项目过程指标由2个二级指标和5个三级指标构成，权重为20分，实际得分19.96分。</w:t>
      </w:r>
      <w:r>
        <w:rPr>
          <w:rFonts w:hint="eastAsia" w:eastAsia="楷体"/>
          <w:b w:val="0"/>
          <w:bCs w:val="0"/>
          <w:spacing w:val="-4"/>
          <w:sz w:val="32"/>
          <w:szCs w:val="32"/>
        </w:rPr>
        <w:br w:type="textWrapping"/>
      </w:r>
      <w:r>
        <w:rPr>
          <w:rStyle w:val="19"/>
          <w:rFonts w:hint="eastAsia" w:eastAsia="楷体"/>
          <w:b w:val="0"/>
          <w:bCs w:val="0"/>
          <w:spacing w:val="-4"/>
          <w:sz w:val="32"/>
          <w:szCs w:val="32"/>
        </w:rPr>
        <w:t>1.资金管理</w:t>
      </w:r>
      <w:r>
        <w:rPr>
          <w:rFonts w:hint="eastAsia" w:eastAsia="楷体"/>
          <w:b w:val="0"/>
          <w:bCs w:val="0"/>
          <w:spacing w:val="-4"/>
          <w:sz w:val="32"/>
          <w:szCs w:val="32"/>
        </w:rPr>
        <w:br w:type="textWrapping"/>
      </w:r>
      <w:r>
        <w:rPr>
          <w:rStyle w:val="19"/>
          <w:rFonts w:hint="eastAsia" w:eastAsia="楷体"/>
          <w:b w:val="0"/>
          <w:bCs w:val="0"/>
          <w:spacing w:val="-4"/>
          <w:sz w:val="32"/>
          <w:szCs w:val="32"/>
        </w:rPr>
        <w:t>资金到位率：该项目的年初预算为2448.61万元，全年预算为2448.61万元，故资金到位率为100%，该笔资金由财政局于2024年3月5日拨付。</w:t>
      </w:r>
      <w:r>
        <w:rPr>
          <w:rFonts w:hint="eastAsia" w:eastAsia="楷体"/>
          <w:b w:val="0"/>
          <w:bCs w:val="0"/>
          <w:spacing w:val="-4"/>
          <w:sz w:val="32"/>
          <w:szCs w:val="32"/>
        </w:rPr>
        <w:br w:type="textWrapping"/>
      </w:r>
      <w:r>
        <w:rPr>
          <w:rStyle w:val="19"/>
          <w:rFonts w:hint="eastAsia" w:eastAsia="楷体"/>
          <w:b w:val="0"/>
          <w:bCs w:val="0"/>
          <w:spacing w:val="-4"/>
          <w:sz w:val="32"/>
          <w:szCs w:val="32"/>
        </w:rPr>
        <w:t>故资金到位率指标得分5分。</w:t>
      </w:r>
      <w:r>
        <w:rPr>
          <w:rFonts w:hint="eastAsia" w:eastAsia="楷体"/>
          <w:b w:val="0"/>
          <w:bCs w:val="0"/>
          <w:spacing w:val="-4"/>
          <w:sz w:val="32"/>
          <w:szCs w:val="32"/>
        </w:rPr>
        <w:br w:type="textWrapping"/>
      </w:r>
      <w:r>
        <w:rPr>
          <w:rStyle w:val="19"/>
          <w:rFonts w:hint="eastAsia" w:eastAsia="楷体"/>
          <w:b w:val="0"/>
          <w:bCs w:val="0"/>
          <w:spacing w:val="-4"/>
          <w:sz w:val="32"/>
          <w:szCs w:val="32"/>
        </w:rPr>
        <w:t xml:space="preserve"> </w:t>
      </w:r>
      <w:r>
        <w:rPr>
          <w:rFonts w:hint="eastAsia" w:eastAsia="楷体"/>
          <w:b w:val="0"/>
          <w:bCs w:val="0"/>
          <w:spacing w:val="-4"/>
          <w:sz w:val="32"/>
          <w:szCs w:val="32"/>
        </w:rPr>
        <w:br w:type="textWrapping"/>
      </w:r>
      <w:r>
        <w:rPr>
          <w:rStyle w:val="19"/>
          <w:rFonts w:hint="eastAsia" w:eastAsia="楷体"/>
          <w:b w:val="0"/>
          <w:bCs w:val="0"/>
          <w:spacing w:val="-4"/>
          <w:sz w:val="32"/>
          <w:szCs w:val="32"/>
        </w:rPr>
        <w:t>预算执行率：该项目全年预算为2448.61万元，2024年支付2426.81万元，预算执行率99.91%。资金分8月、10月支付给项目单位。</w:t>
      </w:r>
      <w:r>
        <w:rPr>
          <w:rFonts w:hint="eastAsia" w:eastAsia="楷体"/>
          <w:b w:val="0"/>
          <w:bCs w:val="0"/>
          <w:spacing w:val="-4"/>
          <w:sz w:val="32"/>
          <w:szCs w:val="32"/>
        </w:rPr>
        <w:br w:type="textWrapping"/>
      </w:r>
      <w:r>
        <w:rPr>
          <w:rStyle w:val="19"/>
          <w:rFonts w:hint="eastAsia" w:eastAsia="楷体"/>
          <w:b w:val="0"/>
          <w:bCs w:val="0"/>
          <w:spacing w:val="-4"/>
          <w:sz w:val="32"/>
          <w:szCs w:val="32"/>
        </w:rPr>
        <w:t>故预算执行率得分为4.96分。</w:t>
      </w:r>
      <w:r>
        <w:rPr>
          <w:rFonts w:hint="eastAsia" w:eastAsia="楷体"/>
          <w:b w:val="0"/>
          <w:bCs w:val="0"/>
          <w:spacing w:val="-4"/>
          <w:sz w:val="32"/>
          <w:szCs w:val="32"/>
        </w:rPr>
        <w:br w:type="textWrapping"/>
      </w:r>
      <w:r>
        <w:rPr>
          <w:rStyle w:val="19"/>
          <w:rFonts w:hint="eastAsia" w:eastAsia="楷体"/>
          <w:b w:val="0"/>
          <w:bCs w:val="0"/>
          <w:spacing w:val="-4"/>
          <w:sz w:val="32"/>
          <w:szCs w:val="32"/>
        </w:rPr>
        <w:t xml:space="preserve"> </w:t>
      </w:r>
      <w:r>
        <w:rPr>
          <w:rFonts w:hint="eastAsia" w:eastAsia="楷体"/>
          <w:b w:val="0"/>
          <w:bCs w:val="0"/>
          <w:spacing w:val="-4"/>
          <w:sz w:val="32"/>
          <w:szCs w:val="32"/>
        </w:rPr>
        <w:br w:type="textWrapping"/>
      </w:r>
      <w:r>
        <w:rPr>
          <w:rStyle w:val="19"/>
          <w:rFonts w:hint="eastAsia" w:eastAsia="楷体"/>
          <w:b w:val="0"/>
          <w:bCs w:val="0"/>
          <w:spacing w:val="-4"/>
          <w:sz w:val="32"/>
          <w:szCs w:val="32"/>
        </w:rPr>
        <w:t>资金使用合规性：本项目资金的使用符合《服务业发展资金管理办法》等国家财经法规和财务管理制度以及《乌鲁木齐市知识产权运营服务体系建设专项资金管理办法》的规定。同时，资金的拨付有完整的审批程序和手续，符合项目预算批复或合同规定的用途，不存在截留、挤占、挪用、虚列支出等情况。故资金使用合规性得分为3分。</w:t>
      </w:r>
      <w:r>
        <w:rPr>
          <w:rFonts w:hint="eastAsia" w:eastAsia="楷体"/>
          <w:b w:val="0"/>
          <w:bCs w:val="0"/>
          <w:spacing w:val="-4"/>
          <w:sz w:val="32"/>
          <w:szCs w:val="32"/>
        </w:rPr>
        <w:br w:type="textWrapping"/>
      </w:r>
      <w:r>
        <w:rPr>
          <w:rStyle w:val="19"/>
          <w:rFonts w:hint="eastAsia" w:eastAsia="楷体"/>
          <w:b w:val="0"/>
          <w:bCs w:val="0"/>
          <w:spacing w:val="-4"/>
          <w:sz w:val="32"/>
          <w:szCs w:val="32"/>
        </w:rPr>
        <w:t>综上，该指标满分13分，得分12.96分。</w:t>
      </w:r>
      <w:r>
        <w:rPr>
          <w:rFonts w:hint="eastAsia" w:eastAsia="楷体"/>
          <w:b w:val="0"/>
          <w:bCs w:val="0"/>
          <w:spacing w:val="-4"/>
          <w:sz w:val="32"/>
          <w:szCs w:val="32"/>
        </w:rPr>
        <w:br w:type="textWrapping"/>
      </w:r>
      <w:r>
        <w:rPr>
          <w:rStyle w:val="19"/>
          <w:rFonts w:hint="eastAsia" w:eastAsia="楷体"/>
          <w:b w:val="0"/>
          <w:bCs w:val="0"/>
          <w:spacing w:val="-4"/>
          <w:sz w:val="32"/>
          <w:szCs w:val="32"/>
        </w:rPr>
        <w:t>2.组织实施</w:t>
      </w:r>
      <w:r>
        <w:rPr>
          <w:rFonts w:hint="eastAsia" w:eastAsia="楷体"/>
          <w:b w:val="0"/>
          <w:bCs w:val="0"/>
          <w:spacing w:val="-4"/>
          <w:sz w:val="32"/>
          <w:szCs w:val="32"/>
        </w:rPr>
        <w:br w:type="textWrapping"/>
      </w:r>
      <w:r>
        <w:rPr>
          <w:rStyle w:val="19"/>
          <w:rFonts w:hint="eastAsia" w:eastAsia="楷体"/>
          <w:b w:val="0"/>
          <w:bCs w:val="0"/>
          <w:spacing w:val="-4"/>
          <w:sz w:val="32"/>
          <w:szCs w:val="32"/>
        </w:rPr>
        <w:t>管理制度健全性：本项目已制定相应的《乌鲁木齐市知识产权运营服务体系建设实施方案》和《乌鲁木齐市知识产权运营服务体系建设专项资金管理办法》管理制度，且制度合法、合规、完整，为项目顺利实施提供重要保障。故管理制度健全性得分为3分。</w:t>
      </w:r>
      <w:r>
        <w:rPr>
          <w:rFonts w:hint="eastAsia" w:eastAsia="楷体"/>
          <w:b w:val="0"/>
          <w:bCs w:val="0"/>
          <w:spacing w:val="-4"/>
          <w:sz w:val="32"/>
          <w:szCs w:val="32"/>
        </w:rPr>
        <w:br w:type="textWrapping"/>
      </w:r>
      <w:r>
        <w:rPr>
          <w:rStyle w:val="19"/>
          <w:rFonts w:hint="eastAsia" w:eastAsia="楷体"/>
          <w:b w:val="0"/>
          <w:bCs w:val="0"/>
          <w:spacing w:val="-4"/>
          <w:sz w:val="32"/>
          <w:szCs w:val="32"/>
        </w:rPr>
        <w:t>制度执行有效性：根据评价小组核查情况，本项目严格遵守相关法律法规和相关管理规定，项目调整及支出调整手续完备，整体管理合理有序，项目完成后，及时将验收材料、会计凭证等相关资料分类归档，制度执行有效。故制度执行有效性指标得分4分。</w:t>
      </w:r>
      <w:r>
        <w:rPr>
          <w:rFonts w:hint="eastAsia" w:eastAsia="楷体"/>
          <w:b w:val="0"/>
          <w:bCs w:val="0"/>
          <w:spacing w:val="-4"/>
          <w:sz w:val="32"/>
          <w:szCs w:val="32"/>
        </w:rPr>
        <w:br w:type="textWrapping"/>
      </w:r>
      <w:r>
        <w:rPr>
          <w:rStyle w:val="19"/>
          <w:rFonts w:hint="eastAsia" w:eastAsia="楷体"/>
          <w:b w:val="0"/>
          <w:bCs w:val="0"/>
          <w:spacing w:val="-4"/>
          <w:sz w:val="32"/>
          <w:szCs w:val="32"/>
        </w:rPr>
        <w:t>综上，该指标满分7分，得分7分。</w:t>
      </w:r>
    </w:p>
    <w:p w14:paraId="1055609E">
      <w:pPr>
        <w:spacing w:line="540" w:lineRule="exact"/>
        <w:ind w:firstLine="627" w:firstLineChars="200"/>
        <w:rPr>
          <w:rFonts w:ascii="楷体" w:hAnsi="楷体" w:eastAsia="楷体"/>
          <w:b/>
          <w:spacing w:val="-4"/>
          <w:sz w:val="32"/>
          <w:szCs w:val="32"/>
        </w:rPr>
      </w:pPr>
      <w:r>
        <w:rPr>
          <w:rFonts w:hint="eastAsia" w:ascii="楷体" w:hAnsi="楷体" w:eastAsia="楷体"/>
          <w:b/>
          <w:spacing w:val="-4"/>
          <w:sz w:val="32"/>
          <w:szCs w:val="32"/>
        </w:rPr>
        <w:t>（三）</w:t>
      </w:r>
      <w:r>
        <w:rPr>
          <w:rStyle w:val="19"/>
          <w:rFonts w:hint="eastAsia" w:ascii="楷体" w:hAnsi="楷体" w:eastAsia="楷体"/>
          <w:spacing w:val="-4"/>
          <w:sz w:val="32"/>
          <w:szCs w:val="32"/>
        </w:rPr>
        <w:t>项目产出情况</w:t>
      </w:r>
    </w:p>
    <w:p w14:paraId="0F80F017">
      <w:pPr>
        <w:spacing w:line="540" w:lineRule="exact"/>
        <w:ind w:firstLine="624" w:firstLineChars="200"/>
        <w:rPr>
          <w:rStyle w:val="19"/>
          <w:rFonts w:eastAsia="楷体"/>
          <w:b w:val="0"/>
          <w:bCs w:val="0"/>
          <w:spacing w:val="-4"/>
          <w:sz w:val="32"/>
          <w:szCs w:val="32"/>
        </w:rPr>
      </w:pPr>
      <w:r>
        <w:rPr>
          <w:rStyle w:val="19"/>
          <w:rFonts w:hint="eastAsia" w:eastAsia="楷体"/>
          <w:b w:val="0"/>
          <w:bCs w:val="0"/>
          <w:spacing w:val="-4"/>
          <w:sz w:val="32"/>
          <w:szCs w:val="32"/>
        </w:rPr>
        <w:t>（三）项目产出情况</w:t>
      </w:r>
      <w:r>
        <w:rPr>
          <w:rFonts w:hint="eastAsia" w:eastAsia="楷体"/>
          <w:b w:val="0"/>
          <w:bCs w:val="0"/>
          <w:spacing w:val="-4"/>
          <w:sz w:val="32"/>
          <w:szCs w:val="32"/>
        </w:rPr>
        <w:br w:type="textWrapping"/>
      </w:r>
      <w:r>
        <w:rPr>
          <w:rStyle w:val="19"/>
          <w:rFonts w:hint="eastAsia" w:eastAsia="楷体"/>
          <w:b w:val="0"/>
          <w:bCs w:val="0"/>
          <w:spacing w:val="-4"/>
          <w:sz w:val="32"/>
          <w:szCs w:val="32"/>
        </w:rPr>
        <w:t>项目产出指标由4个二级指标和6个三级指标构成，权重为43分，实际得分43分。</w:t>
      </w:r>
      <w:r>
        <w:rPr>
          <w:rFonts w:hint="eastAsia" w:eastAsia="楷体"/>
          <w:b w:val="0"/>
          <w:bCs w:val="0"/>
          <w:spacing w:val="-4"/>
          <w:sz w:val="32"/>
          <w:szCs w:val="32"/>
        </w:rPr>
        <w:br w:type="textWrapping"/>
      </w:r>
      <w:r>
        <w:rPr>
          <w:rStyle w:val="19"/>
          <w:rFonts w:hint="eastAsia" w:eastAsia="楷体"/>
          <w:b w:val="0"/>
          <w:bCs w:val="0"/>
          <w:spacing w:val="-4"/>
          <w:sz w:val="32"/>
          <w:szCs w:val="32"/>
        </w:rPr>
        <w:t>1.产出数量</w:t>
      </w:r>
      <w:r>
        <w:rPr>
          <w:rFonts w:hint="eastAsia" w:eastAsia="楷体"/>
          <w:b w:val="0"/>
          <w:bCs w:val="0"/>
          <w:spacing w:val="-4"/>
          <w:sz w:val="32"/>
          <w:szCs w:val="32"/>
        </w:rPr>
        <w:br w:type="textWrapping"/>
      </w:r>
      <w:r>
        <w:rPr>
          <w:rStyle w:val="19"/>
          <w:rFonts w:hint="eastAsia" w:eastAsia="楷体"/>
          <w:b w:val="0"/>
          <w:bCs w:val="0"/>
          <w:spacing w:val="-4"/>
          <w:sz w:val="32"/>
          <w:szCs w:val="32"/>
        </w:rPr>
        <w:t>数量指标“支持建设高价值专利培育中心”的目标值是8个，分别为建设新能源核心装备高价值专利培育中心、风电产业高价值专利培育中心、动物疫病防治高价值专利培育中心、特种工业润滑材料高价值专利培育中心、医药大健康产业高价值专利培育中心、氨基酸合成生物产业高价值专利培育中心、能源互联网高价值专利培育中心、基于大数据智慧城市建设高价值专利培育中心，2024年度我单位实际完成8个。</w:t>
      </w:r>
      <w:r>
        <w:rPr>
          <w:rFonts w:hint="eastAsia" w:eastAsia="楷体"/>
          <w:b w:val="0"/>
          <w:bCs w:val="0"/>
          <w:spacing w:val="-4"/>
          <w:sz w:val="32"/>
          <w:szCs w:val="32"/>
        </w:rPr>
        <w:br w:type="textWrapping"/>
      </w:r>
      <w:r>
        <w:rPr>
          <w:rStyle w:val="19"/>
          <w:rFonts w:hint="eastAsia" w:eastAsia="楷体"/>
          <w:b w:val="0"/>
          <w:bCs w:val="0"/>
          <w:spacing w:val="-4"/>
          <w:sz w:val="32"/>
          <w:szCs w:val="32"/>
        </w:rPr>
        <w:t>数量指标“高价值专利转移转化协同中心”的目标值是3个，分别为建设新思路高价值专利转移转化协同中心、高价值专利转移转化协同中心、乌鲁木齐高价值专利转移转化协同中心，2024年度我单位实际完成3个。</w:t>
      </w:r>
      <w:r>
        <w:rPr>
          <w:rFonts w:hint="eastAsia" w:eastAsia="楷体"/>
          <w:b w:val="0"/>
          <w:bCs w:val="0"/>
          <w:spacing w:val="-4"/>
          <w:sz w:val="32"/>
          <w:szCs w:val="32"/>
        </w:rPr>
        <w:br w:type="textWrapping"/>
      </w:r>
      <w:r>
        <w:rPr>
          <w:rStyle w:val="19"/>
          <w:rFonts w:hint="eastAsia" w:eastAsia="楷体"/>
          <w:b w:val="0"/>
          <w:bCs w:val="0"/>
          <w:spacing w:val="-4"/>
          <w:sz w:val="32"/>
          <w:szCs w:val="32"/>
        </w:rPr>
        <w:t>数量指标“建设乌鲁木齐市知识产权运营服务平台”的目标值是1个，2024年度我单位实际完成1个。</w:t>
      </w:r>
      <w:r>
        <w:rPr>
          <w:rFonts w:hint="eastAsia" w:eastAsia="楷体"/>
          <w:b w:val="0"/>
          <w:bCs w:val="0"/>
          <w:spacing w:val="-4"/>
          <w:sz w:val="32"/>
          <w:szCs w:val="32"/>
        </w:rPr>
        <w:br w:type="textWrapping"/>
      </w:r>
      <w:r>
        <w:rPr>
          <w:rStyle w:val="19"/>
          <w:rFonts w:hint="eastAsia" w:eastAsia="楷体"/>
          <w:b w:val="0"/>
          <w:bCs w:val="0"/>
          <w:spacing w:val="-4"/>
          <w:sz w:val="32"/>
          <w:szCs w:val="32"/>
        </w:rPr>
        <w:t>实际完成率：100%，故实际完成率得分为29分。</w:t>
      </w:r>
      <w:r>
        <w:rPr>
          <w:rFonts w:hint="eastAsia" w:eastAsia="楷体"/>
          <w:b w:val="0"/>
          <w:bCs w:val="0"/>
          <w:spacing w:val="-4"/>
          <w:sz w:val="32"/>
          <w:szCs w:val="32"/>
        </w:rPr>
        <w:br w:type="textWrapping"/>
      </w:r>
      <w:r>
        <w:rPr>
          <w:rStyle w:val="19"/>
          <w:rFonts w:hint="eastAsia" w:eastAsia="楷体"/>
          <w:b w:val="0"/>
          <w:bCs w:val="0"/>
          <w:spacing w:val="-4"/>
          <w:sz w:val="32"/>
          <w:szCs w:val="32"/>
        </w:rPr>
        <w:t>2.产出质量</w:t>
      </w:r>
      <w:r>
        <w:rPr>
          <w:rFonts w:hint="eastAsia" w:eastAsia="楷体"/>
          <w:b w:val="0"/>
          <w:bCs w:val="0"/>
          <w:spacing w:val="-4"/>
          <w:sz w:val="32"/>
          <w:szCs w:val="32"/>
        </w:rPr>
        <w:br w:type="textWrapping"/>
      </w:r>
      <w:r>
        <w:rPr>
          <w:rStyle w:val="19"/>
          <w:rFonts w:hint="eastAsia" w:eastAsia="楷体"/>
          <w:b w:val="0"/>
          <w:bCs w:val="0"/>
          <w:spacing w:val="-4"/>
          <w:sz w:val="32"/>
          <w:szCs w:val="32"/>
        </w:rPr>
        <w:t>开展绩效评价工作（申报类项目开展绩效评价覆盖率）：“支持建设高价值专利培育中心”的目标值是8个，分别为新能源核心装备高价值专利培育中心、风电产业高价值专利培育中心、动物疫病防治高价值专利培育中心、特种工业润滑材料高价值专利培育中心、医药大健康产业高价值专利培育中心、氨基酸合成生物产业高价值专利培育中心、能源互联网高价值专利培育中心、基于大数据智慧城市建设高价值专利培育中心。“高价值专利转移转化协同中心”的目标值是3个，分别为新思路高价值专利转移转化协同中心、高价值专利转移转化协同中心、乌鲁木齐高价值专利转移转化协同中心。“建设乌鲁木齐市知识产权运营服务平台”的目标值是1个。申报类项目全部按要求开展中期检查和结项验收工作，材料齐备，质量达标率得分为6分。</w:t>
      </w:r>
      <w:r>
        <w:rPr>
          <w:rFonts w:hint="eastAsia" w:eastAsia="楷体"/>
          <w:b w:val="0"/>
          <w:bCs w:val="0"/>
          <w:spacing w:val="-4"/>
          <w:sz w:val="32"/>
          <w:szCs w:val="32"/>
        </w:rPr>
        <w:br w:type="textWrapping"/>
      </w:r>
      <w:r>
        <w:rPr>
          <w:rStyle w:val="19"/>
          <w:rFonts w:hint="eastAsia" w:eastAsia="楷体"/>
          <w:b w:val="0"/>
          <w:bCs w:val="0"/>
          <w:spacing w:val="-4"/>
          <w:sz w:val="32"/>
          <w:szCs w:val="32"/>
        </w:rPr>
        <w:t>3.产出时效</w:t>
      </w:r>
      <w:r>
        <w:rPr>
          <w:rFonts w:hint="eastAsia" w:eastAsia="楷体"/>
          <w:b w:val="0"/>
          <w:bCs w:val="0"/>
          <w:spacing w:val="-4"/>
          <w:sz w:val="32"/>
          <w:szCs w:val="32"/>
        </w:rPr>
        <w:br w:type="textWrapping"/>
      </w:r>
      <w:r>
        <w:rPr>
          <w:rStyle w:val="19"/>
          <w:rFonts w:hint="eastAsia" w:eastAsia="楷体"/>
          <w:b w:val="0"/>
          <w:bCs w:val="0"/>
          <w:spacing w:val="-4"/>
          <w:sz w:val="32"/>
          <w:szCs w:val="32"/>
        </w:rPr>
        <w:t>完成及时性：</w:t>
      </w:r>
      <w:r>
        <w:rPr>
          <w:rFonts w:hint="eastAsia" w:eastAsia="楷体"/>
          <w:b w:val="0"/>
          <w:bCs w:val="0"/>
          <w:spacing w:val="-4"/>
          <w:sz w:val="32"/>
          <w:szCs w:val="32"/>
        </w:rPr>
        <w:br w:type="textWrapping"/>
      </w:r>
      <w:r>
        <w:rPr>
          <w:rStyle w:val="19"/>
          <w:rFonts w:hint="eastAsia" w:eastAsia="楷体"/>
          <w:b w:val="0"/>
          <w:bCs w:val="0"/>
          <w:spacing w:val="-4"/>
          <w:sz w:val="32"/>
          <w:szCs w:val="32"/>
        </w:rPr>
        <w:t>及时完成“支持建设高价值专利培育中心”8个，分别为新能源核心装备高价值专利培育中心、风电产业高价值专利培育中心、动物疫病防治高价值专利培育中心、特种工业润滑材料高价值专利培育中心、医药大健康产业高价值专利培育中心、氨基酸合成生物产业高价值专利培育中心、能源互联网高价值专利培育中心、基于大数据智慧城市建设高价值专利培育中心。“高价值专利转移转化协同中心”3个，分别为新思路高价值专利转移转化协同中心、高价值专利转移转化协同中心、乌鲁木齐高价值专利转移转化协同中心。“建设乌鲁木齐市知识产权运营服务平台”1个。故完成及时性得分为5分。</w:t>
      </w:r>
      <w:r>
        <w:rPr>
          <w:rFonts w:hint="eastAsia" w:eastAsia="楷体"/>
          <w:b w:val="0"/>
          <w:bCs w:val="0"/>
          <w:spacing w:val="-4"/>
          <w:sz w:val="32"/>
          <w:szCs w:val="32"/>
        </w:rPr>
        <w:br w:type="textWrapping"/>
      </w:r>
      <w:r>
        <w:rPr>
          <w:rStyle w:val="19"/>
          <w:rFonts w:hint="eastAsia" w:eastAsia="楷体"/>
          <w:b w:val="0"/>
          <w:bCs w:val="0"/>
          <w:spacing w:val="-4"/>
          <w:sz w:val="32"/>
          <w:szCs w:val="32"/>
        </w:rPr>
        <w:t>4.产出成本</w:t>
      </w:r>
      <w:r>
        <w:rPr>
          <w:rFonts w:hint="eastAsia" w:eastAsia="楷体"/>
          <w:b w:val="0"/>
          <w:bCs w:val="0"/>
          <w:spacing w:val="-4"/>
          <w:sz w:val="32"/>
          <w:szCs w:val="32"/>
        </w:rPr>
        <w:br w:type="textWrapping"/>
      </w:r>
      <w:r>
        <w:rPr>
          <w:rStyle w:val="19"/>
          <w:rFonts w:hint="eastAsia" w:eastAsia="楷体"/>
          <w:b w:val="0"/>
          <w:bCs w:val="0"/>
          <w:spacing w:val="-4"/>
          <w:sz w:val="32"/>
          <w:szCs w:val="32"/>
        </w:rPr>
        <w:t>截至2024年12月31日，纳入本次绩效评价范围知识产权运营服务体系建设支出中央财政资金2426.81万元，未超支。</w:t>
      </w:r>
      <w:r>
        <w:rPr>
          <w:rFonts w:hint="eastAsia" w:eastAsia="楷体"/>
          <w:b w:val="0"/>
          <w:bCs w:val="0"/>
          <w:spacing w:val="-4"/>
          <w:sz w:val="32"/>
          <w:szCs w:val="32"/>
        </w:rPr>
        <w:br w:type="textWrapping"/>
      </w:r>
      <w:r>
        <w:rPr>
          <w:rStyle w:val="19"/>
          <w:rFonts w:hint="eastAsia" w:eastAsia="楷体"/>
          <w:b w:val="0"/>
          <w:bCs w:val="0"/>
          <w:spacing w:val="-4"/>
          <w:sz w:val="32"/>
          <w:szCs w:val="32"/>
        </w:rPr>
        <w:t>项目成本超支率：100%。故产出成本得分为3分。</w:t>
      </w:r>
      <w:r>
        <w:rPr>
          <w:rFonts w:hint="eastAsia" w:eastAsia="楷体"/>
          <w:b w:val="0"/>
          <w:bCs w:val="0"/>
          <w:spacing w:val="-4"/>
          <w:sz w:val="32"/>
          <w:szCs w:val="32"/>
        </w:rPr>
        <w:br w:type="textWrapping"/>
      </w:r>
      <w:r>
        <w:rPr>
          <w:rStyle w:val="19"/>
          <w:rFonts w:hint="eastAsia" w:eastAsia="楷体"/>
          <w:b w:val="0"/>
          <w:bCs w:val="0"/>
          <w:spacing w:val="-4"/>
          <w:sz w:val="32"/>
          <w:szCs w:val="32"/>
        </w:rPr>
        <w:t>综上，该部分指标满分43分，得分43分。</w:t>
      </w:r>
    </w:p>
    <w:p w14:paraId="0FD526FD">
      <w:pPr>
        <w:spacing w:line="540" w:lineRule="exact"/>
        <w:ind w:firstLine="627" w:firstLineChars="200"/>
        <w:rPr>
          <w:rFonts w:ascii="楷体" w:hAnsi="楷体" w:eastAsia="楷体"/>
          <w:b/>
          <w:spacing w:val="-4"/>
          <w:sz w:val="32"/>
          <w:szCs w:val="32"/>
        </w:rPr>
      </w:pPr>
      <w:r>
        <w:rPr>
          <w:rFonts w:hint="eastAsia" w:ascii="楷体" w:hAnsi="楷体" w:eastAsia="楷体"/>
          <w:b/>
          <w:spacing w:val="-4"/>
          <w:sz w:val="32"/>
          <w:szCs w:val="32"/>
        </w:rPr>
        <w:t>（四）</w:t>
      </w:r>
      <w:r>
        <w:rPr>
          <w:rStyle w:val="19"/>
          <w:rFonts w:hint="eastAsia" w:ascii="楷体" w:hAnsi="楷体" w:eastAsia="楷体"/>
          <w:spacing w:val="-4"/>
          <w:sz w:val="32"/>
          <w:szCs w:val="32"/>
        </w:rPr>
        <w:t>项目效益情况</w:t>
      </w:r>
    </w:p>
    <w:p w14:paraId="78FC40BA">
      <w:pPr>
        <w:spacing w:line="540" w:lineRule="exact"/>
        <w:ind w:firstLine="624" w:firstLineChars="200"/>
        <w:rPr>
          <w:rStyle w:val="19"/>
          <w:rFonts w:eastAsia="楷体"/>
          <w:b w:val="0"/>
          <w:bCs w:val="0"/>
          <w:spacing w:val="-4"/>
          <w:sz w:val="32"/>
          <w:szCs w:val="32"/>
        </w:rPr>
      </w:pPr>
      <w:r>
        <w:rPr>
          <w:rStyle w:val="19"/>
          <w:rFonts w:hint="eastAsia" w:eastAsia="楷体"/>
          <w:b w:val="0"/>
          <w:bCs w:val="0"/>
          <w:spacing w:val="-4"/>
          <w:sz w:val="32"/>
          <w:szCs w:val="32"/>
        </w:rPr>
        <w:t>四）项目效益情况</w:t>
      </w:r>
      <w:r>
        <w:rPr>
          <w:rFonts w:hint="eastAsia" w:eastAsia="楷体"/>
          <w:b w:val="0"/>
          <w:bCs w:val="0"/>
          <w:spacing w:val="-4"/>
          <w:sz w:val="32"/>
          <w:szCs w:val="32"/>
        </w:rPr>
        <w:br w:type="textWrapping"/>
      </w:r>
      <w:r>
        <w:rPr>
          <w:rStyle w:val="19"/>
          <w:rFonts w:hint="eastAsia" w:eastAsia="楷体"/>
          <w:b w:val="0"/>
          <w:bCs w:val="0"/>
          <w:spacing w:val="-4"/>
          <w:sz w:val="32"/>
          <w:szCs w:val="32"/>
        </w:rPr>
        <w:t>项目效益指标由1个二级指标和2个三级指标构成，权重为12分，实际得分12分。</w:t>
      </w:r>
      <w:r>
        <w:rPr>
          <w:rFonts w:hint="eastAsia" w:eastAsia="楷体"/>
          <w:b w:val="0"/>
          <w:bCs w:val="0"/>
          <w:spacing w:val="-4"/>
          <w:sz w:val="32"/>
          <w:szCs w:val="32"/>
        </w:rPr>
        <w:br w:type="textWrapping"/>
      </w:r>
      <w:r>
        <w:rPr>
          <w:rStyle w:val="19"/>
          <w:rFonts w:hint="eastAsia" w:eastAsia="楷体"/>
          <w:b w:val="0"/>
          <w:bCs w:val="0"/>
          <w:spacing w:val="-4"/>
          <w:sz w:val="32"/>
          <w:szCs w:val="32"/>
        </w:rPr>
        <w:t>1.项目效益</w:t>
      </w:r>
      <w:r>
        <w:rPr>
          <w:rFonts w:hint="eastAsia" w:eastAsia="楷体"/>
          <w:b w:val="0"/>
          <w:bCs w:val="0"/>
          <w:spacing w:val="-4"/>
          <w:sz w:val="32"/>
          <w:szCs w:val="32"/>
        </w:rPr>
        <w:br w:type="textWrapping"/>
      </w:r>
      <w:r>
        <w:rPr>
          <w:rStyle w:val="19"/>
          <w:rFonts w:hint="eastAsia" w:eastAsia="楷体"/>
          <w:b w:val="0"/>
          <w:bCs w:val="0"/>
          <w:spacing w:val="-4"/>
          <w:sz w:val="32"/>
          <w:szCs w:val="32"/>
        </w:rPr>
        <w:t>（1）实施效益</w:t>
      </w:r>
      <w:r>
        <w:rPr>
          <w:rFonts w:hint="eastAsia" w:eastAsia="楷体"/>
          <w:b w:val="0"/>
          <w:bCs w:val="0"/>
          <w:spacing w:val="-4"/>
          <w:sz w:val="32"/>
          <w:szCs w:val="32"/>
        </w:rPr>
        <w:br w:type="textWrapping"/>
      </w:r>
      <w:r>
        <w:rPr>
          <w:rStyle w:val="19"/>
          <w:rFonts w:hint="eastAsia" w:eastAsia="楷体"/>
          <w:b w:val="0"/>
          <w:bCs w:val="0"/>
          <w:spacing w:val="-4"/>
          <w:sz w:val="32"/>
          <w:szCs w:val="32"/>
        </w:rPr>
        <w:t>经济效益指标：不适用。</w:t>
      </w:r>
      <w:r>
        <w:rPr>
          <w:rFonts w:hint="eastAsia" w:eastAsia="楷体"/>
          <w:b w:val="0"/>
          <w:bCs w:val="0"/>
          <w:spacing w:val="-4"/>
          <w:sz w:val="32"/>
          <w:szCs w:val="32"/>
        </w:rPr>
        <w:br w:type="textWrapping"/>
      </w:r>
      <w:r>
        <w:rPr>
          <w:rStyle w:val="19"/>
          <w:rFonts w:hint="eastAsia" w:eastAsia="楷体"/>
          <w:b w:val="0"/>
          <w:bCs w:val="0"/>
          <w:spacing w:val="-4"/>
          <w:sz w:val="32"/>
          <w:szCs w:val="32"/>
        </w:rPr>
        <w:t>社会效益指标：1、评价指标“知识产权发展水平（年有效发明专利增长率）”，指标值：5%，实际完成值：10.7%。达成年度指标。本项目的实施，推动2024年我市知识产权发展水平逐步提高，年有效发明增长率达到10.7%，2、评价指标“知识产权运营服务平台注册企业及个人”，指标值：500，实际完成值：1130。达成年度指标。本项目的实施，推动2024年我市知识产权发展水平逐步提高，年有效发明增长率达到10.7%，知识产权运营服务平台注册企业及个人达到1130家。各项知识产权管理制度和政策体系更为健全，知识产权运营服务体系更加高效，知识产权市场价值有效体现，知识产权引领创新和促进乌鲁木齐市高质量发展的效果更加明显。</w:t>
      </w:r>
      <w:r>
        <w:rPr>
          <w:rFonts w:hint="eastAsia" w:eastAsia="楷体"/>
          <w:b w:val="0"/>
          <w:bCs w:val="0"/>
          <w:spacing w:val="-4"/>
          <w:sz w:val="32"/>
          <w:szCs w:val="32"/>
        </w:rPr>
        <w:br w:type="textWrapping"/>
      </w:r>
      <w:r>
        <w:rPr>
          <w:rStyle w:val="19"/>
          <w:rFonts w:hint="eastAsia" w:eastAsia="楷体"/>
          <w:b w:val="0"/>
          <w:bCs w:val="0"/>
          <w:spacing w:val="-4"/>
          <w:sz w:val="32"/>
          <w:szCs w:val="32"/>
        </w:rPr>
        <w:t>生态效益指标：不适用。</w:t>
      </w:r>
      <w:r>
        <w:rPr>
          <w:rFonts w:hint="eastAsia" w:eastAsia="楷体"/>
          <w:b w:val="0"/>
          <w:bCs w:val="0"/>
          <w:spacing w:val="-4"/>
          <w:sz w:val="32"/>
          <w:szCs w:val="32"/>
        </w:rPr>
        <w:br w:type="textWrapping"/>
      </w:r>
      <w:r>
        <w:rPr>
          <w:rStyle w:val="19"/>
          <w:rFonts w:hint="eastAsia" w:eastAsia="楷体"/>
          <w:b w:val="0"/>
          <w:bCs w:val="0"/>
          <w:spacing w:val="-4"/>
          <w:sz w:val="32"/>
          <w:szCs w:val="32"/>
        </w:rPr>
        <w:t>综上，该指标满分12分，得分12分。</w:t>
      </w:r>
    </w:p>
    <w:p w14:paraId="42CB23E1">
      <w:pPr>
        <w:spacing w:line="540" w:lineRule="exact"/>
        <w:ind w:firstLine="624" w:firstLineChars="200"/>
        <w:rPr>
          <w:rStyle w:val="19"/>
          <w:rFonts w:eastAsia="楷体"/>
          <w:b w:val="0"/>
          <w:bCs w:val="0"/>
          <w:spacing w:val="-4"/>
          <w:sz w:val="32"/>
          <w:szCs w:val="32"/>
        </w:rPr>
      </w:pPr>
      <w:r>
        <w:rPr>
          <w:rStyle w:val="19"/>
          <w:rFonts w:hint="eastAsia" w:eastAsia="楷体"/>
          <w:b w:val="0"/>
          <w:bCs w:val="0"/>
          <w:spacing w:val="-4"/>
          <w:sz w:val="32"/>
          <w:szCs w:val="32"/>
        </w:rPr>
        <w:t>（五）满意度指标完成情况分析</w:t>
      </w:r>
      <w:r>
        <w:rPr>
          <w:rFonts w:hint="eastAsia" w:eastAsia="楷体"/>
          <w:b w:val="0"/>
          <w:bCs w:val="0"/>
          <w:spacing w:val="-4"/>
          <w:sz w:val="32"/>
          <w:szCs w:val="32"/>
        </w:rPr>
        <w:br w:type="textWrapping"/>
      </w:r>
      <w:r>
        <w:rPr>
          <w:rStyle w:val="19"/>
          <w:rFonts w:hint="eastAsia" w:eastAsia="楷体"/>
          <w:b w:val="0"/>
          <w:bCs w:val="0"/>
          <w:spacing w:val="-4"/>
          <w:sz w:val="32"/>
          <w:szCs w:val="32"/>
        </w:rPr>
        <w:t>满意度指标由1个二级指标和1个三级指标构成，权重为5分，实际得分5分。</w:t>
      </w:r>
      <w:r>
        <w:rPr>
          <w:rFonts w:hint="eastAsia" w:eastAsia="楷体"/>
          <w:b w:val="0"/>
          <w:bCs w:val="0"/>
          <w:spacing w:val="-4"/>
          <w:sz w:val="32"/>
          <w:szCs w:val="32"/>
        </w:rPr>
        <w:br w:type="textWrapping"/>
      </w:r>
      <w:r>
        <w:rPr>
          <w:rStyle w:val="19"/>
          <w:rFonts w:hint="eastAsia" w:eastAsia="楷体"/>
          <w:b w:val="0"/>
          <w:bCs w:val="0"/>
          <w:spacing w:val="-4"/>
          <w:sz w:val="32"/>
          <w:szCs w:val="32"/>
        </w:rPr>
        <w:t>（1）满意度指标</w:t>
      </w:r>
      <w:r>
        <w:rPr>
          <w:rFonts w:hint="eastAsia" w:eastAsia="楷体"/>
          <w:b w:val="0"/>
          <w:bCs w:val="0"/>
          <w:spacing w:val="-4"/>
          <w:sz w:val="32"/>
          <w:szCs w:val="32"/>
        </w:rPr>
        <w:br w:type="textWrapping"/>
      </w:r>
      <w:r>
        <w:rPr>
          <w:rStyle w:val="19"/>
          <w:rFonts w:hint="eastAsia" w:eastAsia="楷体"/>
          <w:b w:val="0"/>
          <w:bCs w:val="0"/>
          <w:spacing w:val="-4"/>
          <w:sz w:val="32"/>
          <w:szCs w:val="32"/>
        </w:rPr>
        <w:t>群众满意度：评价指标支持项目承担单位满意度，指标值：85%，实际完成值92.68%。通过设置问卷调查的方式进行考评评价，共计有效调查问卷41份，其中：38份为满意，3份比较满意。</w:t>
      </w:r>
      <w:r>
        <w:rPr>
          <w:rFonts w:hint="eastAsia" w:eastAsia="楷体"/>
          <w:b w:val="0"/>
          <w:bCs w:val="0"/>
          <w:spacing w:val="-4"/>
          <w:sz w:val="32"/>
          <w:szCs w:val="32"/>
        </w:rPr>
        <w:br w:type="textWrapping"/>
      </w:r>
      <w:r>
        <w:rPr>
          <w:rStyle w:val="19"/>
          <w:rFonts w:hint="eastAsia" w:eastAsia="楷体"/>
          <w:b w:val="0"/>
          <w:bCs w:val="0"/>
          <w:spacing w:val="-4"/>
          <w:sz w:val="32"/>
          <w:szCs w:val="32"/>
        </w:rPr>
        <w:t>综上，该指标满分5分，得分5分。</w:t>
      </w:r>
    </w:p>
    <w:p w14:paraId="53C13063">
      <w:pPr>
        <w:spacing w:line="540" w:lineRule="exact"/>
        <w:ind w:firstLine="624" w:firstLineChars="200"/>
        <w:rPr>
          <w:rStyle w:val="19"/>
          <w:rFonts w:ascii="黑体" w:hAnsi="黑体" w:eastAsia="黑体"/>
          <w:b w:val="0"/>
          <w:spacing w:val="-4"/>
          <w:sz w:val="32"/>
          <w:szCs w:val="32"/>
        </w:rPr>
      </w:pPr>
      <w:r>
        <w:rPr>
          <w:rStyle w:val="19"/>
          <w:rFonts w:hint="eastAsia" w:ascii="黑体" w:hAnsi="黑体" w:eastAsia="黑体"/>
          <w:b w:val="0"/>
          <w:spacing w:val="-4"/>
          <w:sz w:val="32"/>
          <w:szCs w:val="32"/>
        </w:rPr>
        <w:t>五、主要经验及做法、存在的问题及原因分析</w:t>
      </w:r>
    </w:p>
    <w:p w14:paraId="73A47FCE">
      <w:pPr>
        <w:spacing w:line="540" w:lineRule="exact"/>
        <w:ind w:firstLine="624" w:firstLineChars="200"/>
        <w:rPr>
          <w:rStyle w:val="19"/>
          <w:rFonts w:eastAsia="楷体"/>
        </w:rPr>
      </w:pPr>
      <w:r>
        <w:rPr>
          <w:rStyle w:val="19"/>
          <w:rFonts w:hint="eastAsia" w:eastAsia="楷体"/>
          <w:b w:val="0"/>
          <w:bCs w:val="0"/>
          <w:spacing w:val="-4"/>
          <w:sz w:val="32"/>
          <w:szCs w:val="32"/>
        </w:rPr>
        <w:t>五、主要经验及做法、存在的问题及原因分析</w:t>
      </w:r>
      <w:r>
        <w:rPr>
          <w:rFonts w:hint="eastAsia" w:eastAsia="楷体"/>
          <w:b w:val="0"/>
          <w:bCs w:val="0"/>
          <w:spacing w:val="-4"/>
          <w:sz w:val="32"/>
          <w:szCs w:val="32"/>
        </w:rPr>
        <w:br w:type="textWrapping"/>
      </w:r>
      <w:r>
        <w:rPr>
          <w:rStyle w:val="19"/>
          <w:rFonts w:hint="eastAsia" w:eastAsia="楷体"/>
          <w:b w:val="0"/>
          <w:bCs w:val="0"/>
          <w:spacing w:val="-4"/>
          <w:sz w:val="32"/>
          <w:szCs w:val="32"/>
        </w:rPr>
        <w:t>（一）主要经验及做法</w:t>
      </w:r>
      <w:r>
        <w:rPr>
          <w:rFonts w:hint="eastAsia" w:eastAsia="楷体"/>
          <w:b w:val="0"/>
          <w:bCs w:val="0"/>
          <w:spacing w:val="-4"/>
          <w:sz w:val="32"/>
          <w:szCs w:val="32"/>
        </w:rPr>
        <w:br w:type="textWrapping"/>
      </w:r>
      <w:r>
        <w:rPr>
          <w:rStyle w:val="19"/>
          <w:rFonts w:hint="eastAsia" w:eastAsia="楷体"/>
          <w:b w:val="0"/>
          <w:bCs w:val="0"/>
          <w:spacing w:val="-4"/>
          <w:sz w:val="32"/>
          <w:szCs w:val="32"/>
        </w:rPr>
        <w:t>1.政策创新</w:t>
      </w:r>
      <w:r>
        <w:rPr>
          <w:rFonts w:hint="eastAsia" w:eastAsia="楷体"/>
          <w:b w:val="0"/>
          <w:bCs w:val="0"/>
          <w:spacing w:val="-4"/>
          <w:sz w:val="32"/>
          <w:szCs w:val="32"/>
        </w:rPr>
        <w:br w:type="textWrapping"/>
      </w:r>
      <w:r>
        <w:rPr>
          <w:rStyle w:val="19"/>
          <w:rFonts w:hint="eastAsia" w:eastAsia="楷体"/>
          <w:b w:val="0"/>
          <w:bCs w:val="0"/>
          <w:spacing w:val="-4"/>
          <w:sz w:val="32"/>
          <w:szCs w:val="32"/>
        </w:rPr>
        <w:t>建设期内，有针对性的出台相关政策及重要文件共计30项，涵盖政策指导、资金使用、项目管理、部门间合作等多个领域。《实施方案》和《资金管理办法》两个指导性政策及时出台，为工作的开展奠定良好基础。乌鲁木齐市知识产权工作相对薄弱，缺乏完善系统的政策体系。多项政策的颁布对于乌鲁木齐市意味着突破和创新，结合乌鲁木齐市实际、多部门协同、上下联动、以促进高质量发展为导向是乌鲁木齐市的有益经验。</w:t>
      </w:r>
      <w:r>
        <w:rPr>
          <w:rFonts w:hint="eastAsia" w:eastAsia="楷体"/>
          <w:b w:val="0"/>
          <w:bCs w:val="0"/>
          <w:spacing w:val="-4"/>
          <w:sz w:val="32"/>
          <w:szCs w:val="32"/>
        </w:rPr>
        <w:br w:type="textWrapping"/>
      </w:r>
      <w:r>
        <w:rPr>
          <w:rStyle w:val="19"/>
          <w:rFonts w:hint="eastAsia" w:eastAsia="楷体"/>
          <w:b w:val="0"/>
          <w:bCs w:val="0"/>
          <w:spacing w:val="-4"/>
          <w:sz w:val="32"/>
          <w:szCs w:val="32"/>
        </w:rPr>
        <w:t>3月28日，在乌鲁木齐市推进知识产权强市建设座谈会上，《乌鲁木齐市推进丝绸之路经济带知识产权强市建设实施方案》正式发布。充分利用知识产权运营服务体系建设取得的宝贵财富，经过5年建设，我市知识产权创造、运用、保护、管理、服务体系不断健全，知识产权综合能力大幅提升，知识产权领域治理能力和治理水平明显提高，知识产权在工业强基增效和转型升级发展中的激励创新、保护创新作用更加凸显，丝绸之路经济带知识产权强市初步建成。</w:t>
      </w:r>
      <w:r>
        <w:rPr>
          <w:rFonts w:hint="eastAsia" w:eastAsia="楷体"/>
          <w:b w:val="0"/>
          <w:bCs w:val="0"/>
          <w:spacing w:val="-4"/>
          <w:sz w:val="32"/>
          <w:szCs w:val="32"/>
        </w:rPr>
        <w:br w:type="textWrapping"/>
      </w:r>
      <w:r>
        <w:rPr>
          <w:rStyle w:val="19"/>
          <w:rFonts w:hint="eastAsia" w:eastAsia="楷体"/>
          <w:b w:val="0"/>
          <w:bCs w:val="0"/>
          <w:spacing w:val="-4"/>
          <w:sz w:val="32"/>
          <w:szCs w:val="32"/>
        </w:rPr>
        <w:t>由市政府印发的《乌鲁木齐市科技成果转化和知识产权创造实施奖励办法》（乌政办规〔2023〕年8号）将科技成果转化与知识产权创造相结合，由市财政拨出专项资金，鼓励企业、高校、科研院所、服务机构积极开展两项工作，由此推进乌鲁木齐市科技成果和知识产权产出及转化为现实生产力，促进科技与经济紧密结合，推动经济社会高质量发展。</w:t>
      </w:r>
      <w:r>
        <w:rPr>
          <w:rFonts w:hint="eastAsia" w:eastAsia="楷体"/>
          <w:b w:val="0"/>
          <w:bCs w:val="0"/>
          <w:spacing w:val="-4"/>
          <w:sz w:val="32"/>
          <w:szCs w:val="32"/>
        </w:rPr>
        <w:br w:type="textWrapping"/>
      </w:r>
      <w:r>
        <w:rPr>
          <w:rStyle w:val="19"/>
          <w:rFonts w:hint="eastAsia" w:eastAsia="楷体"/>
          <w:b w:val="0"/>
          <w:bCs w:val="0"/>
          <w:spacing w:val="-4"/>
          <w:sz w:val="32"/>
          <w:szCs w:val="32"/>
        </w:rPr>
        <w:t>乌鲁木齐市甘泉堡经济技术开发区（工业区）获批全国首批国家级专利导航服务基地，市市场监督管理局利用运营服务体系建设经验，与甘泉堡分局多次沟通交流、介绍实施经验、推荐专业机构，成立乌鲁木齐市市场监督管理局与甘泉堡经济技术开发区（工业区）国家级专利导航服务基地共建委员会，签署国家级专利导航服务基地共建合作议定书，聚焦新材料、新能源、节能环保、高端装备制造四大产业，以基地与园区产业紧密结合为原则高水平建设专利导航服务基地。</w:t>
      </w:r>
      <w:r>
        <w:rPr>
          <w:rFonts w:hint="eastAsia" w:eastAsia="楷体"/>
          <w:b w:val="0"/>
          <w:bCs w:val="0"/>
          <w:spacing w:val="-4"/>
          <w:sz w:val="32"/>
          <w:szCs w:val="32"/>
        </w:rPr>
        <w:br w:type="textWrapping"/>
      </w:r>
      <w:r>
        <w:rPr>
          <w:rStyle w:val="19"/>
          <w:rFonts w:hint="eastAsia" w:eastAsia="楷体"/>
          <w:b w:val="0"/>
          <w:bCs w:val="0"/>
          <w:spacing w:val="-4"/>
          <w:sz w:val="32"/>
          <w:szCs w:val="32"/>
        </w:rPr>
        <w:t>2.项目管理</w:t>
      </w:r>
      <w:r>
        <w:rPr>
          <w:rFonts w:hint="eastAsia" w:eastAsia="楷体"/>
          <w:b w:val="0"/>
          <w:bCs w:val="0"/>
          <w:spacing w:val="-4"/>
          <w:sz w:val="32"/>
          <w:szCs w:val="32"/>
        </w:rPr>
        <w:br w:type="textWrapping"/>
      </w:r>
      <w:r>
        <w:rPr>
          <w:rStyle w:val="19"/>
          <w:rFonts w:hint="eastAsia" w:eastAsia="楷体"/>
          <w:b w:val="0"/>
          <w:bCs w:val="0"/>
          <w:spacing w:val="-4"/>
          <w:sz w:val="32"/>
          <w:szCs w:val="32"/>
        </w:rPr>
        <w:t>市委、市政府高度重视，市人民政府办公厅印发了《关于成立乌鲁木齐市知识产权运营服务体系建设工作领导小组的通知》，2020年10月23日，乌鲁木齐市成立了由市政府领导任组长的知识产权运营服务体系建设领导小组，小组成员包括发改、市场监管、科技、工信、财政、金融、税务等部门、3个开发区以及乌鲁木齐市银行共24家成员单位、负责统筹领导全市知识产权运营服务体系建设工作。并先后印发20期乌市知识产权运营城市工作简报。市政府印发了《实施方案》，进一步明确各成员单位工作职责，建立联动机制，加强督导考核，协调解决工作中的重大事项。</w:t>
      </w:r>
      <w:r>
        <w:rPr>
          <w:rFonts w:hint="eastAsia" w:eastAsia="楷体"/>
          <w:b w:val="0"/>
          <w:bCs w:val="0"/>
          <w:spacing w:val="-4"/>
          <w:sz w:val="32"/>
          <w:szCs w:val="32"/>
        </w:rPr>
        <w:br w:type="textWrapping"/>
      </w:r>
      <w:r>
        <w:rPr>
          <w:rStyle w:val="19"/>
          <w:rFonts w:hint="eastAsia" w:eastAsia="楷体"/>
          <w:b w:val="0"/>
          <w:bCs w:val="0"/>
          <w:spacing w:val="-4"/>
          <w:sz w:val="32"/>
          <w:szCs w:val="32"/>
        </w:rPr>
        <w:t>明确总体目标，主要是围绕“1平台、2区、3中心”高水平建设知识产权运营服务体系。建设1家区域性知识产权运营服务平台，实现专利、商标等知识产权数据及交易功能互联互通；形成1个知识产权服务业集聚区，引进、培育一批专业化、市场化、复合型的知识产权服务机构，形成知识产权服务业集聚效应，形成1个地理标志产品运营推广集聚区，汇集全疆地理标志产品，品牌展示、直播电商、知产教培、产销撮合、大数据服务等众多功能；打造3个知识产权产业运营中心，发挥其知识产权工作优势，利用其带动形成集聚发展的产业格局。</w:t>
      </w:r>
      <w:r>
        <w:rPr>
          <w:rFonts w:hint="eastAsia" w:eastAsia="楷体"/>
          <w:b w:val="0"/>
          <w:bCs w:val="0"/>
          <w:spacing w:val="-4"/>
          <w:sz w:val="32"/>
          <w:szCs w:val="32"/>
        </w:rPr>
        <w:br w:type="textWrapping"/>
      </w:r>
      <w:r>
        <w:rPr>
          <w:rStyle w:val="19"/>
          <w:rFonts w:hint="eastAsia" w:eastAsia="楷体"/>
          <w:b w:val="0"/>
          <w:bCs w:val="0"/>
          <w:spacing w:val="-4"/>
          <w:sz w:val="32"/>
          <w:szCs w:val="32"/>
        </w:rPr>
        <w:t>引入第三方专业服务机构，提供项目第三方评价与支撑服务、绩效评价及财务决算审计服务，从过程管理及资金使用方面借助专业团队严格管理、规范执行。从实际效果看，两个机构对各项目顺利实施支撑效果明显，也为今后乌鲁木齐市推进丝绸之路经济带知识产权强市建设、开展国家知识产权保护示范区建设提供了新的思路。</w:t>
      </w:r>
      <w:r>
        <w:rPr>
          <w:rFonts w:hint="eastAsia" w:eastAsia="楷体"/>
          <w:b w:val="0"/>
          <w:bCs w:val="0"/>
          <w:spacing w:val="-4"/>
          <w:sz w:val="32"/>
          <w:szCs w:val="32"/>
        </w:rPr>
        <w:br w:type="textWrapping"/>
      </w:r>
      <w:r>
        <w:rPr>
          <w:rStyle w:val="19"/>
          <w:rFonts w:hint="eastAsia" w:eastAsia="楷体"/>
          <w:b w:val="0"/>
          <w:bCs w:val="0"/>
          <w:spacing w:val="-4"/>
          <w:sz w:val="32"/>
          <w:szCs w:val="32"/>
        </w:rPr>
        <w:t>3.运营模式</w:t>
      </w:r>
      <w:r>
        <w:rPr>
          <w:rFonts w:hint="eastAsia" w:eastAsia="楷体"/>
          <w:b w:val="0"/>
          <w:bCs w:val="0"/>
          <w:spacing w:val="-4"/>
          <w:sz w:val="32"/>
          <w:szCs w:val="32"/>
        </w:rPr>
        <w:br w:type="textWrapping"/>
      </w:r>
      <w:r>
        <w:rPr>
          <w:rStyle w:val="19"/>
          <w:rFonts w:hint="eastAsia" w:eastAsia="楷体"/>
          <w:b w:val="0"/>
          <w:bCs w:val="0"/>
          <w:spacing w:val="-4"/>
          <w:sz w:val="32"/>
          <w:szCs w:val="32"/>
        </w:rPr>
        <w:t>充分发挥头部优势企业作用，以点带面。3个运营中心除承担高价值专利培育、构建专利池、标准制定、产业专利导航等任务外，还要求其利用自身知识产权管理规范、知识产权资源相对集中、知识产权服务团队专业化强等特点，承担为产业链上下游207家企业及相关企业提供贯标服务、为1177家提供托管服务、促进175家中小企业转化高校院所专利技术等工作，激发运营中心工作潜能，资源利用最大化。运营中心实施相关工作，为相关产业的知识产权工作打开新局面，促进了乌鲁木齐市知识产权运营业态蓬勃发展，大幅提升知识产权质量，不断优化知识产权发展环境，明显增强知识产权经济社会效益。</w:t>
      </w:r>
      <w:r>
        <w:rPr>
          <w:rFonts w:hint="eastAsia" w:eastAsia="楷体"/>
          <w:b w:val="0"/>
          <w:bCs w:val="0"/>
          <w:spacing w:val="-4"/>
          <w:sz w:val="32"/>
          <w:szCs w:val="32"/>
        </w:rPr>
        <w:br w:type="textWrapping"/>
      </w:r>
      <w:r>
        <w:rPr>
          <w:rStyle w:val="19"/>
          <w:rFonts w:hint="eastAsia" w:eastAsia="楷体"/>
          <w:b w:val="0"/>
          <w:bCs w:val="0"/>
          <w:spacing w:val="-4"/>
          <w:sz w:val="32"/>
          <w:szCs w:val="32"/>
        </w:rPr>
        <w:t>（二）存在的问题及原因分析</w:t>
      </w:r>
      <w:r>
        <w:rPr>
          <w:rFonts w:hint="eastAsia" w:eastAsia="楷体"/>
          <w:b w:val="0"/>
          <w:bCs w:val="0"/>
          <w:spacing w:val="-4"/>
          <w:sz w:val="32"/>
          <w:szCs w:val="32"/>
        </w:rPr>
        <w:br w:type="textWrapping"/>
      </w:r>
      <w:r>
        <w:rPr>
          <w:rStyle w:val="19"/>
          <w:rFonts w:hint="eastAsia" w:eastAsia="楷体"/>
          <w:b w:val="0"/>
          <w:bCs w:val="0"/>
          <w:spacing w:val="-4"/>
          <w:sz w:val="32"/>
          <w:szCs w:val="32"/>
        </w:rPr>
        <w:t>1.建设经验不足</w:t>
      </w:r>
      <w:r>
        <w:rPr>
          <w:rFonts w:hint="eastAsia" w:eastAsia="楷体"/>
          <w:b w:val="0"/>
          <w:bCs w:val="0"/>
          <w:spacing w:val="-4"/>
          <w:sz w:val="32"/>
          <w:szCs w:val="32"/>
        </w:rPr>
        <w:br w:type="textWrapping"/>
      </w:r>
      <w:r>
        <w:rPr>
          <w:rStyle w:val="19"/>
          <w:rFonts w:hint="eastAsia" w:eastAsia="楷体"/>
          <w:b w:val="0"/>
          <w:bCs w:val="0"/>
          <w:spacing w:val="-4"/>
          <w:sz w:val="32"/>
          <w:szCs w:val="32"/>
        </w:rPr>
        <w:t>知识产权运营服务体系建设项目，是区域知识产权创造、运用、保护、服务的全面建设项目，建设标准高，涉及面广，系统性强，建设周期长。乌鲁木齐市基础相对薄弱，存在对项目内容涉及的知识产权托管、产业知识产权运营中心、专利导航、服务业集聚区、知识产权证券化、知识产权平台建设的功能应用效果认知不深和知识产权转化的方式途径不清、项目目标如何合理设置等问题。在知识产权运营服务体系的系统建设上存在为确保资金使用的合规性，部门间反复沟通、多次论证、工作效率不高等问题。</w:t>
      </w:r>
      <w:r>
        <w:rPr>
          <w:rFonts w:hint="eastAsia" w:eastAsia="楷体"/>
          <w:b w:val="0"/>
          <w:bCs w:val="0"/>
          <w:spacing w:val="-4"/>
          <w:sz w:val="32"/>
          <w:szCs w:val="32"/>
        </w:rPr>
        <w:br w:type="textWrapping"/>
      </w:r>
      <w:r>
        <w:rPr>
          <w:rStyle w:val="19"/>
          <w:rFonts w:hint="eastAsia" w:eastAsia="楷体"/>
          <w:b w:val="0"/>
          <w:bCs w:val="0"/>
          <w:spacing w:val="-4"/>
          <w:sz w:val="32"/>
          <w:szCs w:val="32"/>
        </w:rPr>
        <w:t>2.统筹协调不够</w:t>
      </w:r>
      <w:r>
        <w:rPr>
          <w:rFonts w:hint="eastAsia" w:eastAsia="楷体"/>
          <w:b w:val="0"/>
          <w:bCs w:val="0"/>
          <w:spacing w:val="-4"/>
          <w:sz w:val="32"/>
          <w:szCs w:val="32"/>
        </w:rPr>
        <w:br w:type="textWrapping"/>
      </w:r>
      <w:r>
        <w:rPr>
          <w:rStyle w:val="19"/>
          <w:rFonts w:hint="eastAsia" w:eastAsia="楷体"/>
          <w:b w:val="0"/>
          <w:bCs w:val="0"/>
          <w:spacing w:val="-4"/>
          <w:sz w:val="32"/>
          <w:szCs w:val="32"/>
        </w:rPr>
        <w:t>知识产权运营服务体系建设是一项庞杂的系统工程，需要相关部门协同推进。目前，市市场监管局承担着全市知识产权创造、运用、保护、服务和管理中的主要工作，具体大项任务就有20项，运营基金、风险补偿金、线上运营平台等的管理和各相关项目监督执行、绩效评估等工作任务繁重，领导小组办公室人员暂未做到专人专职，需要及时动态调整领导小组成员，加大各部门协调配合力度，充分发挥领导小组办公室牵头抓总和统筹协调作用。</w:t>
      </w:r>
      <w:r>
        <w:rPr>
          <w:rFonts w:hint="eastAsia" w:eastAsia="楷体"/>
          <w:b w:val="0"/>
          <w:bCs w:val="0"/>
          <w:spacing w:val="-4"/>
          <w:sz w:val="32"/>
          <w:szCs w:val="32"/>
        </w:rPr>
        <w:br w:type="textWrapping"/>
      </w:r>
      <w:r>
        <w:rPr>
          <w:rStyle w:val="19"/>
          <w:rFonts w:hint="eastAsia" w:eastAsia="楷体"/>
          <w:b w:val="0"/>
          <w:bCs w:val="0"/>
          <w:spacing w:val="-4"/>
          <w:sz w:val="32"/>
          <w:szCs w:val="32"/>
        </w:rPr>
        <w:t>3.公共服务需要进一步提升</w:t>
      </w:r>
      <w:r>
        <w:rPr>
          <w:rFonts w:hint="eastAsia" w:eastAsia="楷体"/>
          <w:b w:val="0"/>
          <w:bCs w:val="0"/>
          <w:spacing w:val="-4"/>
          <w:sz w:val="32"/>
          <w:szCs w:val="32"/>
        </w:rPr>
        <w:br w:type="textWrapping"/>
      </w:r>
      <w:r>
        <w:rPr>
          <w:rStyle w:val="19"/>
          <w:rFonts w:hint="eastAsia" w:eastAsia="楷体"/>
          <w:b w:val="0"/>
          <w:bCs w:val="0"/>
          <w:spacing w:val="-4"/>
          <w:sz w:val="32"/>
          <w:szCs w:val="32"/>
        </w:rPr>
        <w:t>中共中央、国务院印发《知识产权强国建设纲要（2021-2035年）》，明确提出“建设便民利民的知识产权公共服务体系”。国家知识产权局《知识产权公共服务“十四五”规划》明确提出“增强各级知识产权管理部门及相关政府部门和公共服务机构知识产权公共服务责任，强化公共财政保障”。乌鲁木齐市没有相应的知识产权公共服务机构，尚未形成全面覆盖、服务规范、智能高效、专业便捷的知识产权公共服务能力。</w:t>
      </w:r>
    </w:p>
    <w:p w14:paraId="44273BF1">
      <w:pPr>
        <w:spacing w:line="540" w:lineRule="exact"/>
        <w:ind w:firstLine="624" w:firstLineChars="200"/>
        <w:rPr>
          <w:rStyle w:val="19"/>
          <w:rFonts w:ascii="黑体" w:hAnsi="黑体" w:eastAsia="黑体"/>
          <w:b w:val="0"/>
          <w:spacing w:val="-4"/>
          <w:sz w:val="32"/>
          <w:szCs w:val="32"/>
        </w:rPr>
      </w:pPr>
      <w:r>
        <w:rPr>
          <w:rStyle w:val="19"/>
          <w:rFonts w:hint="eastAsia" w:ascii="黑体" w:hAnsi="黑体" w:eastAsia="黑体"/>
          <w:b w:val="0"/>
          <w:spacing w:val="-4"/>
          <w:sz w:val="32"/>
          <w:szCs w:val="32"/>
        </w:rPr>
        <w:t>六、有关建议</w:t>
      </w:r>
    </w:p>
    <w:p w14:paraId="68929876">
      <w:pPr>
        <w:spacing w:line="540" w:lineRule="exact"/>
        <w:ind w:firstLine="624" w:firstLineChars="200"/>
        <w:rPr>
          <w:rStyle w:val="19"/>
          <w:rFonts w:eastAsia="楷体"/>
          <w:b w:val="0"/>
          <w:bCs w:val="0"/>
          <w:spacing w:val="-4"/>
          <w:sz w:val="32"/>
          <w:szCs w:val="32"/>
        </w:rPr>
      </w:pPr>
      <w:r>
        <w:rPr>
          <w:rStyle w:val="19"/>
          <w:rFonts w:hint="eastAsia" w:eastAsia="楷体"/>
          <w:b w:val="0"/>
          <w:bCs w:val="0"/>
          <w:spacing w:val="-4"/>
          <w:sz w:val="32"/>
          <w:szCs w:val="32"/>
        </w:rPr>
        <w:t>六、有关建议</w:t>
      </w:r>
      <w:r>
        <w:rPr>
          <w:rFonts w:hint="eastAsia" w:eastAsia="楷体"/>
          <w:b w:val="0"/>
          <w:bCs w:val="0"/>
          <w:spacing w:val="-4"/>
          <w:sz w:val="32"/>
          <w:szCs w:val="32"/>
        </w:rPr>
        <w:br w:type="textWrapping"/>
      </w:r>
      <w:r>
        <w:rPr>
          <w:rStyle w:val="19"/>
          <w:rFonts w:hint="eastAsia" w:eastAsia="楷体"/>
          <w:b w:val="0"/>
          <w:bCs w:val="0"/>
          <w:spacing w:val="-4"/>
          <w:sz w:val="32"/>
          <w:szCs w:val="32"/>
        </w:rPr>
        <w:t>1.建立持续有效的运营服务体系财政资金支持政策</w:t>
      </w:r>
      <w:r>
        <w:rPr>
          <w:rFonts w:hint="eastAsia" w:eastAsia="楷体"/>
          <w:b w:val="0"/>
          <w:bCs w:val="0"/>
          <w:spacing w:val="-4"/>
          <w:sz w:val="32"/>
          <w:szCs w:val="32"/>
        </w:rPr>
        <w:br w:type="textWrapping"/>
      </w:r>
      <w:r>
        <w:rPr>
          <w:rStyle w:val="19"/>
          <w:rFonts w:hint="eastAsia" w:eastAsia="楷体"/>
          <w:b w:val="0"/>
          <w:bCs w:val="0"/>
          <w:spacing w:val="-4"/>
          <w:sz w:val="32"/>
          <w:szCs w:val="32"/>
        </w:rPr>
        <w:t>知识产权运营服务体系建设是一项长期工程，项目实施期为三年，项目完成后，仍旧存在知识产权工作资金不足的情况，中央财政资金使用严格，如不能用于人员费、场地装修等，导致现有政策无法完全满足乌鲁木齐市知识产权工作需求。建议上级相关主管部门进一步加大政策引导及资金支持力度，形成持续、稳定、有效的财政支撑通道。</w:t>
      </w:r>
      <w:r>
        <w:rPr>
          <w:rFonts w:hint="eastAsia" w:eastAsia="楷体"/>
          <w:b w:val="0"/>
          <w:bCs w:val="0"/>
          <w:spacing w:val="-4"/>
          <w:sz w:val="32"/>
          <w:szCs w:val="32"/>
        </w:rPr>
        <w:br w:type="textWrapping"/>
      </w:r>
      <w:r>
        <w:rPr>
          <w:rStyle w:val="19"/>
          <w:rFonts w:hint="eastAsia" w:eastAsia="楷体"/>
          <w:b w:val="0"/>
          <w:bCs w:val="0"/>
          <w:spacing w:val="-4"/>
          <w:sz w:val="32"/>
          <w:szCs w:val="32"/>
        </w:rPr>
        <w:t>2.加强对乌鲁木齐知识产权工作政策倾斜</w:t>
      </w:r>
      <w:r>
        <w:rPr>
          <w:rFonts w:hint="eastAsia" w:eastAsia="楷体"/>
          <w:b w:val="0"/>
          <w:bCs w:val="0"/>
          <w:spacing w:val="-4"/>
          <w:sz w:val="32"/>
          <w:szCs w:val="32"/>
        </w:rPr>
        <w:br w:type="textWrapping"/>
      </w:r>
      <w:r>
        <w:rPr>
          <w:rStyle w:val="19"/>
          <w:rFonts w:hint="eastAsia" w:eastAsia="楷体"/>
          <w:b w:val="0"/>
          <w:bCs w:val="0"/>
          <w:spacing w:val="-4"/>
          <w:sz w:val="32"/>
          <w:szCs w:val="32"/>
        </w:rPr>
        <w:t>通过知识产权运营服务体系建设重点城市项目的开展，乌鲁木齐市深刻感受到知识产权环境的明显改善，社会公众对知识产权认识有了切实提高，中小微企业和创新主体知识产权保护和运用意识越来越强，对知识产权服务提出更高需求，比如高质量的知识产权申请服务、高权威的知识产权法律服务，高效率的知识产权运营服务、高水平的知识产权专业培训等。乌鲁木齐市作为西部地区唯一的运营服务体系建设重点城市，来之不易的建设成果应发挥常态效用，目前与内陆经济发达地区相比，乌鲁木齐市知识产权工作水平还存在一定差距，希望财政部门在开展新项目时对乌鲁木齐市给予一定政策倾斜。</w:t>
      </w:r>
      <w:r>
        <w:rPr>
          <w:rFonts w:hint="eastAsia" w:eastAsia="楷体"/>
          <w:b w:val="0"/>
          <w:bCs w:val="0"/>
          <w:spacing w:val="-4"/>
          <w:sz w:val="32"/>
          <w:szCs w:val="32"/>
        </w:rPr>
        <w:br w:type="textWrapping"/>
      </w:r>
      <w:r>
        <w:rPr>
          <w:rStyle w:val="19"/>
          <w:rFonts w:hint="eastAsia" w:eastAsia="楷体"/>
          <w:b w:val="0"/>
          <w:bCs w:val="0"/>
          <w:spacing w:val="-4"/>
          <w:sz w:val="32"/>
          <w:szCs w:val="32"/>
        </w:rPr>
        <w:t>3.加大对发达地区高端知识产权服务资源的对接力度</w:t>
      </w:r>
      <w:r>
        <w:rPr>
          <w:rFonts w:hint="eastAsia" w:eastAsia="楷体"/>
          <w:b w:val="0"/>
          <w:bCs w:val="0"/>
          <w:spacing w:val="-4"/>
          <w:sz w:val="32"/>
          <w:szCs w:val="32"/>
        </w:rPr>
        <w:br w:type="textWrapping"/>
      </w:r>
      <w:r>
        <w:rPr>
          <w:rStyle w:val="19"/>
          <w:rFonts w:hint="eastAsia" w:eastAsia="楷体"/>
          <w:b w:val="0"/>
          <w:bCs w:val="0"/>
          <w:spacing w:val="-4"/>
          <w:sz w:val="32"/>
          <w:szCs w:val="32"/>
        </w:rPr>
        <w:t>运营服务体系建设启动后，乌鲁木齐市知识产权服务机构和人员数量有了较大幅度的提升，通过集聚区的建设也吸引了一批品牌机构落地，但是与其他重点城市相比，仍存在较大差距，高水平专业服务团队的数量仍显不足，服务能力有待进一步提高，不能充分满足乌鲁木齐市企业、高校、科研院所知识产权业务需求，建议国家知识产权局能够进一步推动先进城市优势知识产权服务资源与乌鲁木齐市企事业单位的对接、与乌鲁木齐市知识产权服务机构的工作指导交流，助力乌鲁木齐市引进更多来自全国各地的高水平创新资源。</w:t>
      </w:r>
    </w:p>
    <w:p w14:paraId="07F1BF49">
      <w:pPr>
        <w:spacing w:line="540" w:lineRule="exact"/>
        <w:ind w:firstLine="624" w:firstLineChars="200"/>
        <w:rPr>
          <w:rStyle w:val="19"/>
          <w:rFonts w:ascii="黑体" w:hAnsi="黑体" w:eastAsia="黑体"/>
          <w:b w:val="0"/>
          <w:spacing w:val="-4"/>
          <w:sz w:val="32"/>
          <w:szCs w:val="32"/>
        </w:rPr>
      </w:pPr>
      <w:r>
        <w:rPr>
          <w:rStyle w:val="19"/>
          <w:rFonts w:hint="eastAsia" w:ascii="黑体" w:hAnsi="黑体" w:eastAsia="黑体"/>
          <w:b w:val="0"/>
          <w:spacing w:val="-4"/>
          <w:sz w:val="32"/>
          <w:szCs w:val="32"/>
        </w:rPr>
        <w:t>七、其他需要说明的问题</w:t>
      </w:r>
    </w:p>
    <w:p w14:paraId="7738393A">
      <w:pPr>
        <w:spacing w:line="540" w:lineRule="exact"/>
        <w:ind w:firstLine="624" w:firstLineChars="200"/>
        <w:rPr>
          <w:rStyle w:val="19"/>
          <w:rFonts w:eastAsia="楷体"/>
          <w:b w:val="0"/>
          <w:bCs w:val="0"/>
          <w:spacing w:val="-4"/>
          <w:sz w:val="32"/>
          <w:szCs w:val="32"/>
        </w:rPr>
      </w:pPr>
      <w:r>
        <w:rPr>
          <w:rStyle w:val="19"/>
          <w:rFonts w:hint="eastAsia" w:eastAsia="楷体"/>
          <w:b w:val="0"/>
          <w:bCs w:val="0"/>
          <w:spacing w:val="-4"/>
          <w:sz w:val="32"/>
          <w:szCs w:val="32"/>
        </w:rPr>
        <w:t>七、其他需要说明的问题</w:t>
      </w:r>
      <w:r>
        <w:rPr>
          <w:rFonts w:hint="eastAsia" w:eastAsia="楷体"/>
          <w:b w:val="0"/>
          <w:bCs w:val="0"/>
          <w:spacing w:val="-4"/>
          <w:sz w:val="32"/>
          <w:szCs w:val="32"/>
        </w:rPr>
        <w:br w:type="textWrapping"/>
      </w:r>
      <w:r>
        <w:rPr>
          <w:rStyle w:val="19"/>
          <w:rFonts w:hint="eastAsia" w:eastAsia="楷体"/>
          <w:b w:val="0"/>
          <w:bCs w:val="0"/>
          <w:spacing w:val="-4"/>
          <w:sz w:val="32"/>
          <w:szCs w:val="32"/>
        </w:rPr>
        <w:t>项目支出政策和路径设计科学，符合实际需要；项目安排准确，未发现背离项目立项初衷的情况；项目的申报、审核机制完善；未发现虚假行为和骗取财政资金的问题。</w:t>
      </w:r>
    </w:p>
    <w:p w14:paraId="31C69B11">
      <w:pPr>
        <w:spacing w:line="540" w:lineRule="exact"/>
        <w:ind w:firstLine="624" w:firstLineChars="200"/>
        <w:rPr>
          <w:rStyle w:val="19"/>
          <w:rFonts w:ascii="仿宋" w:hAnsi="仿宋" w:eastAsia="仿宋"/>
          <w:b w:val="0"/>
          <w:spacing w:val="-4"/>
          <w:sz w:val="32"/>
          <w:szCs w:val="32"/>
        </w:rPr>
      </w:pPr>
    </w:p>
    <w:p w14:paraId="1044B93F">
      <w:pPr>
        <w:spacing w:line="540" w:lineRule="exact"/>
        <w:ind w:firstLine="624" w:firstLineChars="200"/>
        <w:rPr>
          <w:rStyle w:val="19"/>
          <w:rFonts w:ascii="仿宋" w:hAnsi="仿宋" w:eastAsia="仿宋"/>
          <w:b w:val="0"/>
          <w:spacing w:val="-4"/>
          <w:sz w:val="32"/>
          <w:szCs w:val="32"/>
        </w:rPr>
      </w:pPr>
    </w:p>
    <w:p w14:paraId="1179825D">
      <w:pPr>
        <w:spacing w:line="540" w:lineRule="exact"/>
        <w:ind w:firstLine="624" w:firstLineChars="200"/>
        <w:rPr>
          <w:rStyle w:val="19"/>
          <w:rFonts w:ascii="仿宋" w:hAnsi="仿宋" w:eastAsia="仿宋"/>
          <w:b w:val="0"/>
          <w:spacing w:val="-4"/>
          <w:sz w:val="32"/>
          <w:szCs w:val="32"/>
        </w:rPr>
      </w:pPr>
    </w:p>
    <w:p w14:paraId="47416377">
      <w:pPr>
        <w:spacing w:line="540" w:lineRule="exact"/>
        <w:ind w:firstLine="624" w:firstLineChars="200"/>
        <w:rPr>
          <w:rStyle w:val="19"/>
          <w:rFonts w:ascii="仿宋" w:hAnsi="仿宋" w:eastAsia="仿宋"/>
          <w:b w:val="0"/>
          <w:spacing w:val="-4"/>
          <w:sz w:val="32"/>
          <w:szCs w:val="32"/>
        </w:rPr>
      </w:pPr>
    </w:p>
    <w:p w14:paraId="494EA424">
      <w:pPr>
        <w:spacing w:line="540" w:lineRule="exact"/>
        <w:ind w:firstLine="624" w:firstLineChars="200"/>
        <w:rPr>
          <w:rStyle w:val="19"/>
          <w:rFonts w:ascii="仿宋" w:hAnsi="仿宋" w:eastAsia="仿宋"/>
          <w:b w:val="0"/>
          <w:spacing w:val="-4"/>
          <w:sz w:val="32"/>
          <w:szCs w:val="32"/>
        </w:rPr>
      </w:pPr>
    </w:p>
    <w:sectPr>
      <w:footerReference r:id="rId3" w:type="default"/>
      <w:pgSz w:w="11906" w:h="16838"/>
      <w:pgMar w:top="1440" w:right="1558" w:bottom="1440" w:left="175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楷体_GBK">
    <w:panose1 w:val="02000000000000000000"/>
    <w:charset w:val="86"/>
    <w:family w:val="auto"/>
    <w:pitch w:val="default"/>
    <w:sig w:usb0="A00002BF" w:usb1="38CF7CFA" w:usb2="00082016" w:usb3="00000000" w:csb0="00040001"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方正小标宋_GBK">
    <w:panose1 w:val="02000000000000000000"/>
    <w:charset w:val="86"/>
    <w:family w:val="script"/>
    <w:pitch w:val="default"/>
    <w:sig w:usb0="A00002BF" w:usb1="38CF7CFA" w:usb2="00082016"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22003363"/>
    </w:sdtPr>
    <w:sdtContent>
      <w:p w14:paraId="5F5BB779">
        <w:pPr>
          <w:pStyle w:val="12"/>
          <w:jc w:val="center"/>
        </w:pPr>
        <w:r>
          <w:fldChar w:fldCharType="begin"/>
        </w:r>
        <w:r>
          <w:instrText xml:space="preserve">PAGE   \* MERGEFORMAT</w:instrText>
        </w:r>
        <w:r>
          <w:fldChar w:fldCharType="separate"/>
        </w:r>
        <w:r>
          <w:rPr>
            <w:lang w:val="zh-CN"/>
          </w:rPr>
          <w:t>2</w:t>
        </w:r>
        <w:r>
          <w:fldChar w:fldCharType="end"/>
        </w:r>
      </w:p>
    </w:sdtContent>
  </w:sdt>
  <w:p w14:paraId="5BD80AA0">
    <w:pPr>
      <w:pStyle w:val="1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BC44146"/>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1"/>
    <w:qFormat/>
    <w:uiPriority w:val="9"/>
    <w:pPr>
      <w:keepNext/>
      <w:widowControl/>
      <w:spacing w:before="240" w:after="60"/>
      <w:jc w:val="left"/>
      <w:outlineLvl w:val="0"/>
    </w:pPr>
    <w:rPr>
      <w:rFonts w:asciiTheme="majorHAnsi" w:hAnsiTheme="majorHAnsi" w:eastAsiaTheme="majorEastAsia"/>
      <w:b/>
      <w:bCs/>
      <w:kern w:val="32"/>
      <w:sz w:val="32"/>
      <w:szCs w:val="32"/>
    </w:rPr>
  </w:style>
  <w:style w:type="paragraph" w:styleId="3">
    <w:name w:val="heading 2"/>
    <w:basedOn w:val="1"/>
    <w:next w:val="1"/>
    <w:link w:val="22"/>
    <w:semiHidden/>
    <w:unhideWhenUsed/>
    <w:qFormat/>
    <w:uiPriority w:val="9"/>
    <w:pPr>
      <w:keepNext/>
      <w:widowControl/>
      <w:spacing w:before="240" w:after="60"/>
      <w:jc w:val="left"/>
      <w:outlineLvl w:val="1"/>
    </w:pPr>
    <w:rPr>
      <w:rFonts w:asciiTheme="majorHAnsi" w:hAnsiTheme="majorHAnsi" w:eastAsiaTheme="majorEastAsia"/>
      <w:b/>
      <w:bCs/>
      <w:i/>
      <w:iCs/>
      <w:kern w:val="0"/>
      <w:sz w:val="28"/>
      <w:szCs w:val="28"/>
    </w:rPr>
  </w:style>
  <w:style w:type="paragraph" w:styleId="4">
    <w:name w:val="heading 3"/>
    <w:basedOn w:val="1"/>
    <w:next w:val="1"/>
    <w:link w:val="23"/>
    <w:semiHidden/>
    <w:unhideWhenUsed/>
    <w:qFormat/>
    <w:uiPriority w:val="9"/>
    <w:pPr>
      <w:keepNext/>
      <w:widowControl/>
      <w:spacing w:before="240" w:after="60"/>
      <w:jc w:val="left"/>
      <w:outlineLvl w:val="2"/>
    </w:pPr>
    <w:rPr>
      <w:rFonts w:asciiTheme="majorHAnsi" w:hAnsiTheme="majorHAnsi" w:eastAsiaTheme="majorEastAsia"/>
      <w:b/>
      <w:bCs/>
      <w:kern w:val="0"/>
      <w:sz w:val="26"/>
      <w:szCs w:val="26"/>
    </w:rPr>
  </w:style>
  <w:style w:type="paragraph" w:styleId="5">
    <w:name w:val="heading 4"/>
    <w:basedOn w:val="1"/>
    <w:next w:val="1"/>
    <w:link w:val="24"/>
    <w:semiHidden/>
    <w:unhideWhenUsed/>
    <w:qFormat/>
    <w:uiPriority w:val="9"/>
    <w:pPr>
      <w:keepNext/>
      <w:widowControl/>
      <w:spacing w:before="240" w:after="60"/>
      <w:jc w:val="left"/>
      <w:outlineLvl w:val="3"/>
    </w:pPr>
    <w:rPr>
      <w:rFonts w:asciiTheme="minorHAnsi" w:hAnsiTheme="minorHAnsi" w:eastAsiaTheme="minorEastAsia"/>
      <w:b/>
      <w:bCs/>
      <w:kern w:val="0"/>
      <w:sz w:val="28"/>
      <w:szCs w:val="28"/>
    </w:rPr>
  </w:style>
  <w:style w:type="paragraph" w:styleId="6">
    <w:name w:val="heading 5"/>
    <w:basedOn w:val="1"/>
    <w:next w:val="1"/>
    <w:link w:val="25"/>
    <w:semiHidden/>
    <w:unhideWhenUsed/>
    <w:qFormat/>
    <w:uiPriority w:val="9"/>
    <w:pPr>
      <w:widowControl/>
      <w:spacing w:before="240" w:after="60"/>
      <w:jc w:val="left"/>
      <w:outlineLvl w:val="4"/>
    </w:pPr>
    <w:rPr>
      <w:rFonts w:asciiTheme="minorHAnsi" w:hAnsiTheme="minorHAnsi" w:eastAsiaTheme="minorEastAsia"/>
      <w:b/>
      <w:bCs/>
      <w:i/>
      <w:iCs/>
      <w:kern w:val="0"/>
      <w:sz w:val="26"/>
      <w:szCs w:val="26"/>
    </w:rPr>
  </w:style>
  <w:style w:type="paragraph" w:styleId="7">
    <w:name w:val="heading 6"/>
    <w:basedOn w:val="1"/>
    <w:next w:val="1"/>
    <w:link w:val="26"/>
    <w:semiHidden/>
    <w:unhideWhenUsed/>
    <w:qFormat/>
    <w:uiPriority w:val="9"/>
    <w:pPr>
      <w:widowControl/>
      <w:spacing w:before="240" w:after="60"/>
      <w:jc w:val="left"/>
      <w:outlineLvl w:val="5"/>
    </w:pPr>
    <w:rPr>
      <w:rFonts w:asciiTheme="minorHAnsi" w:hAnsiTheme="minorHAnsi" w:eastAsiaTheme="minorEastAsia"/>
      <w:b/>
      <w:bCs/>
      <w:kern w:val="0"/>
      <w:sz w:val="22"/>
      <w:szCs w:val="22"/>
    </w:rPr>
  </w:style>
  <w:style w:type="paragraph" w:styleId="8">
    <w:name w:val="heading 7"/>
    <w:basedOn w:val="1"/>
    <w:next w:val="1"/>
    <w:link w:val="27"/>
    <w:semiHidden/>
    <w:unhideWhenUsed/>
    <w:qFormat/>
    <w:uiPriority w:val="9"/>
    <w:pPr>
      <w:widowControl/>
      <w:spacing w:before="240" w:after="60"/>
      <w:jc w:val="left"/>
      <w:outlineLvl w:val="6"/>
    </w:pPr>
    <w:rPr>
      <w:rFonts w:asciiTheme="minorHAnsi" w:hAnsiTheme="minorHAnsi" w:eastAsiaTheme="minorEastAsia"/>
      <w:kern w:val="0"/>
      <w:sz w:val="24"/>
    </w:rPr>
  </w:style>
  <w:style w:type="paragraph" w:styleId="9">
    <w:name w:val="heading 8"/>
    <w:basedOn w:val="1"/>
    <w:next w:val="1"/>
    <w:link w:val="28"/>
    <w:semiHidden/>
    <w:unhideWhenUsed/>
    <w:qFormat/>
    <w:uiPriority w:val="9"/>
    <w:pPr>
      <w:widowControl/>
      <w:spacing w:before="240" w:after="60"/>
      <w:jc w:val="left"/>
      <w:outlineLvl w:val="7"/>
    </w:pPr>
    <w:rPr>
      <w:rFonts w:asciiTheme="minorHAnsi" w:hAnsiTheme="minorHAnsi" w:eastAsiaTheme="minorEastAsia"/>
      <w:i/>
      <w:iCs/>
      <w:kern w:val="0"/>
      <w:sz w:val="24"/>
    </w:rPr>
  </w:style>
  <w:style w:type="paragraph" w:styleId="10">
    <w:name w:val="heading 9"/>
    <w:basedOn w:val="1"/>
    <w:next w:val="1"/>
    <w:link w:val="29"/>
    <w:semiHidden/>
    <w:unhideWhenUsed/>
    <w:qFormat/>
    <w:uiPriority w:val="9"/>
    <w:pPr>
      <w:widowControl/>
      <w:spacing w:before="240" w:after="60"/>
      <w:jc w:val="left"/>
      <w:outlineLvl w:val="8"/>
    </w:pPr>
    <w:rPr>
      <w:rFonts w:asciiTheme="majorHAnsi" w:hAnsiTheme="majorHAnsi" w:eastAsiaTheme="majorEastAsia"/>
      <w:kern w:val="0"/>
      <w:sz w:val="22"/>
      <w:szCs w:val="22"/>
    </w:rPr>
  </w:style>
  <w:style w:type="character" w:default="1" w:styleId="18">
    <w:name w:val="Default Paragraph Font"/>
    <w:semiHidden/>
    <w:unhideWhenUsed/>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11">
    <w:name w:val="Balloon Text"/>
    <w:basedOn w:val="1"/>
    <w:link w:val="46"/>
    <w:semiHidden/>
    <w:unhideWhenUsed/>
    <w:qFormat/>
    <w:uiPriority w:val="99"/>
    <w:rPr>
      <w:sz w:val="18"/>
      <w:szCs w:val="18"/>
    </w:rPr>
  </w:style>
  <w:style w:type="paragraph" w:styleId="12">
    <w:name w:val="footer"/>
    <w:basedOn w:val="1"/>
    <w:link w:val="45"/>
    <w:unhideWhenUsed/>
    <w:qFormat/>
    <w:uiPriority w:val="99"/>
    <w:pPr>
      <w:tabs>
        <w:tab w:val="center" w:pos="4153"/>
        <w:tab w:val="right" w:pos="8306"/>
      </w:tabs>
      <w:snapToGrid w:val="0"/>
      <w:jc w:val="left"/>
    </w:pPr>
    <w:rPr>
      <w:rFonts w:ascii="Calibri" w:hAnsi="Calibri"/>
      <w:sz w:val="18"/>
      <w:szCs w:val="18"/>
    </w:rPr>
  </w:style>
  <w:style w:type="paragraph" w:styleId="13">
    <w:name w:val="header"/>
    <w:basedOn w:val="1"/>
    <w:link w:val="44"/>
    <w:unhideWhenUsed/>
    <w:qFormat/>
    <w:uiPriority w:val="99"/>
    <w:pPr>
      <w:pBdr>
        <w:bottom w:val="single" w:color="auto" w:sz="6" w:space="1"/>
      </w:pBdr>
      <w:tabs>
        <w:tab w:val="center" w:pos="4153"/>
        <w:tab w:val="right" w:pos="8306"/>
      </w:tabs>
      <w:snapToGrid w:val="0"/>
      <w:jc w:val="center"/>
    </w:pPr>
    <w:rPr>
      <w:rFonts w:ascii="Calibri" w:hAnsi="Calibri"/>
      <w:sz w:val="18"/>
      <w:szCs w:val="18"/>
    </w:rPr>
  </w:style>
  <w:style w:type="paragraph" w:styleId="14">
    <w:name w:val="Subtitle"/>
    <w:basedOn w:val="1"/>
    <w:next w:val="1"/>
    <w:link w:val="31"/>
    <w:qFormat/>
    <w:uiPriority w:val="11"/>
    <w:pPr>
      <w:widowControl/>
      <w:spacing w:after="60"/>
      <w:jc w:val="center"/>
      <w:outlineLvl w:val="1"/>
    </w:pPr>
    <w:rPr>
      <w:rFonts w:asciiTheme="majorHAnsi" w:hAnsiTheme="majorHAnsi" w:eastAsiaTheme="majorEastAsia"/>
      <w:kern w:val="0"/>
      <w:sz w:val="24"/>
    </w:rPr>
  </w:style>
  <w:style w:type="paragraph" w:styleId="15">
    <w:name w:val="Title"/>
    <w:basedOn w:val="1"/>
    <w:next w:val="1"/>
    <w:link w:val="30"/>
    <w:qFormat/>
    <w:uiPriority w:val="10"/>
    <w:pPr>
      <w:widowControl/>
      <w:spacing w:before="240" w:after="60"/>
      <w:jc w:val="center"/>
      <w:outlineLvl w:val="0"/>
    </w:pPr>
    <w:rPr>
      <w:rFonts w:asciiTheme="majorHAnsi" w:hAnsiTheme="majorHAnsi" w:eastAsiaTheme="majorEastAsia"/>
      <w:b/>
      <w:bCs/>
      <w:kern w:val="28"/>
      <w:sz w:val="32"/>
      <w:szCs w:val="32"/>
    </w:rPr>
  </w:style>
  <w:style w:type="table" w:styleId="17">
    <w:name w:val="Table Gri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9">
    <w:name w:val="Strong"/>
    <w:basedOn w:val="18"/>
    <w:qFormat/>
    <w:uiPriority w:val="0"/>
    <w:rPr>
      <w:b/>
      <w:bCs/>
    </w:rPr>
  </w:style>
  <w:style w:type="character" w:styleId="20">
    <w:name w:val="Emphasis"/>
    <w:basedOn w:val="18"/>
    <w:qFormat/>
    <w:uiPriority w:val="20"/>
    <w:rPr>
      <w:rFonts w:asciiTheme="minorHAnsi" w:hAnsiTheme="minorHAnsi"/>
      <w:b/>
      <w:i/>
      <w:iCs/>
    </w:rPr>
  </w:style>
  <w:style w:type="character" w:customStyle="1" w:styleId="21">
    <w:name w:val="标题 1 Char"/>
    <w:basedOn w:val="18"/>
    <w:link w:val="2"/>
    <w:qFormat/>
    <w:uiPriority w:val="9"/>
    <w:rPr>
      <w:rFonts w:asciiTheme="majorHAnsi" w:hAnsiTheme="majorHAnsi" w:eastAsiaTheme="majorEastAsia"/>
      <w:b/>
      <w:bCs/>
      <w:kern w:val="32"/>
      <w:sz w:val="32"/>
      <w:szCs w:val="32"/>
    </w:rPr>
  </w:style>
  <w:style w:type="character" w:customStyle="1" w:styleId="22">
    <w:name w:val="标题 2 Char"/>
    <w:basedOn w:val="18"/>
    <w:link w:val="3"/>
    <w:semiHidden/>
    <w:qFormat/>
    <w:uiPriority w:val="9"/>
    <w:rPr>
      <w:rFonts w:asciiTheme="majorHAnsi" w:hAnsiTheme="majorHAnsi" w:eastAsiaTheme="majorEastAsia"/>
      <w:b/>
      <w:bCs/>
      <w:i/>
      <w:iCs/>
      <w:sz w:val="28"/>
      <w:szCs w:val="28"/>
    </w:rPr>
  </w:style>
  <w:style w:type="character" w:customStyle="1" w:styleId="23">
    <w:name w:val="标题 3 Char"/>
    <w:basedOn w:val="18"/>
    <w:link w:val="4"/>
    <w:semiHidden/>
    <w:qFormat/>
    <w:uiPriority w:val="9"/>
    <w:rPr>
      <w:rFonts w:asciiTheme="majorHAnsi" w:hAnsiTheme="majorHAnsi" w:eastAsiaTheme="majorEastAsia"/>
      <w:b/>
      <w:bCs/>
      <w:sz w:val="26"/>
      <w:szCs w:val="26"/>
    </w:rPr>
  </w:style>
  <w:style w:type="character" w:customStyle="1" w:styleId="24">
    <w:name w:val="标题 4 Char"/>
    <w:basedOn w:val="18"/>
    <w:link w:val="5"/>
    <w:semiHidden/>
    <w:qFormat/>
    <w:uiPriority w:val="9"/>
    <w:rPr>
      <w:b/>
      <w:bCs/>
      <w:sz w:val="28"/>
      <w:szCs w:val="28"/>
    </w:rPr>
  </w:style>
  <w:style w:type="character" w:customStyle="1" w:styleId="25">
    <w:name w:val="标题 5 Char"/>
    <w:basedOn w:val="18"/>
    <w:link w:val="6"/>
    <w:semiHidden/>
    <w:qFormat/>
    <w:uiPriority w:val="9"/>
    <w:rPr>
      <w:b/>
      <w:bCs/>
      <w:i/>
      <w:iCs/>
      <w:sz w:val="26"/>
      <w:szCs w:val="26"/>
    </w:rPr>
  </w:style>
  <w:style w:type="character" w:customStyle="1" w:styleId="26">
    <w:name w:val="标题 6 Char"/>
    <w:basedOn w:val="18"/>
    <w:link w:val="7"/>
    <w:semiHidden/>
    <w:qFormat/>
    <w:uiPriority w:val="9"/>
    <w:rPr>
      <w:b/>
      <w:bCs/>
    </w:rPr>
  </w:style>
  <w:style w:type="character" w:customStyle="1" w:styleId="27">
    <w:name w:val="标题 7 Char"/>
    <w:basedOn w:val="18"/>
    <w:link w:val="8"/>
    <w:semiHidden/>
    <w:qFormat/>
    <w:uiPriority w:val="9"/>
    <w:rPr>
      <w:sz w:val="24"/>
      <w:szCs w:val="24"/>
    </w:rPr>
  </w:style>
  <w:style w:type="character" w:customStyle="1" w:styleId="28">
    <w:name w:val="标题 8 Char"/>
    <w:basedOn w:val="18"/>
    <w:link w:val="9"/>
    <w:semiHidden/>
    <w:qFormat/>
    <w:uiPriority w:val="9"/>
    <w:rPr>
      <w:i/>
      <w:iCs/>
      <w:sz w:val="24"/>
      <w:szCs w:val="24"/>
    </w:rPr>
  </w:style>
  <w:style w:type="character" w:customStyle="1" w:styleId="29">
    <w:name w:val="标题 9 Char"/>
    <w:basedOn w:val="18"/>
    <w:link w:val="10"/>
    <w:semiHidden/>
    <w:qFormat/>
    <w:uiPriority w:val="9"/>
    <w:rPr>
      <w:rFonts w:asciiTheme="majorHAnsi" w:hAnsiTheme="majorHAnsi" w:eastAsiaTheme="majorEastAsia"/>
    </w:rPr>
  </w:style>
  <w:style w:type="character" w:customStyle="1" w:styleId="30">
    <w:name w:val="标题 Char"/>
    <w:basedOn w:val="18"/>
    <w:link w:val="15"/>
    <w:qFormat/>
    <w:uiPriority w:val="10"/>
    <w:rPr>
      <w:rFonts w:asciiTheme="majorHAnsi" w:hAnsiTheme="majorHAnsi" w:eastAsiaTheme="majorEastAsia"/>
      <w:b/>
      <w:bCs/>
      <w:kern w:val="28"/>
      <w:sz w:val="32"/>
      <w:szCs w:val="32"/>
    </w:rPr>
  </w:style>
  <w:style w:type="character" w:customStyle="1" w:styleId="31">
    <w:name w:val="副标题 Char"/>
    <w:basedOn w:val="18"/>
    <w:link w:val="14"/>
    <w:qFormat/>
    <w:uiPriority w:val="11"/>
    <w:rPr>
      <w:rFonts w:asciiTheme="majorHAnsi" w:hAnsiTheme="majorHAnsi" w:eastAsiaTheme="majorEastAsia"/>
      <w:sz w:val="24"/>
      <w:szCs w:val="24"/>
    </w:rPr>
  </w:style>
  <w:style w:type="paragraph" w:styleId="32">
    <w:name w:val="No Spacing"/>
    <w:basedOn w:val="1"/>
    <w:qFormat/>
    <w:uiPriority w:val="1"/>
    <w:pPr>
      <w:widowControl/>
      <w:jc w:val="left"/>
    </w:pPr>
    <w:rPr>
      <w:rFonts w:asciiTheme="minorHAnsi" w:hAnsiTheme="minorHAnsi" w:eastAsiaTheme="minorEastAsia"/>
      <w:kern w:val="0"/>
      <w:sz w:val="24"/>
      <w:szCs w:val="32"/>
      <w:lang w:eastAsia="en-US" w:bidi="en-US"/>
    </w:rPr>
  </w:style>
  <w:style w:type="paragraph" w:styleId="33">
    <w:name w:val="List Paragraph"/>
    <w:basedOn w:val="1"/>
    <w:qFormat/>
    <w:uiPriority w:val="34"/>
    <w:pPr>
      <w:widowControl/>
      <w:ind w:left="720"/>
      <w:contextualSpacing/>
      <w:jc w:val="left"/>
    </w:pPr>
    <w:rPr>
      <w:rFonts w:asciiTheme="minorHAnsi" w:hAnsiTheme="minorHAnsi" w:eastAsiaTheme="minorEastAsia"/>
      <w:kern w:val="0"/>
      <w:sz w:val="24"/>
      <w:lang w:eastAsia="en-US" w:bidi="en-US"/>
    </w:rPr>
  </w:style>
  <w:style w:type="paragraph" w:styleId="34">
    <w:name w:val="Quote"/>
    <w:basedOn w:val="1"/>
    <w:next w:val="1"/>
    <w:link w:val="35"/>
    <w:qFormat/>
    <w:uiPriority w:val="29"/>
    <w:pPr>
      <w:widowControl/>
      <w:jc w:val="left"/>
    </w:pPr>
    <w:rPr>
      <w:rFonts w:asciiTheme="minorHAnsi" w:hAnsiTheme="minorHAnsi" w:eastAsiaTheme="minorEastAsia"/>
      <w:i/>
      <w:kern w:val="0"/>
      <w:sz w:val="24"/>
    </w:rPr>
  </w:style>
  <w:style w:type="character" w:customStyle="1" w:styleId="35">
    <w:name w:val="引用 Char"/>
    <w:basedOn w:val="18"/>
    <w:link w:val="34"/>
    <w:qFormat/>
    <w:uiPriority w:val="29"/>
    <w:rPr>
      <w:i/>
      <w:sz w:val="24"/>
      <w:szCs w:val="24"/>
    </w:rPr>
  </w:style>
  <w:style w:type="paragraph" w:styleId="36">
    <w:name w:val="Intense Quote"/>
    <w:basedOn w:val="1"/>
    <w:next w:val="1"/>
    <w:link w:val="37"/>
    <w:qFormat/>
    <w:uiPriority w:val="30"/>
    <w:pPr>
      <w:widowControl/>
      <w:ind w:left="720" w:right="720"/>
      <w:jc w:val="left"/>
    </w:pPr>
    <w:rPr>
      <w:rFonts w:asciiTheme="minorHAnsi" w:hAnsiTheme="minorHAnsi" w:eastAsiaTheme="minorEastAsia"/>
      <w:b/>
      <w:i/>
      <w:kern w:val="0"/>
      <w:sz w:val="24"/>
      <w:szCs w:val="22"/>
    </w:rPr>
  </w:style>
  <w:style w:type="character" w:customStyle="1" w:styleId="37">
    <w:name w:val="明显引用 Char"/>
    <w:basedOn w:val="18"/>
    <w:link w:val="36"/>
    <w:qFormat/>
    <w:uiPriority w:val="30"/>
    <w:rPr>
      <w:b/>
      <w:i/>
      <w:sz w:val="24"/>
    </w:rPr>
  </w:style>
  <w:style w:type="character" w:customStyle="1" w:styleId="38">
    <w:name w:val="不明显强调1"/>
    <w:qFormat/>
    <w:uiPriority w:val="19"/>
    <w:rPr>
      <w:i/>
      <w:color w:val="595959" w:themeColor="text1" w:themeTint="A6"/>
      <w14:textFill>
        <w14:solidFill>
          <w14:schemeClr w14:val="tx1">
            <w14:lumMod w14:val="65000"/>
            <w14:lumOff w14:val="35000"/>
          </w14:schemeClr>
        </w14:solidFill>
      </w14:textFill>
    </w:rPr>
  </w:style>
  <w:style w:type="character" w:customStyle="1" w:styleId="39">
    <w:name w:val="明显强调1"/>
    <w:basedOn w:val="18"/>
    <w:qFormat/>
    <w:uiPriority w:val="21"/>
    <w:rPr>
      <w:b/>
      <w:i/>
      <w:sz w:val="24"/>
      <w:szCs w:val="24"/>
      <w:u w:val="single"/>
    </w:rPr>
  </w:style>
  <w:style w:type="character" w:customStyle="1" w:styleId="40">
    <w:name w:val="不明显参考1"/>
    <w:basedOn w:val="18"/>
    <w:qFormat/>
    <w:uiPriority w:val="31"/>
    <w:rPr>
      <w:sz w:val="24"/>
      <w:szCs w:val="24"/>
      <w:u w:val="single"/>
    </w:rPr>
  </w:style>
  <w:style w:type="character" w:customStyle="1" w:styleId="41">
    <w:name w:val="明显参考1"/>
    <w:basedOn w:val="18"/>
    <w:qFormat/>
    <w:uiPriority w:val="32"/>
    <w:rPr>
      <w:b/>
      <w:sz w:val="24"/>
      <w:u w:val="single"/>
    </w:rPr>
  </w:style>
  <w:style w:type="character" w:customStyle="1" w:styleId="42">
    <w:name w:val="书籍标题1"/>
    <w:basedOn w:val="18"/>
    <w:qFormat/>
    <w:uiPriority w:val="33"/>
    <w:rPr>
      <w:rFonts w:asciiTheme="majorHAnsi" w:hAnsiTheme="majorHAnsi" w:eastAsiaTheme="majorEastAsia"/>
      <w:b/>
      <w:i/>
      <w:sz w:val="24"/>
      <w:szCs w:val="24"/>
    </w:rPr>
  </w:style>
  <w:style w:type="paragraph" w:customStyle="1" w:styleId="43">
    <w:name w:val="TOC 标题1"/>
    <w:basedOn w:val="2"/>
    <w:next w:val="1"/>
    <w:semiHidden/>
    <w:unhideWhenUsed/>
    <w:qFormat/>
    <w:uiPriority w:val="39"/>
    <w:pPr>
      <w:outlineLvl w:val="9"/>
    </w:pPr>
    <w:rPr>
      <w:lang w:eastAsia="en-US" w:bidi="en-US"/>
    </w:rPr>
  </w:style>
  <w:style w:type="character" w:customStyle="1" w:styleId="44">
    <w:name w:val="页眉 Char"/>
    <w:basedOn w:val="18"/>
    <w:link w:val="13"/>
    <w:qFormat/>
    <w:uiPriority w:val="99"/>
    <w:rPr>
      <w:rFonts w:ascii="Calibri" w:hAnsi="Calibri" w:eastAsia="宋体"/>
      <w:kern w:val="2"/>
      <w:sz w:val="18"/>
      <w:szCs w:val="18"/>
    </w:rPr>
  </w:style>
  <w:style w:type="character" w:customStyle="1" w:styleId="45">
    <w:name w:val="页脚 Char"/>
    <w:basedOn w:val="18"/>
    <w:link w:val="12"/>
    <w:qFormat/>
    <w:uiPriority w:val="99"/>
    <w:rPr>
      <w:rFonts w:ascii="Calibri" w:hAnsi="Calibri" w:eastAsia="宋体"/>
      <w:kern w:val="2"/>
      <w:sz w:val="18"/>
      <w:szCs w:val="18"/>
    </w:rPr>
  </w:style>
  <w:style w:type="character" w:customStyle="1" w:styleId="46">
    <w:name w:val="批注框文本 Char"/>
    <w:basedOn w:val="18"/>
    <w:link w:val="11"/>
    <w:semiHidden/>
    <w:qFormat/>
    <w:uiPriority w:val="99"/>
    <w:rPr>
      <w:rFonts w:ascii="Times New Roman" w:hAnsi="Times New Roman" w:eastAsia="宋体"/>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AC8D1C95289B424182C977C1902B2A2F</vt:lpwstr>
  </property>
</Properties>
</file>

<file path=customXml/itemProps1.xml><?xml version="1.0" encoding="utf-8"?>
<ds:datastoreItem xmlns:ds="http://schemas.openxmlformats.org/officeDocument/2006/customXml" ds:itemID="{c372dcf6-01f8-41ef-ac2c-cf9cc7061334}">
  <ds:schemaRefs/>
</ds:datastoreItem>
</file>

<file path=docProps/app.xml><?xml version="1.0" encoding="utf-8"?>
<Properties xmlns="http://schemas.openxmlformats.org/officeDocument/2006/extended-properties" xmlns:vt="http://schemas.openxmlformats.org/officeDocument/2006/docPropsVTypes">
  <Template>Normal</Template>
  <Company>市财政资金综合评价中心</Company>
  <Pages>31</Pages>
  <Words>98</Words>
  <Characters>559</Characters>
  <Lines>4</Lines>
  <Paragraphs>1</Paragraphs>
  <TotalTime>3</TotalTime>
  <ScaleCrop>false</ScaleCrop>
  <LinksUpToDate>false</LinksUpToDate>
  <CharactersWithSpaces>656</CharactersWithSpaces>
  <Application>WPS Office_12.8.2.18205_F1E327BC-269C-435d-A152-05C5408002CA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2025-04-28T05:31:00Z</dcterms:created>
  <dc:creator>赵 恺_xFF08_预算处_xFF09_</dc:creator>
  <cp:lastModifiedBy>Lenovo</cp:lastModifiedBy>
  <cp:lastPrinted>2018-12-31T10:56:00Z</cp:lastPrinted>
  <dcterms:modified xsi:type="dcterms:W3CDTF">2025-09-26T09:45:30Z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2052-12.8.2.18205</vt:lpwstr>
  </property>
  <property fmtid="{D5CDD505-2E9C-101B-9397-08002B2CF9AE}" pid="3" name="ICV">
    <vt:lpwstr>6BED9671D04B41B8B8E20BFFED3F446B_13</vt:lpwstr>
  </property>
</Properties>
</file>