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中共乌鲁木齐市委员会机构编制委员会办公室2024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部门概况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中共乌鲁木齐市委员会机构编制委员会办公室工作职能。</w:t>
      </w:r>
    </w:p>
    <w:p>
      <w:pPr>
        <w:spacing w:line="580" w:lineRule="exact"/>
        <w:ind w:firstLine="640"/>
        <w:jc w:val="both"/>
      </w:pPr>
      <w:r>
        <w:rPr>
          <w:rFonts w:ascii="仿宋_GB2312" w:hAnsi="仿宋_GB2312" w:eastAsia="仿宋_GB2312"/>
          <w:sz w:val="32"/>
        </w:rPr>
        <w:t>（一）负责处理市委机构编制委员会日常事务工作；协调督促有关方面落实市委机构编制委员会的决定事项、工作部署和要求；围绕全市重点领域和关键环节体制机制改革，以及全面坚持和加强党的领导、全面深化改革和加强机构编制管理等深层次重大问题，组织开展调查研究，向市委机构编制委员会提出工作建议。</w:t>
      </w:r>
    </w:p>
    <w:p>
      <w:pPr>
        <w:spacing w:line="580" w:lineRule="exact"/>
        <w:ind w:firstLine="640"/>
        <w:jc w:val="both"/>
      </w:pPr>
      <w:r>
        <w:rPr>
          <w:rFonts w:ascii="仿宋_GB2312" w:hAnsi="仿宋_GB2312" w:eastAsia="仿宋_GB2312"/>
          <w:sz w:val="32"/>
        </w:rPr>
        <w:t>（二）贯彻执行党和国家关于行政管理体制改革、机构改革和机构编制管理的方针、政策和法规，起草有关地方性法规、规章草案和政策措施，并组织实施。</w:t>
      </w:r>
    </w:p>
    <w:p>
      <w:pPr>
        <w:spacing w:line="580" w:lineRule="exact"/>
        <w:ind w:firstLine="640"/>
        <w:jc w:val="both"/>
      </w:pPr>
      <w:r>
        <w:rPr>
          <w:rFonts w:ascii="仿宋_GB2312" w:hAnsi="仿宋_GB2312" w:eastAsia="仿宋_GB2312"/>
          <w:sz w:val="32"/>
        </w:rPr>
        <w:t>（三）统一管理全市各级党政机关，人大、政协、法院、检察机关，各民主党派、人民团体机关及事业单位的机构编制工作。</w:t>
      </w:r>
    </w:p>
    <w:p>
      <w:pPr>
        <w:spacing w:line="580" w:lineRule="exact"/>
        <w:ind w:firstLine="640"/>
        <w:jc w:val="both"/>
      </w:pPr>
      <w:r>
        <w:rPr>
          <w:rFonts w:ascii="仿宋_GB2312" w:hAnsi="仿宋_GB2312" w:eastAsia="仿宋_GB2312"/>
          <w:sz w:val="32"/>
        </w:rPr>
        <w:t>（四）研究拟订全市机构改革的总体方案，并组织实施；审核市级党政机关，人大、政协机关，各民主党派、人民团体机关的机构改革方案；审核区（县）、乡（镇）机构改革方案，指导、协调区（县）机构改革及机构编制管理工作。</w:t>
      </w:r>
    </w:p>
    <w:p>
      <w:pPr>
        <w:spacing w:line="580" w:lineRule="exact"/>
        <w:ind w:firstLine="640"/>
        <w:jc w:val="both"/>
      </w:pPr>
      <w:r>
        <w:rPr>
          <w:rFonts w:ascii="仿宋_GB2312" w:hAnsi="仿宋_GB2312" w:eastAsia="仿宋_GB2312"/>
          <w:sz w:val="32"/>
        </w:rPr>
        <w:t>（五）协调市级党政群机关各部门职能配置及其调整；研究拟订市级各部门以及市级各部门与区（县）有关事权划分和职责分工的意见。</w:t>
      </w:r>
    </w:p>
    <w:p>
      <w:pPr>
        <w:spacing w:line="580" w:lineRule="exact"/>
        <w:ind w:firstLine="640"/>
        <w:jc w:val="both"/>
      </w:pPr>
      <w:r>
        <w:rPr>
          <w:rFonts w:ascii="仿宋_GB2312" w:hAnsi="仿宋_GB2312" w:eastAsia="仿宋_GB2312"/>
          <w:sz w:val="32"/>
        </w:rPr>
        <w:t>（六）审核市级党政机关，人大、政协、法院、检察机关，各民主党派、人民团体机关的机构设置和人员编制、领导职数；审核区（县）副科级以上行政机构设置、领导职数和区（县）、片区管委会、乡（镇）机构编制分类及人员编制总额。</w:t>
      </w:r>
    </w:p>
    <w:p>
      <w:pPr>
        <w:spacing w:line="580" w:lineRule="exact"/>
        <w:ind w:firstLine="640"/>
        <w:jc w:val="both"/>
      </w:pPr>
      <w:r>
        <w:rPr>
          <w:rFonts w:ascii="仿宋_GB2312" w:hAnsi="仿宋_GB2312" w:eastAsia="仿宋_GB2312"/>
          <w:sz w:val="32"/>
        </w:rPr>
        <w:t>（七）审核或审批全市各级事业单位的机构设置、职责任务、人员编制、领导职数、编制结构及经费开支渠道；指导、协调区（县）事业单位分类改革和机构编制管理工作。</w:t>
      </w:r>
    </w:p>
    <w:p>
      <w:pPr>
        <w:spacing w:line="580" w:lineRule="exact"/>
        <w:ind w:firstLine="640"/>
        <w:jc w:val="both"/>
      </w:pPr>
      <w:r>
        <w:rPr>
          <w:rFonts w:ascii="仿宋_GB2312" w:hAnsi="仿宋_GB2312" w:eastAsia="仿宋_GB2312"/>
          <w:sz w:val="32"/>
        </w:rPr>
        <w:t>（八）研究拟订事业单位登记管理办法；承担权限内事业单位登记管理工作及机关、群团等机构的统一社会信用代码赋码发证工作；依法对全市事业单位登记管理工作进行监督检查。</w:t>
      </w:r>
    </w:p>
    <w:p>
      <w:pPr>
        <w:spacing w:line="580" w:lineRule="exact"/>
        <w:ind w:firstLine="640"/>
        <w:jc w:val="both"/>
      </w:pPr>
      <w:r>
        <w:rPr>
          <w:rFonts w:ascii="仿宋_GB2312" w:hAnsi="仿宋_GB2312" w:eastAsia="仿宋_GB2312"/>
          <w:sz w:val="32"/>
        </w:rPr>
        <w:t>（九）监督检查全市机构改革以及机构编制的执行情况。</w:t>
      </w:r>
    </w:p>
    <w:p>
      <w:pPr>
        <w:spacing w:line="580" w:lineRule="exact"/>
        <w:ind w:firstLine="640"/>
        <w:jc w:val="both"/>
      </w:pPr>
      <w:r>
        <w:rPr>
          <w:rFonts w:ascii="仿宋_GB2312" w:hAnsi="仿宋_GB2312" w:eastAsia="仿宋_GB2312"/>
          <w:sz w:val="32"/>
        </w:rPr>
        <w:t>（十）负责行政管理体制改革、机构改革和机构编制管理的理论研究和信息收集工作；负责全市机构编制系统干部的培训工作。</w:t>
      </w:r>
    </w:p>
    <w:p>
      <w:pPr>
        <w:spacing w:line="580" w:lineRule="exact"/>
        <w:ind w:firstLine="640"/>
        <w:jc w:val="both"/>
      </w:pPr>
      <w:r>
        <w:rPr>
          <w:rFonts w:ascii="仿宋_GB2312" w:hAnsi="仿宋_GB2312" w:eastAsia="仿宋_GB2312"/>
          <w:sz w:val="32"/>
        </w:rPr>
        <w:t>（十一）负责全市党政群机关、事业单位机构编制实名制管理及统计工作；指导、协调全市机构编制信息化建设工作；指导和规范全市党政群机关、事业单位网上中文域名注册管理工作。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中共乌鲁木齐市委员会机构编制委员会办公室2024年度，实有人数51人，其中：在职人员35人，增加0人；离休人员0人，增加0人；退休人员16人,增加2人。</w:t>
      </w:r>
    </w:p>
    <w:p>
      <w:pPr>
        <w:spacing w:line="580" w:lineRule="exact"/>
        <w:ind w:firstLine="640"/>
        <w:jc w:val="both"/>
      </w:pPr>
      <w:r>
        <w:rPr>
          <w:rFonts w:ascii="仿宋_GB2312" w:hAnsi="仿宋_GB2312" w:eastAsia="仿宋_GB2312"/>
          <w:sz w:val="32"/>
        </w:rPr>
        <w:t>中共乌鲁木齐市委员会机构编制委员会办公室无下属预算单位，下设8个科室，分别是：综合科、体改政研科、行政机关编制科、事业机构编制科、区县机构编制科、监督检查科、事业单位登记管理科、机构编制信息中心。</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2024年度收入总计701.60万元，</w:t>
      </w:r>
      <w:r>
        <w:rPr>
          <w:rFonts w:ascii="仿宋_GB2312" w:hAnsi="仿宋_GB2312" w:eastAsia="仿宋_GB2312"/>
          <w:b w:val="0"/>
          <w:sz w:val="32"/>
        </w:rPr>
        <w:t>其中：本年收入合计701.53万元，使用非财政拨款结余（含专用结余）0.00万元，年初结转和结余0.07万元。</w:t>
      </w:r>
    </w:p>
    <w:p>
      <w:pPr>
        <w:spacing w:line="580" w:lineRule="exact"/>
        <w:ind w:firstLine="640"/>
        <w:jc w:val="both"/>
      </w:pPr>
      <w:r>
        <w:rPr>
          <w:rFonts w:ascii="仿宋_GB2312" w:hAnsi="仿宋_GB2312" w:eastAsia="仿宋_GB2312"/>
          <w:b/>
          <w:sz w:val="32"/>
        </w:rPr>
        <w:t>2024年度支出总计701.60万元，</w:t>
      </w:r>
      <w:r>
        <w:rPr>
          <w:rFonts w:ascii="仿宋_GB2312" w:hAnsi="仿宋_GB2312" w:eastAsia="仿宋_GB2312"/>
          <w:b w:val="0"/>
          <w:sz w:val="32"/>
        </w:rPr>
        <w:t>其中：本年支出合计701.60万元，结余分配0.00万元，年末结转和结余0.00万元。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增加0.83万元，增长0.12%，主要原因是：人员工资增加、社保基数调整增加，人员经费支出增加。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本年收入701.53万元，</w:t>
      </w:r>
      <w:r>
        <w:rPr>
          <w:rFonts w:ascii="仿宋_GB2312" w:hAnsi="仿宋_GB2312" w:eastAsia="仿宋_GB2312"/>
          <w:b w:val="0"/>
          <w:sz w:val="32"/>
        </w:rPr>
        <w:t>其中：财政拨款收入701.53万元，占100.00%；上级补助收入0.00万元，占0.00%；事业收入0.00万元，占0.00%；经营收入0.00万元，占0.00%；附属单位上缴收入0.00万元，占0.00%；其他收入0.00万元，占0.00%。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本年支出701.60万元，</w:t>
      </w:r>
      <w:r>
        <w:rPr>
          <w:rFonts w:ascii="仿宋_GB2312" w:hAnsi="仿宋_GB2312" w:eastAsia="仿宋_GB2312"/>
          <w:b w:val="0"/>
          <w:sz w:val="32"/>
        </w:rPr>
        <w:t>其中：基本支出683.16万元，占97.37%；项目支出18.44万元，占2.63%；上缴上级支出0.00万元，占0.00%；经营支出0.00万元，占0.00%；对附属单位补助支出0.00万元，占0.00%。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2024年度财政拨款收入总计701.53万元，</w:t>
      </w:r>
      <w:r>
        <w:rPr>
          <w:rFonts w:ascii="仿宋_GB2312" w:hAnsi="仿宋_GB2312" w:eastAsia="仿宋_GB2312"/>
          <w:b w:val="0"/>
          <w:sz w:val="32"/>
        </w:rPr>
        <w:t>其中：年初财政拨款结转和结余0.00万元，本年财政拨款收入701.53万元。</w:t>
      </w:r>
      <w:r>
        <w:rPr>
          <w:rFonts w:ascii="仿宋_GB2312" w:hAnsi="仿宋_GB2312" w:eastAsia="仿宋_GB2312"/>
          <w:b/>
          <w:sz w:val="32"/>
        </w:rPr>
        <w:t>财政拨款支出总计701.53万元，</w:t>
      </w:r>
      <w:r>
        <w:rPr>
          <w:rFonts w:ascii="仿宋_GB2312" w:hAnsi="仿宋_GB2312" w:eastAsia="仿宋_GB2312"/>
          <w:b w:val="0"/>
          <w:sz w:val="32"/>
        </w:rPr>
        <w:t>其中：年末财政拨款结转和结余0.00万元，本年财政拨款支出701.53万元。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增加2.18万元，增长0.31%，主要原因是：人员工资增加、社保基数调整增加，人员经费支出增加。</w:t>
      </w:r>
      <w:r>
        <w:rPr>
          <w:rFonts w:ascii="仿宋_GB2312" w:hAnsi="仿宋_GB2312" w:eastAsia="仿宋_GB2312"/>
          <w:b/>
          <w:sz w:val="32"/>
        </w:rPr>
        <w:t>与年初预算相比，</w:t>
      </w:r>
      <w:r>
        <w:rPr>
          <w:rFonts w:ascii="仿宋_GB2312" w:hAnsi="仿宋_GB2312" w:eastAsia="仿宋_GB2312"/>
          <w:b w:val="0"/>
          <w:sz w:val="32"/>
        </w:rPr>
        <w:t>年初预算数694.05万元，决算数701.53万元，预决算差异率1.08%，主要原因是：年中追加人员工资、社保、公积金基数调增部分资金，导致预决算存在差异。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2024年度一般公共预算财政拨款支出701.53万元，</w:t>
      </w:r>
      <w:r>
        <w:rPr>
          <w:rFonts w:ascii="仿宋_GB2312" w:hAnsi="仿宋_GB2312" w:eastAsia="仿宋_GB2312"/>
          <w:b w:val="0"/>
          <w:sz w:val="32"/>
        </w:rPr>
        <w:t>占本年支出合计的99.99%。</w:t>
      </w:r>
      <w:r>
        <w:rPr>
          <w:rFonts w:ascii="仿宋_GB2312" w:hAnsi="仿宋_GB2312" w:eastAsia="仿宋_GB2312"/>
          <w:b/>
          <w:sz w:val="32"/>
        </w:rPr>
        <w:t>与上年相比，</w:t>
      </w:r>
      <w:r>
        <w:rPr>
          <w:rFonts w:ascii="仿宋_GB2312" w:hAnsi="仿宋_GB2312" w:eastAsia="仿宋_GB2312"/>
          <w:b w:val="0"/>
          <w:sz w:val="32"/>
        </w:rPr>
        <w:t>增加2.18万元，增长0.31%，主要原因是：人员工资增加、社保基数调整增加，人员经费支出增加。</w:t>
      </w:r>
      <w:r>
        <w:rPr>
          <w:rFonts w:ascii="仿宋_GB2312" w:hAnsi="仿宋_GB2312" w:eastAsia="仿宋_GB2312"/>
          <w:b/>
          <w:sz w:val="32"/>
        </w:rPr>
        <w:t>与年初预算相比,</w:t>
      </w:r>
      <w:r>
        <w:rPr>
          <w:rFonts w:ascii="仿宋_GB2312" w:hAnsi="仿宋_GB2312" w:eastAsia="仿宋_GB2312"/>
          <w:b w:val="0"/>
          <w:sz w:val="32"/>
        </w:rPr>
        <w:t>年初预算数694.05万元，决算数701.53万元，预决算差异率1.08%，主要原因是：年中追加人员工资、社保、公积金基数调增部分资金，导致预决算存在差异。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1.一般公共服务支出(类)605.24万元,占86.27%。</w:t>
      </w:r>
    </w:p>
    <w:p>
      <w:pPr>
        <w:spacing w:line="580" w:lineRule="exact"/>
        <w:ind w:firstLine="640"/>
        <w:jc w:val="both"/>
      </w:pPr>
      <w:r>
        <w:rPr>
          <w:rFonts w:ascii="仿宋_GB2312" w:hAnsi="仿宋_GB2312" w:eastAsia="仿宋_GB2312"/>
          <w:b w:val="0"/>
          <w:sz w:val="32"/>
        </w:rPr>
        <w:t>2.社会保障和就业支出(类)96.29万元,占13.73%。</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1.一般公共服务支出(类)党委办公厅（室）及相关机构事务(款)行政运行(项):支出决算数为2.12万元，比上年决算增加2.12万元，增长100.00%,主要原因是：增加硕博补贴经费。</w:t>
      </w:r>
    </w:p>
    <w:p>
      <w:pPr>
        <w:spacing w:line="580" w:lineRule="exact"/>
        <w:ind w:firstLine="640"/>
        <w:jc w:val="both"/>
      </w:pPr>
      <w:r>
        <w:rPr>
          <w:rFonts w:ascii="仿宋_GB2312" w:hAnsi="仿宋_GB2312" w:eastAsia="仿宋_GB2312"/>
          <w:b w:val="0"/>
          <w:sz w:val="32"/>
        </w:rPr>
        <w:t>2.一般公共服务支出(类)组织事务(款)行政运行(项):支出决算数为480.36万元，比上年决算增加1.37万元，增长0.29%,主要原因是：人员工资增加、社保基数调增，人员经费支出增加。</w:t>
      </w:r>
    </w:p>
    <w:p>
      <w:pPr>
        <w:spacing w:line="580" w:lineRule="exact"/>
        <w:ind w:firstLine="640"/>
        <w:jc w:val="both"/>
      </w:pPr>
      <w:r>
        <w:rPr>
          <w:rFonts w:ascii="仿宋_GB2312" w:hAnsi="仿宋_GB2312" w:eastAsia="仿宋_GB2312"/>
          <w:b w:val="0"/>
          <w:sz w:val="32"/>
        </w:rPr>
        <w:t>3.一般公共服务支出(类)组织事务(款)一般行政管理事务(项):支出决算数为18.44万元，比上年决算减少3.83万元，下降17.20%,主要原因是：本年度项目机构编制管理工作经费根据工作安排有减少，导致经费较上年减少。</w:t>
      </w:r>
    </w:p>
    <w:p>
      <w:pPr>
        <w:spacing w:line="580" w:lineRule="exact"/>
        <w:ind w:firstLine="640"/>
        <w:jc w:val="both"/>
      </w:pPr>
      <w:r>
        <w:rPr>
          <w:rFonts w:ascii="仿宋_GB2312" w:hAnsi="仿宋_GB2312" w:eastAsia="仿宋_GB2312"/>
          <w:b w:val="0"/>
          <w:sz w:val="32"/>
        </w:rPr>
        <w:t>4.一般公共服务支出(类)组织事务(款)事业运行(项):支出决算数为104.33万元，比上年决算减少1.84万元，下降1.73%,主要原因是：本年在职人员调入调出，人员职级不同，工资基数不同，导致人员经费较上年减少。</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11.46万元，比上年决算增加2.50万元，增长27.90%,主要原因是：本年退休人员增加，退休人员生活补助支出增加，行政单位离退休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66.73万元，比上年决算增加2.21万元，增长3.43%,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18.09万元，比上年决算减少0.36万元，下降1.95%,主要原因是：本年新增退休人员及调出人员较上年减少，职业年金缴费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2024年度一般公共预算财政拨款基本支出683.09万元，其中：</w:t>
      </w:r>
      <w:r>
        <w:rPr>
          <w:rFonts w:ascii="仿宋_GB2312" w:hAnsi="仿宋_GB2312" w:eastAsia="仿宋_GB2312"/>
          <w:b/>
          <w:sz w:val="32"/>
        </w:rPr>
        <w:t>人员经费635.00万元，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w:t>
      </w:r>
    </w:p>
    <w:p>
      <w:pPr>
        <w:spacing w:line="580" w:lineRule="exact"/>
        <w:ind w:firstLine="640"/>
        <w:jc w:val="both"/>
      </w:pPr>
      <w:r>
        <w:rPr>
          <w:rFonts w:ascii="仿宋_GB2312" w:hAnsi="仿宋_GB2312" w:eastAsia="仿宋_GB2312"/>
          <w:b/>
          <w:sz w:val="32"/>
        </w:rPr>
        <w:t>公用经费48.09万元，</w:t>
      </w:r>
      <w:r>
        <w:rPr>
          <w:rFonts w:ascii="仿宋_GB2312" w:hAnsi="仿宋_GB2312" w:eastAsia="仿宋_GB2312"/>
          <w:b w:val="0"/>
          <w:sz w:val="32"/>
        </w:rPr>
        <w:t>包括：办公费、邮电费、差旅费、维修（护）费、培训费、委托业务费、工会经费、福利费、公务用车运行维护费、其他商品和服务支出。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2024年度财政拨款“三公”经费支出7.90万元，</w:t>
      </w:r>
      <w:r>
        <w:rPr>
          <w:rFonts w:ascii="仿宋_GB2312" w:hAnsi="仿宋_GB2312" w:eastAsia="仿宋_GB2312"/>
          <w:b w:val="0"/>
          <w:sz w:val="32"/>
        </w:rPr>
        <w:t>比上年增加0.49万元，增长6.61%，主要原因是：本年业务活动正常开展，车辆使用频次较上年增加，公务用车运行维护费增加。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公务用车购置及运行维护费支出7.90万元，占100.00%，比上年增加0.49万元，增长6.61%，主要原因是：本年业务活动正常开展，车辆使用频次较上年增加，公务用车运行维护费增加。</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7.90万元，其中：公务用车购置费0.00万元，公务用车运行维护费7.90万元。公务用车运行维护费开支内容包括车辆保险、车辆燃油、车辆维修、过路停车费。公务用车购置数0辆，公务用车保有量4辆。国有资产占用情况中固定资产车辆4辆，与公务用车保有量差异原因是：本部门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7.90万元，决算数7.90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7.90万元，决算数7.90万元，预决算差异率0.00%，主要原因是：严格按照预算执行，预决算无差异。公务接待费全年预算数0.00万元，决算数0.00万元，预决算差异率0.00%，主要原因是：本部门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乌鲁木齐市委员会机构编制委员会办公室（行政单位和参照公务员法管理事业单位）机关运行经费支出48.09万元，比上年增加1.68万元，增长3.62%，主要原因是：本年在职人员增加，相应办公等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2024年度政府采购支出总额14.46万元，其中：政府采购货物支出3.09万元、政府采购工程支出0.00万元、政府采购服务支出11.36万元。</w:t>
      </w:r>
    </w:p>
    <w:p>
      <w:pPr>
        <w:spacing w:line="580" w:lineRule="exact"/>
        <w:ind w:firstLine="640"/>
        <w:jc w:val="both"/>
      </w:pPr>
      <w:r>
        <w:rPr>
          <w:rFonts w:ascii="仿宋_GB2312" w:hAnsi="仿宋_GB2312" w:eastAsia="仿宋_GB2312"/>
          <w:b w:val="0"/>
          <w:sz w:val="32"/>
        </w:rPr>
        <w:t>授予中小企业合同金额9.40万元，占政府采购支出总额的65.01%，其中：授予小微企业合同金额8.02万元，占政府采购支出总额的55.46%。</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4辆，价值64.84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701.60万元，实际执行总额701.60万元；预算绩效评价项目1个，全年预算数34.51万元，全年执行数18.44万元。预算绩效管理取得的成效：一是健全管理制度。建立健全全过程预算绩效管理制度，将绩效理念和方法深度融入预算编制、执行、监督全过程，构建事前、事中、事后绩效管理闭环系统。明确预算绩效管理工作做什么和怎么做，确保预算绩效管理工作有章可循、有规可依。认真落实《新疆维吾尔自治区权责清单管理办法》，对市级各部门开展权责清单工作的职责任务进行划分，明确审核公示程序。按照职权法定、权责一致、公开透明、便民高效的原则，根据法律法规立改废释、机构职能调整等情况，指导督促市级各部门开展权责清单动态调整工作，推动权责清单管理标准化规范化。强化实名制管理。严格审核把关，做好人员纳出编和招录招聘、人才引进、人员调动等用编计划的审核工作。开展机构编制实名制数据核查，加强系统维护，确保数据信息真实准确、规范完整。加强机构编制统计工作，强化统计分析和结果运用，提升事业单位登记管理水平。认真贯彻落实《事业单位登记管理暂行条例》及其实施细则，优化登记管理服务，规范事业单位运行。二是加强统筹协调。形成多方联运的绩效管理格局，确保各部门之间协同合作，形成合力。一起参与绩效目标审核、预算绩效管理业务培训指导、项目和部门整体绩效评价工作，提升绩效管理的客观性和科学性。三是加强机构编制监督检查。严格执行机构编制报告制度，按时向自治区党委编委报送年度机构编制重要事项，并督促各区（县）党委编委和市属部门开展相关工作，进一步严肃机构编制纪律。建立健全与巡视巡察、审计部门协作配合机制，加强信息共享，形成监督合力。加强机构编制政策法规宣传，推动《中国共产党机构编制工作条例》纳入市委党校和区（县）委党校主体班教学内容，提升领导干部机构编制法治意识，确保预算绩效管理的透明度和公开性。发现的问题及原因：由于预算绩效管理工作涉及业务种类多、项目繁杂，且可借鉴经验少。所以业务推进过程中存在一些问题。主要集中在以下方面：一是制定本部门（项目）预算绩效管理工作规章制度，具体组织实施本部门的预算绩效管理工作时，对预算绩效管理工作存在知识盲点。二是在对本部门（项目）年度预算绩效管理工作执行过程中，还未做到全覆盖，存在遗漏，且调整、纠正不及时。出现上列问题的主要原因是，缺少培训和实操练习，以及思想认识不足造成，需进一步加强全面预算绩效管理工作的学习，提高全面预算绩效管理的认识。加强绩效评价工作推进力度，做好业务培训同时，继续加强建立经费“谁使用、谁负责”的责任机制。并严格执行《中华人民共和国预算法》、《会计法》等国家有关法律规定，同时为保证资金在使用过程中使用性质正确、不超支，要严格按照预算规定的资金性质、分项标准执行。对项目资金的使用,按照轻重缓急、统筹兼顾的原则安排使用公用经费；制定完善内部经费管理办法，细化公用经费等支出范围与标准，明确责任，严格管理；建立健全内部控制制度责任制度等监督制度，依法公开财务信息，依法接受主管部门和财政、审计等部门的监督。资金在使用过程中做到先报计划，再申请资金，资金使用时尽量采取财政直接支付的方式进行使用。下一步改进措施：加强培训和实操练习，提高思想认识，进一步加强全面预算绩效管理工作的学习，提高全面预算绩效管理的认识。加强绩效评价工作推进力度，做好业务培训同时，继续加强建立经费“谁使用、谁负责”的责任机制。并严格执行《中华人民共和国预算法》、《会计法》等国家有关法律规定，同时为保证资金在使用过程中使用性质正确、不超支，要严格按照预算规定的资金性质、分项标准执行。对项目资金的使用,按照轻重缓急、统筹兼顾的原则安排使用公用经费；制定完善内部经费管理办法，细化公用经费等支出范围与标准，明确责任，严格管理；建立健全内部控制制度、经济责任制度等监督制度，依法公开财务信息，依法接受主管部门和财政、审计等部门的监督。具体附部门整体支出绩效自评表，项目支出绩效自评表和部门评价报告。</w:t>
      </w:r>
    </w:p>
    <w:p>
      <w:r>
        <w:br w:type="page"/>
      </w:r>
    </w:p>
    <w:tbl>
      <w:tblPr>
        <w:tblW w:type="auto" w:w="0"/>
        <w:tblLook w:firstColumn="1" w:firstRow="1" w:lastColumn="0" w:lastRow="0" w:noHBand="0" w:noVBand="1" w:val="04A0"/>
      </w:tblPr>
      <w:tblGrid>
        <w:gridCol w:w="1105"/>
        <w:gridCol w:w="1105"/>
        <w:gridCol w:w="1105"/>
        <w:gridCol w:w="1105"/>
        <w:gridCol w:w="1105"/>
        <w:gridCol w:w="1105"/>
        <w:gridCol w:w="1105"/>
        <w:gridCol w:w="1105"/>
      </w:tblGrid>
      <w:tr>
        <w:tc>
          <w:tcPr>
            <w:tcW w:type="dxa" w:w="8840"/>
            <w:gridSpan w:val="8"/>
            <w:vAlign w:val="center"/>
          </w:tcPr>
          <w:p>
            <w:pPr>
              <w:jc w:val="center"/>
            </w:pPr>
            <w:r>
              <w:rPr>
                <w:rFonts w:ascii="宋体" w:hAnsi="宋体" w:eastAsia="宋体"/>
                <w:sz w:val="24"/>
              </w:rPr>
              <w:t>部门整体支出绩效自评表</w:t>
            </w:r>
          </w:p>
        </w:tc>
      </w:tr>
      <w:tr>
        <w:tc>
          <w:tcPr>
            <w:tcW w:type="dxa" w:w="8840"/>
            <w:gridSpan w:val="8"/>
            <w:vAlign w:val="center"/>
          </w:tcPr>
          <w:p>
            <w:pPr>
              <w:jc w:val="center"/>
            </w:pPr>
            <w:r>
              <w:rPr>
                <w:rFonts w:ascii="宋体" w:hAnsi="宋体" w:eastAsia="宋体"/>
                <w:sz w:val="24"/>
              </w:rPr>
              <w:t>（2024年度）</w:t>
            </w:r>
          </w:p>
        </w:tc>
      </w:tr>
      <w:tr>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部门名称</w:t>
            </w:r>
          </w:p>
        </w:tc>
        <w:tc>
          <w:tcPr>
            <w:tcW w:type="dxa" w:w="7735"/>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中共乌鲁木齐市委员会机构编制委员会办公室</w:t>
            </w:r>
          </w:p>
        </w:tc>
      </w:tr>
      <w:tr>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年度总资金</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694.05</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701.60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701.60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694.05</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701.60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701.60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3315"/>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420"/>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实际完成目标</w:t>
            </w:r>
          </w:p>
        </w:tc>
      </w:tr>
      <w:tr>
        <w:tc>
          <w:tcPr>
            <w:tcW w:type="dxa" w:w="1105"/>
            <w:vMerge/>
            <w:tcBorders>
              <w:start w:sz="10" w:val="single"/>
              <w:top w:sz="10" w:val="single"/>
              <w:end w:sz="10" w:val="single"/>
              <w:bottom w:sz="10" w:val="single"/>
              <w:insideV w:sz="10" w:val="single"/>
            </w:tcBorders>
          </w:tcPr>
          <w:p/>
        </w:tc>
        <w:tc>
          <w:tcPr>
            <w:tcW w:type="dxa" w:w="3315"/>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做好全市行政管理体制改革、机构改革和机构编制管理工作，加强调查研究，优化事业单位登记管理服务，加强机构编制监督检查，做好全市行政事业单位机构编制实名制信息数据库维护，推动机构编制管理创新，提升机构编制管理水平。</w:t>
            </w:r>
          </w:p>
        </w:tc>
        <w:tc>
          <w:tcPr>
            <w:tcW w:type="dxa" w:w="4420"/>
            <w:gridSpan w:val="4"/>
            <w:tcBorders>
              <w:start w:sz="10" w:val="single"/>
              <w:top w:sz="10" w:val="single"/>
              <w:end w:sz="10" w:val="single"/>
              <w:bottom w:sz="10" w:val="single"/>
              <w:insideV w:sz="10" w:val="single"/>
            </w:tcBorders>
            <w:vAlign w:val="center"/>
          </w:tcPr>
          <w:p>
            <w:pPr>
              <w:jc w:val="both"/>
            </w:pPr>
            <w:r>
              <w:rPr>
                <w:rFonts w:ascii="宋体" w:hAnsi="宋体" w:eastAsia="宋体"/>
                <w:sz w:val="16"/>
              </w:rPr>
              <w:t>1. 全市行政管理体制改革、机构改革和机构编制管理工作，保证业务工作正常开展。2.逐步提升机构编制管理水平，积极推动机构编制管理创新。3.信息网络安全 维护和软件正版化升级。4.进一步优化事业单位登记管理服务，树立良好窗口形象。5.深化事业单位改革，提高公益服务水平、推进各工作部门依法科学履职。 6.全市行政事业单位机构编制实名制数据库维护。</w:t>
            </w:r>
          </w:p>
        </w:tc>
      </w:tr>
      <w:tr>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机构编制理论研究综合调研数量</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&gt;=10次</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市编委会议纪要</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r>
        <w:tc>
          <w:tcPr>
            <w:tcW w:type="dxa" w:w="1105"/>
            <w:vMerge/>
            <w:tcBorders>
              <w:start w:sz="10" w:val="single"/>
              <w:top w:sz="10" w:val="single"/>
              <w:end w:sz="10" w:val="single"/>
              <w:bottom w:sz="10" w:val="single"/>
              <w:insideV w:sz="10" w:val="single"/>
            </w:tcBorders>
          </w:tcPr>
          <w:p/>
        </w:tc>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提出机构编制调整建议数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&gt;=120家</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工作计划</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120家</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r>
        <w:tc>
          <w:tcPr>
            <w:tcW w:type="dxa" w:w="1105"/>
            <w:vMerge/>
            <w:tcBorders>
              <w:start w:sz="10" w:val="single"/>
              <w:top w:sz="10" w:val="single"/>
              <w:end w:sz="10" w:val="single"/>
              <w:bottom w:sz="10" w:val="single"/>
              <w:insideV w:sz="10" w:val="single"/>
            </w:tcBorders>
          </w:tcPr>
          <w:p/>
        </w:tc>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推进重点领域体制改革个数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&gt;=6个</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工作计划</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6个</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机构编制管理工作经费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中共乌鲁木齐市委员会机构编制委员会办公室</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中共乌鲁木齐市委员会机构编制委员会办公室</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29.61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34.51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18.44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53.43%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5.34分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29.61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34.51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18.44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完成全市党政机构改革和事业单位改革，加强调查研究，优化事业单位登记管理服务，加强机构编制监督检查，做好全市行政事业单位机构编制实名制信息数据库维护，推动机构编制管理创新，提升机构编制管理水平。</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1. 全市行政管理体制改革、机构改革和机构编制管理工作，保证业务工作正常开展。2.逐步提升机构编制管理水平，积极推动机构编制管理创新。3.信息网络安全 维护和软件正版化升级。4.进一步优化事业单位登记管理服务，树立良好窗口形象。5.深化事业单位改革，提高公益服务水平、推进各工作部门依法科学履职。 6.全市行政事业单位机构编制实名制数据库维护。</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事业单位年度报告数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&gt;=260家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=260家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机构编制理论研究综合调研数量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提出机构编制调整建议数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&gt;=120家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=120家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事业法人设立变更注销登记件次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&gt;=150件次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=150件次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用编审核件数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&gt;=1000件次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=1000件次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办理纳出编业务人次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&gt;=2500人次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=2506人次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事业单位登记信用信息公示率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人员信息数据库维护及时率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提高机构编制管理水平推进创新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tab/>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办理单位满意度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95.34分</w:t>
            </w:r>
          </w:p>
        </w:tc>
        <w:tc>
          <w:tcPr>
            <w:tcW w:type="dxa" w:w="983"/>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本部门无其他需说明的事项。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