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2024年中央财政医疗服务与保障能力提升补助资金（第一批）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乌鲁木齐市医疗保障局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乌鲁木齐市医疗保障局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李萑 潘蕾</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根据自治区医疗保障局《自治区医药价格监测系统建设工作方案》（新医保办函〔2021〕1号）、自治区人民政府办公厅《关于推进医疗保障基金监管制度体系改革的实施意见》（新政办发〔2021〕1号）以及国家医疗保障局《“十四五”全民医疗保障规划》、《关于进一步深化推进医保信息化标准化工作的通知》（医保发〔2022〕8号）等文件精神，该项目主要会涉及有基金监管、药品和医用耗材集中带量采购（医药价格监测）、医保信息化标准化建设和医保支付方式改革等方面。</w:t>
        <w:br/>
        <w:t>项目2024年的主要实施内容：①积极引入具备医学、信息技术、财会等相关专业的第三方监管力量能够对基金稽核监管人力形成有效补充，提升基金监管的专业性、精准性、效益性，增强监管能力，优化医保基金监管方式，加强信息智能监控和社会监督，进一步织密医保基金监管网，维护医保基金的安全平稳运行;②做好国家、省际联盟组织药品和医用耗材集中带量采购落地执行日常监测分析等具体事务性工作。</w:t>
        <w:br/>
        <w:t>实际完成情况为：①根据《医疗保障基金使用监督管理条例》、《自治区人民政府办公厅关于推进医疗保障基金监管制度体系改革的实施意见》（新政办发〔2021〕1号）精神和国家医疗保障局医疗保障基金监管工作要求，提高基金使用的安全性，避免基金不合理支出，做好市本级医疗保险日常稽核、行政执法、举报线索核查等工作，缓解当前我市医保监管力量不足以及专业性不强等矛盾，加大监督服务范围，加强专业人员队伍，真正做到预防为主，控制不合理基金支出;②根据《自治区医药价格监测系统建设工作方案》（新医保办函〔2021〕1号）、《关于印发&lt;新疆维吾尔自治区 新疆生产建设兵团新增医疗服务价格项目管理办法&gt;的通知》（新医保规〔2024〕2号）文件精神，进一步加强医药价格监测管理，有效发挥信息技术手段和专业技术人员在医药和医疗服务管理方面的作用，全面提高医药价格管理水平，合规高效使用医保基金，切实维护广大参保群众的根本利益。协助做好国家、省际联盟组织药品和医用耗材集中带量采购落地执行日常监测分析等具体事务性工作；负责收集医药价格和招标采购失信记录和信用情况，协助做好供应异常企业的约谈、函告等准备工作；协助开展医药价格和招标采购工作的调研和督查检查工作；负责对我市医药价格指数的重点波动数据进行分析，对药品、医用耗材等医疗服务价格项目的价格管理提供专业化分析意见。</w:t>
        <w:br/>
        <w:t>2.资金投入和使用情况</w:t>
        <w:br/>
        <w:t>该项目资金投入情况：经《关于提前下达2024年中央财政医疗服务与保障能力提升补助资金（医疗保障服务能力建设部分）（直达资金）预算的通知》（乌财社〔2023〕270号）文件批准，项目系2024年中央资金，共安排预算165万元，于2024年年初部分预算批复项目，资金到位情况164.2万元，未使用的0.8万元年底财政予以收回。</w:t>
        <w:br/>
        <w:t>该项目资金使用情况：《关于提前下达2024年中央财政医疗服务与保障能力提升补助资金（医疗保障服务能力建设部分）（直达资金）预算的通知》（乌财社〔2023〕270号）下达乌鲁木齐地区补助资金165万元，实际资金到位数164.2万元；主要用于基金监管方面实际执行120万元，医药价格监测方面实际执行44.2万元，共164.2万元，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该项目为经常性项目。</w:t>
        <w:br/>
        <w:t>该项目总体绩效目标：①购买第三方监管服务提高基金监管能力，加强监管效能，确保人民群众利益及医疗保险基金安全；②医药服务价格监测体系进一步完善，加强医药价格监测管理，加强对医药价格监测点的医疗服务价格和药品、医用耗材价格的监测。</w:t>
        <w:br/>
        <w:t>该项目阶段性目标为：计划完成①购买第三方服务用于基金监管，对定点医疗机构及定点零售药店进行现场检查；②做好国家、省际联盟组织药品和医用耗材集中带量采购落地执行日常监测分析，以及组织医药价格监测点开展专项培训等具体事务性工作。</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为了提升医疗保障能力，《关于提前下达2024年中央财政医疗服务与保障能力提升补助资金（医疗保障服务能力建设部分）（直达资金）预算的通知》（乌财社〔2023〕270号）下达乌鲁木齐地区补助资金165万元，其中：基金监管120万元，医药价格监测45万元。此项目为政府采购业务，采购项目委托第三方进行系统的建设，购买第三方服务对定点医疗机构及定点零售药店进行现场检查；对国家、省际联盟组织药品和医用耗材集中带量采购落地执行日常监测分析，以及组织医药价格监测点开展专项培训，用以不断提升医疗服务水平。该项目按照指向明确、细化量化、合理可行和相应匹配的要求，设定三级绩效目标（数量指标、质量指标、时效指标），以准确、清晰地反映财政资金在使用期所能达到的预期产出和效果。</w:t>
        <w:br/>
        <w:t>其次，资金下达后，我单位按照资金拨付使用方向通知各职能科室按预算执行。以2024年5月底和8月底为节点给财政上报该项目支出的绩效监控情况，定期召开党组会将预算执行结果定期通报，督促各相关科室加快预算执行速度。同时，相关业务科室会对第三方工作进行定期监督指导，确保业务执行的合规性。</w:t>
        <w:br/>
        <w:t>最后，各相关科室采购项目按采购目录、金额上党组会审议通过后上报，依据政策严格确定采购方式后上报市财政局采购办，由乌鲁木齐市政府采购中心完成公开招标。中标公司按照我单位相关工作要求，及时开展工作，现场检查和日常监测等均留有底稿数据。综上，该项目中各归口科室做好各项目的执行，按照项目绩效目标要求推进项目执行进度，以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2024年医疗服务与保障能力提升资金项目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绩效评价的对象：2024年医疗服务与保障能力提升资金项目。</w:t>
        <w:br/>
        <w:t>4.绩效评价范围</w:t>
        <w:br/>
        <w:t>1.时间范围：2024年1月1日至2024年12月31日。</w:t>
        <w:br/>
        <w:t>2.项目范围：2024年医疗服务与保障能力提升资金项目做好市本级医疗保险日常稽核、行政执法、举报线索核查等工作，缓解当前我市医保监管力量不足以及专业性不强等矛盾，加大监督服务范围，加强专业人员队伍，真正做到预防为主，控制不合理基金支出;进一步加强医药价格监测管理，有效发挥信息技术手段和专业技术人员在医药和医疗服务管理方面的作用，全面提高医药价格管理水平，合规高效使用医保基金，切实维护广大参保群众的根本利益。协助做好国家、省际联盟组织药品和医用耗材集中带量采购落地执行日常监测分析等具体事务性工作；负责收集医药价格和招标采购失信记录和信用情况，协助做好供应异常企业的约谈、函告等准备工作；协助开展医药价格和招标采购工作的调研和督查检查工作；负责对我市医药价格指数的重点波动数据进行分析，对药品、医用耗材等医疗服务价格项目的价格管理提供专业化分析意见。</w:t>
        <w:br/>
        <w:t>以业务科室及财务科室组成评价小组，基于科学公正、统筹兼顾、激励约束、公开透明的评价原则，采用比较法和公众评判法，对该项目进行全方位的评价。</w:t>
        <w:br/>
        <w:t>项目评价期间内，2人长期驻场进行医药价格监测活动，组织开展医药价格监测点专项培训1次，开展日常医药价格监测分析11次，定点医药机构及定点零售药店全覆盖检查等。项目的开展为稳步推进医疗保障服务民生、服务稳定、服务发展，在构建多层次医保制度体系上持续用力，着力提升群众医疗保障水平，确保改革成果更多更好的惠及各族群众，营造良好的社会氛围。</w:t>
        <w:br/>
        <w:t>在项目推进经验方面，项目实施前要有预算，项目实施过程中有相关的管理制度和规范文件及过程监控，资金的支出有相关的资金管理要求，项目实施后，按照要求开展项目支出的绩效评价，项目达到了管理要求，达到预算申报的“提升信息化监管水平”的绩效目标，相应的数量指标、质量指标、时效指标均达到预期，成本指标未超过指标值。经费支出坚持“先审批、后开支、谁开支、谁负责、谁分管、谁把关”的原则保障预算资金及时到位。支出依据合规，无虚列项目支出、截留挤占挪用、超标准开支和超预算开支等违规情况。将项目执行情况定期反馈各科室，督促按照工作实际情况及时支付款项，避免集中年底支付。专项支出绩效工作基本完成，达到预期的效果，为稳步推进医疗保障服务民生、服务稳定、服务发展，在构建多层次医保制度体系上持续用力，着力提升群众医疗保障水平，确保改革成果更多更好的惠及各族群众，营造良好的社会氛围。</w:t>
        <w:br/>
        <w:t>开展此项工作较晚，准备工作不充分。今后做到“早谋划、早启动”积极与相关部门对接，提前完成此项工作。内部沟通协作欠缺，加强内部部门间的合作和有效沟通，协同推进工作，加快完成绩效目标。定期对绩效目标进行回顾和制定相关计划，确保绩效目标与实际工作情况需求相匹配。</w:t>
        <w:br/>
        <w:t>该项目自评等级为优秀，整体开展情况较好。</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医药价格监测项目驻场人数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组织医药价格监测点开展专项培训		</w:t>
        <w:br/>
        <w:t>		开展日常医药价格监测数据分析		</w:t>
        <w:br/>
        <w:t></w:t>
        <w:br/>
        <w:t></w:t>
        <w:br/>
        <w:t></w:t>
        <w:br/>
        <w:t>产出	产出质量	定点医疗机构现场检查覆盖率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定点零售药店现场检查覆盖率		</w:t>
        <w:br/>
        <w:t>	产出时效	完成各类监督检查任务时间（基金监管）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项目预算控制率	完成项目计划工作目标的实际节约成本与计划成本的比率，用以反映和考核项目的成本节约程度。	实际成本：项目实施单位如期、保质、保量完成既定工作目标实际所耗费的支出。</w:t>
        <w:br/>
        <w:t>计划成本：项目实施单位为完成工作目标计划安排的支出，一般以项目预算为参考。</w:t>
        <w:br/>
        <w:t>效益	社会效益指标	提升信息化监管水平	项目实施所产生的效益。	项目实施所产生的社会效益、经济效益、生态效益、可持续影响等。可根据项目实际情况有选择地设置和细化。</w:t>
        <w:br/>
        <w:t>满意度指标完成情况分析	满意度指标	工作质量满意度	社会公众或服务对象对项目实施效果的满意程度。	社会公众或服务对象是指因该项目实施而受到影响的部门（单位）、群体或个人。一般采取社会调查的方式。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2024年医疗服务与保障能力提升资金）的特点，本次评价主要采用比较法和公众评判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《财政部办公厅、国家医保局办公室关于切实做好医疗服务与保障能力提升补助资金（医疗保障服务能力建设部分）预算执行管理工作的通知》（财办社〔2022〕47号）</w:t>
        <w:br/>
        <w:t>《自治区医药价格监测系统建设工作方案》（新医保办函〔2021〕1号）</w:t>
        <w:br/>
        <w:t>《自治区人民政府办公厅关于推进医疗保障基金监管制度体系改革的实施意见》（新政办发〔2021〕1号）</w:t>
        <w:br/>
        <w:t>《“十四五”全民医疗保障规划》《国家医疗保障局关于进一步深化推进医保信息化标准化工作的通知》（医保发〔2022〕8号）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医疗服务与保障能力提升资金进行客观评价，最终评分结果为：总分为99.98分，绩效评级为“优”[本次绩效评价结果实施百分制和四级分类，其中90（含）-100分为优、80（含）-90分为良、70（含）-80分为中、70分以下为差。]。</w:t>
        <w:br/>
        <w:t>项目各部分权重和绩效分值如附表所示：</w:t>
        <w:br/>
        <w:t>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4.98	99.52%</w:t>
        <w:br/>
        <w:t>		预算执行率	5	5	100%</w:t>
        <w:br/>
        <w:t>		资金使用合规性	3	3	100%</w:t>
        <w:br/>
        <w:t>	组织实施	管理制度健全性	3	3	100%</w:t>
        <w:br/>
        <w:t>		制度执行有效性	4	4	100%</w:t>
        <w:br/>
        <w:t>产出	产出数量	医药价格监测项目驻场人数	10	10	100%</w:t>
        <w:br/>
        <w:t>		组织医药价格监测点开展专项培训	5	5	100%</w:t>
        <w:br/>
        <w:t>		开展日常医药价格监测数据分析	10	10	100%</w:t>
        <w:br/>
        <w:t>	产出质量	定点医疗机构现场检查覆盖率	5	5	100%</w:t>
        <w:br/>
        <w:t>		定点零售药店现场检查覆盖率	5	5	100%</w:t>
        <w:br/>
        <w:t>	产出时效	完成各类监督检查任务时间（基金监管）	5	5	100%</w:t>
        <w:br/>
        <w:t>	产出成本	项目预算控制率	10	10	100%</w:t>
        <w:br/>
        <w:t>效益	项目效益	提升信息化监管水平	5	5	100%</w:t>
        <w:br/>
        <w:t>满意度	满意度指标	工作质量满意度	5	5	100%</w:t>
        <w:br/>
        <w:t>（二）主要绩效</w:t>
        <w:br/>
        <w:t>该项目资金区财政及时拨付，单位在此次评价期间内，有序完成设定目标的部分工作任务，开展日常医药价格监测数据分析11次，根据自治区医疗保障局印发的《关于开展常用药品价格监测工作的通知》，乌鲁木齐市医疗保障局建立零售药店常用药品价格常态化监测机制，定期将部分医保定点药店常用药品零售价格情况进行公示，进一步加强医药价格监测管理，有效发挥信息技术手段和专业技术人员在医药和医疗服务管理方面的作用，全面提高医药价格管理水平，合规高效使用医保基金，切实维护广大参保群众的根本利益。</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项目决算指标由3个二级指标和6个三级指标构成，权重为20分，实际得分20分。</w:t>
        <w:br/>
        <w:t>1.项目立项</w:t>
        <w:br/>
        <w:t>立项依据充分性：该项目立项依据充分。①根据《医疗保障基金使用监督管理条例》、《自治区人民政府办公厅关于推进医疗保障基金监管制度体系改革的实施意见》（新政办发〔2021〕1号）精神和国家医疗保障局医疗保障基金监管工作要求，提高基金使用的安全性，避免基金不合理支出，做好市本级医疗保险日常稽核、行政执法、举报线索核查等工作，缓解当前我市医保监管力量不足以及专业性不强等矛盾，加大监督服务范围，加强专业人员队伍，真正做到预防为主，控制不合理基金支出;②根据《自治区医药价格监测系统建设工作方案》（新医保办函〔2021〕1号）、《关于印发&lt;新疆维吾尔自治区 新疆生产建设兵团新增医疗服务价格项目管理办法&gt;的通知》（新医保规〔2024〕2号）文件精神，进一步加强医药价格监测管理，有效发挥信息技术手段和专业技术人员在医药和医疗服务管理方面的作用，全面提高医药价格管理水平，合规高效使用医保基金，切实维护广大参保群众的根本利益。项目与我单位职责范围相符，属于部门履职所需，因此，立项依据充分，得4分。</w:t>
        <w:br/>
        <w:t>立项程序规范性:医保基金的监管和医药价格监测管理等事项符合我单位年度工作重点任务规划，基金监管业务和医药价格监测管理根据年初工作计划，通过乌鲁木齐市政府采购中心完成公开招标，选定中国人民健康保险股份有限工资新疆分公司及南京易联阳光信息技术股份有限公司为中标单位。在第三方服务进场前，按规定的程序履行合同签订流程，业务实际开展过程中，相关执业规范都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开展日常医药价格监测数据分析11次”、“2人长期驻场进行医药价格监测活动”、“组织开展医药价格监测点专项培训1次”、“定点医药机构及定点零售药店全覆盖检查”等已细化为具体的绩效指标。通过数量指标、质量指标、时效指标和成本指标予以量化，并具有确切的评价标准，且指标设定均与目标相关。各项指标均能在现实条件下收集到相关数据进行佐证，与当年项目年度计划相对应，故绩效目标明确性指标得分3分。</w:t>
        <w:br/>
        <w:t>综上，该指标满分6分，得分6分。</w:t>
        <w:br/>
        <w:t>3.资金投入</w:t>
        <w:br/>
        <w:t>预算编制科学性：《关于提前下达2024年中央财政医疗服务与保障能力提升补助资金（医疗保障服务能力建设部分）（直达资金）预算的通知》（乌财社〔2023〕270号）下达乌鲁木齐地区补助资金165万元，开展日常、骨科、口腔等专项检查，检查定点医药机构2535家，按照检查体量通过对相关的单位进行询价后确定预算金额。故预算编制科学性指标得分3分。</w:t>
        <w:br/>
        <w:t>资金分配合理性：按照招标采购流程基金监管项目120万元，价格监测项目中标金额44.2元,根据项目中标的金额及项目执行情况，按合同约定时间节点支付资金。故资金分配合理性指标得分3分。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项目过程指标由2个二级指标和5个三级指标构成，权重为20分，实际得分19.98分。</w:t>
        <w:br/>
        <w:t>1.资金管理</w:t>
        <w:br/>
        <w:t>资金到位率：该项目资金为直接支付由财政拨付额度，预算资金为165万元，2024年实际到位资金164.2万元，资金到位率为99.52%，故资金到位率指标得分4.98分。</w:t>
        <w:br/>
        <w:t>预算执行率：该资金按照项目中标金额及合同约定时间节点支付，该项目资金由财政拨付，2024年实际到位资金164.2万元，2024年实际于2024年11月支付基金监管项目中标方中国人民健康保险股份有限工资新疆分公司120万元，2024年11月支付价格监测项目中标方南京易联阳光信息技术股份有限公司44.2万元。</w:t>
        <w:br/>
        <w:t>共计支出资金164.2万元，资金预算执行率为100%。故预算执行率得分为5分。</w:t>
        <w:br/>
        <w:t>资金使用合规性：本项目资金的使用符合乌鲁木齐市医疗保障局财务管理制度和乌鲁木齐市医疗保障局内部控制制度以及有关专项资金管理办法的规定。同时，业务科室对符合项目预算批复的资金用途上会审批，完成项目的招标采购工作，按照合同的约定时间节点进行支付，不存在截留、挤占、挪用、虚列支出等情况。故资金使用合规性得分为3分。</w:t>
        <w:br/>
        <w:t>综上，该指标满分13分，得分12.98分。</w:t>
        <w:br/>
        <w:t>2.组织实施</w:t>
        <w:br/>
        <w:t>管理制度健全性：乌鲁木齐市医疗保障局已制定乌鲁木齐市医疗保障局财务管理制度和乌鲁木齐市医疗保障局内部控制制度，且制度合法、合规、完整，为项目顺利实施提供重要保障。故管理制度健全性得分为3分。</w:t>
        <w:br/>
        <w:t>制度执行有效性：根据现场调研和资料抽查情况，乌鲁木齐市医疗保障局严格遵守相关法律法规和相关管理规定，项目调整及支出调整手续完备，整体管理合理有序，项目完成后，及时将会计凭证、采购中标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项目产出指标由4个二级指标和7个三级指标构成，权重为50分，实际得分50分。</w:t>
        <w:br/>
        <w:t>1.产出数量</w:t>
        <w:br/>
        <w:t>数量指标“医药价格监测项目驻场人数”的目标值是2人，2024年度我单位实际完成2人，实际完成率：100%，故实际完成率得分为10分。</w:t>
        <w:br/>
        <w:t>数量指标“组织医药价格监测点开展专项培训”的目标值是1次，2024年度我单位实际完成1次，实际完成率：100%，故实际完成率得分为5分。</w:t>
        <w:br/>
        <w:t>数量指标“开展日常医药价格监测数据分析”的目标值是10次，2024年度我单位实际完成11次，实际完成率：110%，原因是实际发生数据分析11次，目标值10次，因此产生偏差，故实际完成率得分为5分。</w:t>
        <w:br/>
        <w:t>综上，数量指标得分为25分。</w:t>
        <w:br/>
        <w:t>2.产出质量</w:t>
        <w:br/>
        <w:t>“定点医疗机构现场检查覆盖率”的目标值为大于95%，根据定点医疗机构检查情况，实际完成值为100%。故质量达标率得分为5分。</w:t>
        <w:br/>
        <w:t>“定点零售药店现场检查覆盖率”的目标值为大于95%，根据定点零售药店检查情况，实际完成值为100%。故质量达标率得分为5分。</w:t>
        <w:br/>
        <w:t>3.产出时效</w:t>
        <w:br/>
        <w:t>“完成各类监督检查任务时间（基金监管）”的目标值为2025年11月30日前，根据合同约定时间2025年11月30日前完成检查。故完成及时性得分为5分。</w:t>
        <w:br/>
        <w:t>4.产出成本</w:t>
        <w:br/>
        <w:t>经济成本：项目预算控制率：本项目实际支出164.2万元，无超支情况，项目资金全部完成，得分为10分。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项目效益指标由1个二级指标和1个三级指标构成，权重为5分，实际得分5分。</w:t>
        <w:br/>
        <w:t>（1）实施效益</w:t>
        <w:br/>
        <w:t>经济效益指标：不适用。 </w:t>
        <w:br/>
        <w:t>社会效益指标：评价指标“提升信息化监管水平”，指标值：有效提升，实际完成值：达成年度指标。本项目的实施设计700余个数据分析模型，开展日常、骨科、口腔等专项检查，共检查定点医药机构2535家，处理1462家，追回基金1.45亿元，较去年同期增长344.59%。办理行政执法案件6起，处罚金额6.77万元。组织定点医药机构开展自查自纠工作，主动退回4166.087万元。推进打击欺诈骗保、纠正医药领域不正之风与腐败问题一体纠治，累计暂停医保定点协议机构108家，限期整改784家，解除协议111家，移交纪检监察部门28家，移交其他行政部门99家，向公安部门移交欺诈骗保案件3起，公安部门立案3起，18人被采取强制措施。聘任20名医疗保障社会监督员，进一步发挥社会监督作用，兑现举报奖励金1700元。组织200余家定点医药机构负责人参加欺诈骗保案件现场庭审活动，召集470余家定点医药机构的800余名人员召开“以案促改”警示教育大会，向社会公开曝光5起违法违规使用医保基金的典型案例。综上，数据分析模型有效帮助我单位对相关违规事项予以查处，追回相关违规使用资金。</w:t>
        <w:br/>
        <w:t>生态效益指标：不适用。</w:t>
        <w:br/>
        <w:t>综上，该指标满分5分，得分5分。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满意度指标：评价指标“工作质量满意度”，指标值：≥90%，实际完成值：100%。通过设置问卷调查的方式进行考评评价，共计调查样本总量为7个样本，有效调查问卷7份。其中，统计“工作质量满意度”的平均值为100%。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1.完善评价机制，构建全方位绩效管理体系</w:t>
        <w:br/>
        <w:t>系统化评价范围覆盖一般公共预算、社会保险基金预算、政府采购等专项领域，对转移支付绩效运行监控全覆盖，建立“重点+日常”分类监控模式。项目立项依据充分，资金分配合理，突出重点，公平公正，无散小差现象，资金分配和使用方向与资金管理办法相符。</w:t>
        <w:br/>
        <w:t>2.强化质量控制，确保评价科学精准</w:t>
        <w:br/>
        <w:t>规范评价流程，包括项目选择、报告审核等，并实行“四问四改”确保报告准确性。优化指标体系，围绕资源配置、部门履职效能等设计评价标准。项目实施前有预算，项目实施过程中有相关的管理制度和规范文件及过程监控，资金的支出有相关的资金管理要求，项目实施后，按照要求开展项目支出的绩效评价，项目达到了管理要求，相应的数量指标、质量指标、时效指标均达到预期，成本指标未超过指标值。</w:t>
        <w:br/>
        <w:t>3.深化结果应用，增强绩效约束力</w:t>
        <w:br/>
        <w:t>将2023年评价结果应用于2024年预算编制，压减专项经费。推动政策优化，根据评价结论调整科技创新政策，由“重数量”转向“重质量”，将评价结果与政策设立、预算安排直接衔接，强化零基预算理念。经费支出坚持“先审批、后开支、谁开支、谁负责、谁分管、谁把关”的原则保障预算资金及时到位。支出依据合规，无虚列项目支出、截留挤占挪用、超标准开支和超预算开支等违规情况。</w:t>
        <w:br/>
        <w:t>4.创新实践探索，提升评价效能</w:t>
        <w:br/>
        <w:t>将项目执行情况定期反馈各科室，督促按照工作实际情况及时支付款项，避免集中年底支付。专项支出绩效工作基本完成，达到预期的效果，为稳步推进医疗保障服务民生、服务稳定、服务发展，在构建多层次医保制度体系上持续用力，着力提升群众医疗保障水平，确保改革成果更多更好的惠及各族群众，营造良好的社会氛围。</w:t>
        <w:br/>
        <w:t>5.强化基础保障，夯实评价支撑</w:t>
        <w:br/>
        <w:t>参加绩效评价业务培训。采取“线上+线下”方式提升评价小组实务能力。绩效评价的核心在于通过科学机制、严格标准、刚性应用和创新手段，实现“花钱必问效、无效必问责”。进一步推动绩效评价与预算管理、政策制定的深度融合，强化数字化赋能，形成更高效的财政治理模式。</w:t>
        <w:br/>
        <w:t>（二）存在的问题及原因分析</w:t>
        <w:br/>
        <w:t>1.绩效评价意识与制度体系不健全</w:t>
        <w:br/>
        <w:t>管理意识薄弱：存在“重分配、轻绩效”倾向，预算绩效评价流于形式，评价结果与预算编制、政策调整脱钩。传统财政管理模式惯性较强，绩效理念未深入人心；将绩效评价视为额外负担，缺乏内生动力。</w:t>
        <w:br/>
        <w:t>制度覆盖不全面：评价范围多局限于项目支出，对部门整体绩效、政策综合效益评价不足。绩效评价制度设计滞后于财政改革实践，基层财政能力有限，难以全面铺开。</w:t>
        <w:br/>
        <w:t>2.评价过程科学性不足</w:t>
        <w:br/>
        <w:t>指标体系设计缺陷：指标与战略目标脱节，定性指标多、量化指标少；共性指标泛化，个性指标针对性不足。缺乏行业细分标准，指标库更新滞后；部分领域效益难以量化。</w:t>
        <w:br/>
        <w:t>数据质量与动态监控不足：数据采集依赖人工填报，存在滞后性。信息化平台建设不完善，部门间数据共享机制缺失；人力不足，难以开展高频监控。</w:t>
        <w:br/>
        <w:t>3.执行管理中的典型问题</w:t>
        <w:br/>
        <w:t>执行能力不足：基层队伍不稳定，培训体系不健全。</w:t>
        <w:br/>
        <w:t>4.结果应用机制不完善</w:t>
        <w:br/>
        <w:t>挂钩力度不足：评价结果与预算安排挂钩形式化。缺乏刚性约束制度，部门利益博弈导致整改阻力大。</w:t>
        <w:br/>
        <w:t>5.技术性短板</w:t>
        <w:br/>
        <w:t>绩效评价专业性强，但基层缺乏复合型人才，数字化工具应用不足，难以支撑全流程绩效分析。</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绩效监控是确保财政资金使用效益的关键环节，但目前仍存在动态跟踪不足、数据质量不高、结果应用不充分等问题。为提升绩效监控的精准性和有效性，建议从以下方面优化：</w:t>
        <w:br/>
        <w:t>1.完善绩效监控机制，强化全过程管理</w:t>
        <w:br/>
        <w:t>构建“事前—事中—事后”全流程监控体系，加强预算编制阶段的绩效目标审核，确保目标可量化、可考核；事中监控建立季度或半年度绩效运行分析机制，对偏离目标的项目及时预警；事后监控强化绩效评价与审计、巡视的联动，确保问题整改到位。</w:t>
        <w:br/>
        <w:t>2.加强结果应用，增强监控约束力</w:t>
        <w:br/>
        <w:t>与预算调整挂钩，对绩效监控发现的问题项目，动态调整预算；对执行良好的项目，可优化资金配置。纳入考核问责机制，将绩效监控结果作为领导干部考核和部门评优的重要依据。</w:t>
        <w:br/>
        <w:t>绩效目标贯穿项目实施的整个周期，指导着项目的发展方向。我单位在以后年度财政项目绩效目标申报工作中将结合项目实施内容及特点，设定项目总目标、年度绩效目标及绩效指标，形成项目有目标、工作有计划、绩效可量化、考核有依据的计划自标管理机制，便于有效考核执行效果。</w:t>
        <w:br/>
        <w:t>3.加强人才队伍建设</w:t>
        <w:br/>
        <w:t>开展绩效管理专项培训，设立绩效管理专职岗位，减少人员流动对工作的影响。</w:t>
        <w:br/>
        <w:t>财政绩效监控的关键在于动态化、精准化、刚性化，建议通全流程管理、数字化赋能、强化结果应用等措施，构建科学高效的绩效监控体系，真正实现“花钱必问效、无效必问责”的目标。</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支出政策和路径的设计应当科学合理，确保其与实际需求相符合，以便有效地指导和管理项目的财务支出。在制定项目支出政策时，应充分考虑项目的特定目标和预期成果，确保每一笔资金的使用都能够为项目提供支持，确保资源得到最优化配置。</w:t>
        <w:br/>
        <w:t>单位通过制定详细的项目实施方案，本项目在申报和审核过程中，确保了整个流程的严谨性和高效性，始终坚持以立项初衷为导向，确保项目实施不偏离目标。确保所有申报材料的完整性和准确性，将项目目标分解为具体的工作任务，每个阶段都有明确的审核标准和责任人，并落实到责任单位和责任人。</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