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96960E">
      <w:pPr>
        <w:spacing w:line="480" w:lineRule="auto"/>
        <w:ind w:firstLine="0" w:firstLineChars="0"/>
        <w:rPr>
          <w:rFonts w:ascii="Times New Roman" w:hAnsi="Times New Roman" w:eastAsia="黑体" w:cs="Times New Roman"/>
          <w:b/>
          <w:kern w:val="0"/>
          <w:sz w:val="50"/>
          <w:szCs w:val="50"/>
          <w:lang w:bidi="en-US"/>
        </w:rPr>
      </w:pPr>
    </w:p>
    <w:p w14:paraId="649BE44A">
      <w:pPr>
        <w:spacing w:line="480" w:lineRule="auto"/>
        <w:ind w:firstLine="0" w:firstLineChars="0"/>
        <w:rPr>
          <w:rFonts w:ascii="Times New Roman" w:hAnsi="Times New Roman" w:eastAsia="黑体" w:cs="Times New Roman"/>
          <w:b/>
          <w:kern w:val="0"/>
          <w:sz w:val="50"/>
          <w:szCs w:val="50"/>
          <w:lang w:bidi="en-US"/>
        </w:rPr>
      </w:pPr>
    </w:p>
    <w:p w14:paraId="3421E00B">
      <w:pPr>
        <w:spacing w:line="480" w:lineRule="auto"/>
        <w:ind w:firstLine="0" w:firstLineChars="0"/>
        <w:jc w:val="center"/>
        <w:rPr>
          <w:rFonts w:ascii="Times New Roman" w:hAnsi="Times New Roman" w:eastAsia="黑体" w:cs="Times New Roman"/>
          <w:b/>
          <w:kern w:val="0"/>
          <w:sz w:val="50"/>
          <w:szCs w:val="50"/>
          <w:lang w:bidi="en-US"/>
        </w:rPr>
      </w:pPr>
    </w:p>
    <w:p w14:paraId="13C20868">
      <w:pPr>
        <w:spacing w:before="120" w:after="120" w:line="480" w:lineRule="auto"/>
        <w:ind w:firstLine="0" w:firstLineChars="0"/>
        <w:jc w:val="center"/>
        <w:outlineLvl w:val="0"/>
        <w:rPr>
          <w:rFonts w:hint="eastAsia" w:ascii="方正小标宋_GBK" w:hAnsi="方正小标宋_GBK" w:eastAsia="方正小标宋_GBK" w:cs="方正小标宋_GBK"/>
          <w:b/>
          <w:sz w:val="44"/>
          <w:szCs w:val="44"/>
        </w:rPr>
      </w:pPr>
      <w:bookmarkStart w:id="0" w:name="_Toc4428"/>
      <w:bookmarkStart w:id="1" w:name="_Toc26948"/>
      <w:r>
        <w:rPr>
          <w:rFonts w:hint="eastAsia" w:ascii="方正小标宋_GBK" w:hAnsi="方正小标宋_GBK" w:eastAsia="方正小标宋_GBK" w:cs="方正小标宋_GBK"/>
          <w:b/>
          <w:sz w:val="44"/>
          <w:szCs w:val="44"/>
        </w:rPr>
        <w:t>财政项目支出绩效评价报告</w:t>
      </w:r>
      <w:bookmarkEnd w:id="0"/>
      <w:bookmarkEnd w:id="1"/>
    </w:p>
    <w:p w14:paraId="2610A49A">
      <w:pPr>
        <w:spacing w:line="480" w:lineRule="auto"/>
        <w:ind w:firstLine="0" w:firstLineChars="0"/>
        <w:jc w:val="center"/>
        <w:rPr>
          <w:rFonts w:ascii="Times New Roman" w:hAnsi="Times New Roman" w:eastAsia="黑体" w:cs="Times New Roman"/>
          <w:b/>
          <w:kern w:val="0"/>
          <w:sz w:val="50"/>
          <w:szCs w:val="50"/>
          <w:lang w:bidi="en-US"/>
        </w:rPr>
      </w:pPr>
    </w:p>
    <w:p w14:paraId="2E94AFD4">
      <w:pPr>
        <w:spacing w:line="480" w:lineRule="auto"/>
        <w:ind w:firstLine="0" w:firstLineChars="0"/>
        <w:jc w:val="center"/>
        <w:rPr>
          <w:rFonts w:ascii="Times New Roman" w:hAnsi="Times New Roman" w:eastAsia="黑体" w:cs="Times New Roman"/>
          <w:b/>
          <w:kern w:val="0"/>
          <w:sz w:val="50"/>
          <w:szCs w:val="50"/>
          <w:lang w:bidi="en-US"/>
        </w:rPr>
      </w:pPr>
    </w:p>
    <w:p w14:paraId="3A237F33">
      <w:pPr>
        <w:spacing w:line="480" w:lineRule="auto"/>
        <w:ind w:firstLine="0" w:firstLineChars="0"/>
        <w:jc w:val="center"/>
        <w:rPr>
          <w:rFonts w:ascii="Times New Roman" w:hAnsi="Times New Roman" w:eastAsia="黑体" w:cs="Times New Roman"/>
          <w:b/>
          <w:kern w:val="0"/>
          <w:sz w:val="50"/>
          <w:szCs w:val="50"/>
          <w:lang w:bidi="en-US"/>
        </w:rPr>
      </w:pPr>
    </w:p>
    <w:p w14:paraId="77A4551A">
      <w:pPr>
        <w:spacing w:line="480" w:lineRule="auto"/>
        <w:ind w:firstLine="0" w:firstLineChars="0"/>
        <w:jc w:val="center"/>
        <w:rPr>
          <w:rFonts w:ascii="Times New Roman" w:hAnsi="Times New Roman" w:eastAsia="黑体" w:cs="Times New Roman"/>
          <w:b/>
          <w:kern w:val="0"/>
          <w:sz w:val="50"/>
          <w:szCs w:val="50"/>
          <w:lang w:bidi="en-US"/>
        </w:rPr>
      </w:pPr>
    </w:p>
    <w:p w14:paraId="1765AA3A">
      <w:pPr>
        <w:spacing w:line="480" w:lineRule="auto"/>
        <w:ind w:firstLine="0" w:firstLineChars="0"/>
        <w:jc w:val="center"/>
        <w:rPr>
          <w:rFonts w:ascii="Times New Roman" w:hAnsi="Times New Roman" w:eastAsia="黑体" w:cs="Times New Roman"/>
          <w:b/>
          <w:kern w:val="0"/>
          <w:sz w:val="50"/>
          <w:szCs w:val="50"/>
          <w:lang w:bidi="en-US"/>
        </w:rPr>
      </w:pPr>
    </w:p>
    <w:p w14:paraId="02C22D8B">
      <w:pPr>
        <w:spacing w:line="480" w:lineRule="auto"/>
        <w:ind w:firstLine="0" w:firstLineChars="0"/>
        <w:jc w:val="center"/>
        <w:rPr>
          <w:rFonts w:ascii="仿宋_GB2312" w:hAnsi="Times New Roman" w:cs="Times New Roman"/>
          <w:kern w:val="0"/>
          <w:sz w:val="30"/>
          <w:szCs w:val="30"/>
          <w:lang w:bidi="en-US"/>
        </w:rPr>
      </w:pPr>
    </w:p>
    <w:p w14:paraId="072835E5">
      <w:pPr>
        <w:spacing w:line="480" w:lineRule="auto"/>
        <w:ind w:firstLine="1411" w:firstLineChars="4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项目名称：</w:t>
      </w:r>
      <w:r>
        <w:rPr>
          <w:rFonts w:hint="eastAsia" w:ascii="仿宋_GB2312" w:hAnsi="Times New Roman" w:cs="Times New Roman"/>
          <w:kern w:val="0"/>
          <w:sz w:val="32"/>
          <w:szCs w:val="32"/>
          <w:lang w:eastAsia="zh-CN" w:bidi="en-US"/>
        </w:rPr>
        <w:t>“</w:t>
      </w:r>
      <w:r>
        <w:rPr>
          <w:rFonts w:hint="eastAsia" w:ascii="仿宋_GB2312" w:hAnsi="Times New Roman" w:cs="Times New Roman"/>
          <w:kern w:val="0"/>
          <w:sz w:val="32"/>
          <w:szCs w:val="32"/>
          <w:lang w:val="en-US" w:eastAsia="zh-CN" w:bidi="en-US"/>
        </w:rPr>
        <w:t>侨胞之家”采购室内设施</w:t>
      </w:r>
      <w:r>
        <w:rPr>
          <w:rFonts w:ascii="仿宋_GB2312" w:hAnsi="Times New Roman" w:cs="Times New Roman"/>
          <w:kern w:val="0"/>
          <w:sz w:val="32"/>
          <w:szCs w:val="32"/>
          <w:lang w:bidi="en-US"/>
        </w:rPr>
        <w:t xml:space="preserve"> </w:t>
      </w:r>
    </w:p>
    <w:p w14:paraId="76FF9084">
      <w:pPr>
        <w:spacing w:line="480" w:lineRule="auto"/>
        <w:ind w:left="320" w:leftChars="100" w:firstLine="1091" w:firstLineChars="341"/>
        <w:jc w:val="left"/>
        <w:rPr>
          <w:rFonts w:hint="default" w:ascii="仿宋_GB2312" w:hAnsi="Times New Roman" w:eastAsia="仿宋_GB2312" w:cs="Times New Roman"/>
          <w:kern w:val="0"/>
          <w:sz w:val="32"/>
          <w:szCs w:val="32"/>
          <w:lang w:val="en-US" w:eastAsia="zh-CN" w:bidi="en-US"/>
        </w:rPr>
      </w:pPr>
      <w:r>
        <w:rPr>
          <w:rFonts w:hint="eastAsia" w:ascii="仿宋_GB2312" w:hAnsi="Times New Roman" w:cs="Times New Roman"/>
          <w:kern w:val="0"/>
          <w:sz w:val="32"/>
          <w:szCs w:val="32"/>
          <w:lang w:bidi="en-US"/>
        </w:rPr>
        <w:t>项目单位：</w:t>
      </w:r>
      <w:r>
        <w:rPr>
          <w:rFonts w:hint="eastAsia" w:ascii="仿宋_GB2312" w:hAnsi="Times New Roman" w:cs="Times New Roman"/>
          <w:kern w:val="0"/>
          <w:sz w:val="32"/>
          <w:szCs w:val="32"/>
          <w:lang w:val="en-US" w:eastAsia="zh-CN" w:bidi="en-US"/>
        </w:rPr>
        <w:t>乌鲁木齐市归国华侨联合会</w:t>
      </w:r>
    </w:p>
    <w:p w14:paraId="05AFAE5C">
      <w:pPr>
        <w:spacing w:line="480" w:lineRule="auto"/>
        <w:ind w:left="320" w:leftChars="100" w:firstLine="1091" w:firstLineChars="341"/>
        <w:jc w:val="left"/>
        <w:rPr>
          <w:rFonts w:hint="default" w:ascii="仿宋_GB2312" w:hAnsi="Times New Roman" w:eastAsia="仿宋_GB2312" w:cs="Times New Roman"/>
          <w:kern w:val="0"/>
          <w:sz w:val="32"/>
          <w:szCs w:val="32"/>
          <w:lang w:val="en-US" w:eastAsia="zh-CN" w:bidi="en-US"/>
        </w:rPr>
      </w:pPr>
      <w:r>
        <w:rPr>
          <w:rFonts w:hint="eastAsia" w:ascii="仿宋_GB2312" w:hAnsi="Times New Roman" w:cs="Times New Roman"/>
          <w:kern w:val="0"/>
          <w:sz w:val="32"/>
          <w:szCs w:val="32"/>
          <w:lang w:bidi="en-US"/>
        </w:rPr>
        <w:t>主管部门：</w:t>
      </w:r>
      <w:r>
        <w:rPr>
          <w:rFonts w:hint="eastAsia" w:ascii="仿宋_GB2312" w:hAnsi="Times New Roman" w:cs="Times New Roman"/>
          <w:kern w:val="0"/>
          <w:sz w:val="32"/>
          <w:szCs w:val="32"/>
          <w:lang w:val="en-US" w:eastAsia="zh-CN" w:bidi="en-US"/>
        </w:rPr>
        <w:t>乌鲁木齐市归国华侨联合会</w:t>
      </w:r>
    </w:p>
    <w:p w14:paraId="5DC89229">
      <w:pPr>
        <w:spacing w:line="480" w:lineRule="auto"/>
        <w:ind w:firstLine="1411" w:firstLineChars="441"/>
        <w:jc w:val="left"/>
        <w:rPr>
          <w:rFonts w:ascii="仿宋_GB2312" w:hAnsi="Times New Roman" w:cs="Times New Roman"/>
          <w:kern w:val="0"/>
          <w:sz w:val="32"/>
          <w:szCs w:val="32"/>
          <w:lang w:bidi="en-US"/>
        </w:rPr>
      </w:pPr>
    </w:p>
    <w:p w14:paraId="78788138">
      <w:pPr>
        <w:spacing w:line="480" w:lineRule="auto"/>
        <w:ind w:firstLine="0" w:firstLineChars="0"/>
        <w:rPr>
          <w:rFonts w:ascii="黑体" w:hAnsi="Times New Roman" w:eastAsia="黑体" w:cs="Times New Roman"/>
          <w:b/>
          <w:kern w:val="0"/>
          <w:sz w:val="32"/>
          <w:szCs w:val="32"/>
          <w:lang w:bidi="en-US"/>
        </w:rPr>
      </w:pPr>
    </w:p>
    <w:p w14:paraId="4AF31404">
      <w:pPr>
        <w:spacing w:line="480" w:lineRule="auto"/>
        <w:ind w:firstLine="0" w:firstLineChars="0"/>
        <w:rPr>
          <w:rFonts w:ascii="黑体" w:hAnsi="Times New Roman" w:eastAsia="黑体" w:cs="Times New Roman"/>
          <w:b/>
          <w:kern w:val="0"/>
          <w:sz w:val="32"/>
          <w:szCs w:val="32"/>
          <w:lang w:bidi="en-US"/>
        </w:rPr>
      </w:pPr>
    </w:p>
    <w:p w14:paraId="54494B86">
      <w:pPr>
        <w:spacing w:line="480" w:lineRule="auto"/>
        <w:ind w:firstLine="0" w:firstLineChars="0"/>
        <w:jc w:val="center"/>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2023年0</w:t>
      </w:r>
      <w:r>
        <w:rPr>
          <w:rFonts w:ascii="仿宋_GB2312" w:hAnsi="Times New Roman" w:cs="Times New Roman"/>
          <w:kern w:val="0"/>
          <w:sz w:val="32"/>
          <w:szCs w:val="32"/>
          <w:lang w:bidi="en-US"/>
        </w:rPr>
        <w:t>4</w:t>
      </w:r>
      <w:r>
        <w:rPr>
          <w:rFonts w:hint="eastAsia" w:ascii="仿宋_GB2312" w:hAnsi="Times New Roman" w:cs="Times New Roman"/>
          <w:kern w:val="0"/>
          <w:sz w:val="32"/>
          <w:szCs w:val="32"/>
          <w:lang w:bidi="en-US"/>
        </w:rPr>
        <w:t>月</w:t>
      </w:r>
    </w:p>
    <w:p w14:paraId="0072ED88">
      <w:pPr>
        <w:bidi w:val="0"/>
        <w:jc w:val="center"/>
        <w:rPr>
          <w:lang w:val="en-US" w:eastAsia="zh-CN"/>
        </w:rPr>
        <w:sectPr>
          <w:headerReference r:id="rId5"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sdt>
      <w:sdtPr>
        <w:rPr>
          <w:lang w:val="en-US" w:eastAsia="zh-CN"/>
        </w:rPr>
        <w:id w:val="147474909"/>
        <w15:color w:val="DBDBDB"/>
        <w:docPartObj>
          <w:docPartGallery w:val="Table of Contents"/>
          <w:docPartUnique/>
        </w:docPartObj>
      </w:sdtPr>
      <w:sdtEndPr>
        <w:rPr>
          <w:lang w:val="en-US" w:eastAsia="zh-CN"/>
        </w:rPr>
      </w:sdtEndPr>
      <w:sdtContent>
        <w:p w14:paraId="3D500D6C">
          <w:pPr>
            <w:bidi w:val="0"/>
            <w:jc w:val="center"/>
            <w:rPr>
              <w:rFonts w:hint="default"/>
              <w:lang w:val="en-US"/>
            </w:rPr>
          </w:pPr>
          <w:r>
            <w:rPr>
              <w:rFonts w:hint="eastAsia"/>
              <w:lang w:val="en-US" w:eastAsia="zh-CN"/>
            </w:rPr>
            <w:t>目录</w:t>
          </w:r>
        </w:p>
        <w:p w14:paraId="33D42BF3">
          <w:pPr>
            <w:pStyle w:val="12"/>
            <w:tabs>
              <w:tab w:val="right" w:leader="dot" w:pos="8306"/>
            </w:tabs>
          </w:pPr>
          <w:r>
            <w:fldChar w:fldCharType="begin"/>
          </w:r>
          <w:r>
            <w:instrText xml:space="preserve">TOC \o "1-3" \h \u </w:instrText>
          </w:r>
          <w:r>
            <w:fldChar w:fldCharType="separate"/>
          </w:r>
          <w:r>
            <w:fldChar w:fldCharType="begin"/>
          </w:r>
          <w:r>
            <w:instrText xml:space="preserve"> HYPERLINK \l _Toc24640 </w:instrText>
          </w:r>
          <w:r>
            <w:fldChar w:fldCharType="separate"/>
          </w:r>
          <w:r>
            <w:rPr>
              <w:rFonts w:hint="eastAsia" w:ascii="仿宋" w:hAnsi="仿宋" w:eastAsia="仿宋"/>
              <w:szCs w:val="36"/>
              <w:lang w:bidi="en-US"/>
            </w:rPr>
            <w:t>一、基本情况</w:t>
          </w:r>
          <w:r>
            <w:tab/>
          </w:r>
          <w:r>
            <w:fldChar w:fldCharType="begin"/>
          </w:r>
          <w:r>
            <w:instrText xml:space="preserve"> PAGEREF _Toc24640 \h </w:instrText>
          </w:r>
          <w:r>
            <w:fldChar w:fldCharType="separate"/>
          </w:r>
          <w:r>
            <w:t>1</w:t>
          </w:r>
          <w:r>
            <w:fldChar w:fldCharType="end"/>
          </w:r>
          <w:r>
            <w:fldChar w:fldCharType="end"/>
          </w:r>
        </w:p>
        <w:p w14:paraId="6568FF1A">
          <w:pPr>
            <w:pStyle w:val="14"/>
            <w:tabs>
              <w:tab w:val="right" w:leader="dot" w:pos="8306"/>
            </w:tabs>
          </w:pPr>
          <w:r>
            <w:fldChar w:fldCharType="begin"/>
          </w:r>
          <w:r>
            <w:instrText xml:space="preserve"> HYPERLINK \l _Toc2140 </w:instrText>
          </w:r>
          <w:r>
            <w:fldChar w:fldCharType="separate"/>
          </w:r>
          <w:r>
            <w:rPr>
              <w:rFonts w:hint="eastAsia" w:ascii="仿宋" w:hAnsi="仿宋" w:eastAsia="仿宋"/>
              <w:lang w:bidi="en-US"/>
            </w:rPr>
            <w:t>（一）项目概况：</w:t>
          </w:r>
          <w:r>
            <w:tab/>
          </w:r>
          <w:r>
            <w:fldChar w:fldCharType="begin"/>
          </w:r>
          <w:r>
            <w:instrText xml:space="preserve"> PAGEREF _Toc2140 \h </w:instrText>
          </w:r>
          <w:r>
            <w:fldChar w:fldCharType="separate"/>
          </w:r>
          <w:r>
            <w:t>1</w:t>
          </w:r>
          <w:r>
            <w:fldChar w:fldCharType="end"/>
          </w:r>
          <w:r>
            <w:fldChar w:fldCharType="end"/>
          </w:r>
        </w:p>
        <w:p w14:paraId="78AECCDB">
          <w:pPr>
            <w:pStyle w:val="7"/>
            <w:tabs>
              <w:tab w:val="right" w:leader="dot" w:pos="8306"/>
            </w:tabs>
          </w:pPr>
          <w:r>
            <w:fldChar w:fldCharType="begin"/>
          </w:r>
          <w:r>
            <w:instrText xml:space="preserve"> HYPERLINK \l _Toc8532 </w:instrText>
          </w:r>
          <w:r>
            <w:fldChar w:fldCharType="separate"/>
          </w:r>
          <w:r>
            <w:rPr>
              <w:rFonts w:hint="eastAsia"/>
            </w:rPr>
            <w:t>1．项目背景、主要内容及实施情况</w:t>
          </w:r>
          <w:r>
            <w:tab/>
          </w:r>
          <w:r>
            <w:fldChar w:fldCharType="begin"/>
          </w:r>
          <w:r>
            <w:instrText xml:space="preserve"> PAGEREF _Toc8532 \h </w:instrText>
          </w:r>
          <w:r>
            <w:fldChar w:fldCharType="separate"/>
          </w:r>
          <w:r>
            <w:t>1</w:t>
          </w:r>
          <w:r>
            <w:fldChar w:fldCharType="end"/>
          </w:r>
          <w:r>
            <w:fldChar w:fldCharType="end"/>
          </w:r>
        </w:p>
        <w:p w14:paraId="550E94A4">
          <w:pPr>
            <w:pStyle w:val="7"/>
            <w:tabs>
              <w:tab w:val="right" w:leader="dot" w:pos="8306"/>
            </w:tabs>
          </w:pPr>
          <w:r>
            <w:fldChar w:fldCharType="begin"/>
          </w:r>
          <w:r>
            <w:instrText xml:space="preserve"> HYPERLINK \l _Toc29172 </w:instrText>
          </w:r>
          <w:r>
            <w:fldChar w:fldCharType="separate"/>
          </w:r>
          <w:r>
            <w:rPr>
              <w:rFonts w:hint="eastAsia"/>
            </w:rPr>
            <w:t>2</w:t>
          </w:r>
          <w:r>
            <w:t>.资金投入和使用情况</w:t>
          </w:r>
          <w:r>
            <w:tab/>
          </w:r>
          <w:r>
            <w:fldChar w:fldCharType="begin"/>
          </w:r>
          <w:r>
            <w:instrText xml:space="preserve"> PAGEREF _Toc29172 \h </w:instrText>
          </w:r>
          <w:r>
            <w:fldChar w:fldCharType="separate"/>
          </w:r>
          <w:r>
            <w:t>2</w:t>
          </w:r>
          <w:r>
            <w:fldChar w:fldCharType="end"/>
          </w:r>
          <w:r>
            <w:fldChar w:fldCharType="end"/>
          </w:r>
        </w:p>
        <w:p w14:paraId="0C717A5C">
          <w:pPr>
            <w:pStyle w:val="14"/>
            <w:tabs>
              <w:tab w:val="right" w:leader="dot" w:pos="8306"/>
            </w:tabs>
          </w:pPr>
          <w:r>
            <w:fldChar w:fldCharType="begin"/>
          </w:r>
          <w:r>
            <w:instrText xml:space="preserve"> HYPERLINK \l _Toc32553 </w:instrText>
          </w:r>
          <w:r>
            <w:fldChar w:fldCharType="separate"/>
          </w:r>
          <w:r>
            <w:rPr>
              <w:rFonts w:hint="eastAsia" w:ascii="仿宋" w:hAnsi="仿宋" w:eastAsia="仿宋"/>
              <w:lang w:bidi="en-US"/>
            </w:rPr>
            <w:t>（二）项目绩效目标：</w:t>
          </w:r>
          <w:r>
            <w:tab/>
          </w:r>
          <w:r>
            <w:fldChar w:fldCharType="begin"/>
          </w:r>
          <w:r>
            <w:instrText xml:space="preserve"> PAGEREF _Toc32553 \h </w:instrText>
          </w:r>
          <w:r>
            <w:fldChar w:fldCharType="separate"/>
          </w:r>
          <w:r>
            <w:t>2</w:t>
          </w:r>
          <w:r>
            <w:fldChar w:fldCharType="end"/>
          </w:r>
          <w:r>
            <w:fldChar w:fldCharType="end"/>
          </w:r>
        </w:p>
        <w:p w14:paraId="30D6A735">
          <w:pPr>
            <w:pStyle w:val="12"/>
            <w:tabs>
              <w:tab w:val="right" w:leader="dot" w:pos="8306"/>
            </w:tabs>
          </w:pPr>
          <w:r>
            <w:fldChar w:fldCharType="begin"/>
          </w:r>
          <w:r>
            <w:instrText xml:space="preserve"> HYPERLINK \l _Toc9529 </w:instrText>
          </w:r>
          <w:r>
            <w:fldChar w:fldCharType="separate"/>
          </w:r>
          <w:r>
            <w:rPr>
              <w:rFonts w:hint="eastAsia" w:ascii="仿宋" w:hAnsi="仿宋" w:eastAsia="仿宋"/>
              <w:szCs w:val="36"/>
              <w:lang w:bidi="en-US"/>
            </w:rPr>
            <w:t>二、绩效评价工作开展情况</w:t>
          </w:r>
          <w:r>
            <w:tab/>
          </w:r>
          <w:r>
            <w:fldChar w:fldCharType="begin"/>
          </w:r>
          <w:r>
            <w:instrText xml:space="preserve"> PAGEREF _Toc9529 \h </w:instrText>
          </w:r>
          <w:r>
            <w:fldChar w:fldCharType="separate"/>
          </w:r>
          <w:r>
            <w:t>3</w:t>
          </w:r>
          <w:r>
            <w:fldChar w:fldCharType="end"/>
          </w:r>
          <w:r>
            <w:fldChar w:fldCharType="end"/>
          </w:r>
        </w:p>
        <w:p w14:paraId="0C153FDE">
          <w:pPr>
            <w:pStyle w:val="14"/>
            <w:tabs>
              <w:tab w:val="right" w:leader="dot" w:pos="8306"/>
            </w:tabs>
          </w:pPr>
          <w:r>
            <w:fldChar w:fldCharType="begin"/>
          </w:r>
          <w:r>
            <w:instrText xml:space="preserve"> HYPERLINK \l _Toc10542 </w:instrText>
          </w:r>
          <w:r>
            <w:fldChar w:fldCharType="separate"/>
          </w:r>
          <w:r>
            <w:rPr>
              <w:rFonts w:hint="eastAsia" w:ascii="仿宋" w:hAnsi="仿宋" w:eastAsia="仿宋"/>
              <w:lang w:bidi="en-US"/>
            </w:rPr>
            <w:t>（一）绩效评价目的、对象和范围</w:t>
          </w:r>
          <w:r>
            <w:tab/>
          </w:r>
          <w:r>
            <w:fldChar w:fldCharType="begin"/>
          </w:r>
          <w:r>
            <w:instrText xml:space="preserve"> PAGEREF _Toc10542 \h </w:instrText>
          </w:r>
          <w:r>
            <w:fldChar w:fldCharType="separate"/>
          </w:r>
          <w:r>
            <w:t>3</w:t>
          </w:r>
          <w:r>
            <w:fldChar w:fldCharType="end"/>
          </w:r>
          <w:r>
            <w:fldChar w:fldCharType="end"/>
          </w:r>
        </w:p>
        <w:p w14:paraId="11170F3A">
          <w:pPr>
            <w:pStyle w:val="7"/>
            <w:tabs>
              <w:tab w:val="right" w:leader="dot" w:pos="8306"/>
            </w:tabs>
          </w:pPr>
          <w:r>
            <w:fldChar w:fldCharType="begin"/>
          </w:r>
          <w:r>
            <w:instrText xml:space="preserve"> HYPERLINK \l _Toc23885 </w:instrText>
          </w:r>
          <w:r>
            <w:fldChar w:fldCharType="separate"/>
          </w:r>
          <w:r>
            <w:rPr>
              <w:rFonts w:hint="eastAsia"/>
            </w:rPr>
            <w:t>1</w:t>
          </w:r>
          <w:r>
            <w:t>.绩效评价完整性</w:t>
          </w:r>
          <w:r>
            <w:tab/>
          </w:r>
          <w:r>
            <w:fldChar w:fldCharType="begin"/>
          </w:r>
          <w:r>
            <w:instrText xml:space="preserve"> PAGEREF _Toc23885 \h </w:instrText>
          </w:r>
          <w:r>
            <w:fldChar w:fldCharType="separate"/>
          </w:r>
          <w:r>
            <w:t>3</w:t>
          </w:r>
          <w:r>
            <w:fldChar w:fldCharType="end"/>
          </w:r>
          <w:r>
            <w:fldChar w:fldCharType="end"/>
          </w:r>
        </w:p>
        <w:p w14:paraId="68317B0A">
          <w:pPr>
            <w:pStyle w:val="7"/>
            <w:tabs>
              <w:tab w:val="right" w:leader="dot" w:pos="8306"/>
            </w:tabs>
          </w:pPr>
          <w:r>
            <w:fldChar w:fldCharType="begin"/>
          </w:r>
          <w:r>
            <w:instrText xml:space="preserve"> HYPERLINK \l _Toc22950 </w:instrText>
          </w:r>
          <w:r>
            <w:fldChar w:fldCharType="separate"/>
          </w:r>
          <w:r>
            <w:t>2</w:t>
          </w:r>
          <w:r>
            <w:rPr>
              <w:rFonts w:hint="eastAsia"/>
            </w:rPr>
            <w:t>.评价目的</w:t>
          </w:r>
          <w:r>
            <w:tab/>
          </w:r>
          <w:r>
            <w:fldChar w:fldCharType="begin"/>
          </w:r>
          <w:r>
            <w:instrText xml:space="preserve"> PAGEREF _Toc22950 \h </w:instrText>
          </w:r>
          <w:r>
            <w:fldChar w:fldCharType="separate"/>
          </w:r>
          <w:r>
            <w:t>4</w:t>
          </w:r>
          <w:r>
            <w:fldChar w:fldCharType="end"/>
          </w:r>
          <w:r>
            <w:fldChar w:fldCharType="end"/>
          </w:r>
        </w:p>
        <w:p w14:paraId="08FB3AC7">
          <w:pPr>
            <w:pStyle w:val="7"/>
            <w:tabs>
              <w:tab w:val="right" w:leader="dot" w:pos="8306"/>
            </w:tabs>
          </w:pPr>
          <w:r>
            <w:fldChar w:fldCharType="begin"/>
          </w:r>
          <w:r>
            <w:instrText xml:space="preserve"> HYPERLINK \l _Toc20590 </w:instrText>
          </w:r>
          <w:r>
            <w:fldChar w:fldCharType="separate"/>
          </w:r>
          <w:r>
            <w:t>3</w:t>
          </w:r>
          <w:r>
            <w:rPr>
              <w:rFonts w:hint="eastAsia"/>
            </w:rPr>
            <w:t>.评价对象</w:t>
          </w:r>
          <w:r>
            <w:tab/>
          </w:r>
          <w:r>
            <w:fldChar w:fldCharType="begin"/>
          </w:r>
          <w:r>
            <w:instrText xml:space="preserve"> PAGEREF _Toc20590 \h </w:instrText>
          </w:r>
          <w:r>
            <w:fldChar w:fldCharType="separate"/>
          </w:r>
          <w:r>
            <w:t>4</w:t>
          </w:r>
          <w:r>
            <w:fldChar w:fldCharType="end"/>
          </w:r>
          <w:r>
            <w:fldChar w:fldCharType="end"/>
          </w:r>
        </w:p>
        <w:p w14:paraId="188E3422">
          <w:pPr>
            <w:pStyle w:val="7"/>
            <w:tabs>
              <w:tab w:val="right" w:leader="dot" w:pos="8306"/>
            </w:tabs>
          </w:pPr>
          <w:r>
            <w:fldChar w:fldCharType="begin"/>
          </w:r>
          <w:r>
            <w:instrText xml:space="preserve"> HYPERLINK \l _Toc18127 </w:instrText>
          </w:r>
          <w:r>
            <w:fldChar w:fldCharType="separate"/>
          </w:r>
          <w:r>
            <w:rPr>
              <w:rFonts w:hint="eastAsia"/>
            </w:rPr>
            <w:t>4</w:t>
          </w:r>
          <w:r>
            <w:t>.</w:t>
          </w:r>
          <w:r>
            <w:rPr>
              <w:rFonts w:hint="eastAsia"/>
            </w:rPr>
            <w:t>绩效评价范围</w:t>
          </w:r>
          <w:r>
            <w:tab/>
          </w:r>
          <w:r>
            <w:fldChar w:fldCharType="begin"/>
          </w:r>
          <w:r>
            <w:instrText xml:space="preserve"> PAGEREF _Toc18127 \h </w:instrText>
          </w:r>
          <w:r>
            <w:fldChar w:fldCharType="separate"/>
          </w:r>
          <w:r>
            <w:t>4</w:t>
          </w:r>
          <w:r>
            <w:fldChar w:fldCharType="end"/>
          </w:r>
          <w:r>
            <w:fldChar w:fldCharType="end"/>
          </w:r>
        </w:p>
        <w:p w14:paraId="5C17F609">
          <w:pPr>
            <w:pStyle w:val="14"/>
            <w:tabs>
              <w:tab w:val="right" w:leader="dot" w:pos="8306"/>
            </w:tabs>
          </w:pPr>
          <w:r>
            <w:fldChar w:fldCharType="begin"/>
          </w:r>
          <w:r>
            <w:instrText xml:space="preserve"> HYPERLINK \l _Toc14574 </w:instrText>
          </w:r>
          <w:r>
            <w:fldChar w:fldCharType="separate"/>
          </w:r>
          <w:r>
            <w:rPr>
              <w:rFonts w:hint="eastAsia" w:ascii="仿宋" w:hAnsi="仿宋" w:eastAsia="仿宋"/>
              <w:lang w:bidi="en-US"/>
            </w:rPr>
            <w:t>（二）绩效评价原则、指标体系、方法及标准</w:t>
          </w:r>
          <w:r>
            <w:tab/>
          </w:r>
          <w:r>
            <w:fldChar w:fldCharType="begin"/>
          </w:r>
          <w:r>
            <w:instrText xml:space="preserve"> PAGEREF _Toc14574 \h </w:instrText>
          </w:r>
          <w:r>
            <w:fldChar w:fldCharType="separate"/>
          </w:r>
          <w:r>
            <w:t>6</w:t>
          </w:r>
          <w:r>
            <w:fldChar w:fldCharType="end"/>
          </w:r>
          <w:r>
            <w:fldChar w:fldCharType="end"/>
          </w:r>
        </w:p>
        <w:p w14:paraId="2D25D667">
          <w:pPr>
            <w:pStyle w:val="7"/>
            <w:tabs>
              <w:tab w:val="right" w:leader="dot" w:pos="8306"/>
            </w:tabs>
          </w:pPr>
          <w:r>
            <w:fldChar w:fldCharType="begin"/>
          </w:r>
          <w:r>
            <w:instrText xml:space="preserve"> HYPERLINK \l _Toc29310 </w:instrText>
          </w:r>
          <w:r>
            <w:fldChar w:fldCharType="separate"/>
          </w:r>
          <w:r>
            <w:rPr>
              <w:rFonts w:hint="eastAsia"/>
            </w:rPr>
            <w:t>1</w:t>
          </w:r>
          <w:r>
            <w:t>.</w:t>
          </w:r>
          <w:r>
            <w:rPr>
              <w:rFonts w:hint="eastAsia"/>
            </w:rPr>
            <w:t>评价原则</w:t>
          </w:r>
          <w:r>
            <w:tab/>
          </w:r>
          <w:r>
            <w:fldChar w:fldCharType="begin"/>
          </w:r>
          <w:r>
            <w:instrText xml:space="preserve"> PAGEREF _Toc29310 \h </w:instrText>
          </w:r>
          <w:r>
            <w:fldChar w:fldCharType="separate"/>
          </w:r>
          <w:r>
            <w:t>6</w:t>
          </w:r>
          <w:r>
            <w:fldChar w:fldCharType="end"/>
          </w:r>
          <w:r>
            <w:fldChar w:fldCharType="end"/>
          </w:r>
        </w:p>
        <w:p w14:paraId="5B29187E">
          <w:pPr>
            <w:pStyle w:val="7"/>
            <w:tabs>
              <w:tab w:val="right" w:leader="dot" w:pos="8306"/>
            </w:tabs>
          </w:pPr>
          <w:r>
            <w:fldChar w:fldCharType="begin"/>
          </w:r>
          <w:r>
            <w:instrText xml:space="preserve"> HYPERLINK \l _Toc9968 </w:instrText>
          </w:r>
          <w:r>
            <w:fldChar w:fldCharType="separate"/>
          </w:r>
          <w:r>
            <w:t>2.</w:t>
          </w:r>
          <w:r>
            <w:rPr>
              <w:rFonts w:hint="eastAsia"/>
            </w:rPr>
            <w:t>评价指标体系</w:t>
          </w:r>
          <w:r>
            <w:tab/>
          </w:r>
          <w:r>
            <w:fldChar w:fldCharType="begin"/>
          </w:r>
          <w:r>
            <w:instrText xml:space="preserve"> PAGEREF _Toc9968 \h </w:instrText>
          </w:r>
          <w:r>
            <w:fldChar w:fldCharType="separate"/>
          </w:r>
          <w:r>
            <w:t>6</w:t>
          </w:r>
          <w:r>
            <w:fldChar w:fldCharType="end"/>
          </w:r>
          <w:r>
            <w:fldChar w:fldCharType="end"/>
          </w:r>
        </w:p>
        <w:p w14:paraId="1557DAFB">
          <w:pPr>
            <w:pStyle w:val="7"/>
            <w:tabs>
              <w:tab w:val="right" w:leader="dot" w:pos="8306"/>
            </w:tabs>
          </w:pPr>
          <w:r>
            <w:fldChar w:fldCharType="begin"/>
          </w:r>
          <w:r>
            <w:instrText xml:space="preserve"> HYPERLINK \l _Toc29542 </w:instrText>
          </w:r>
          <w:r>
            <w:fldChar w:fldCharType="separate"/>
          </w:r>
          <w:r>
            <w:t>3.</w:t>
          </w:r>
          <w:r>
            <w:rPr>
              <w:rFonts w:hint="eastAsia"/>
            </w:rPr>
            <w:t>评价方法</w:t>
          </w:r>
          <w:r>
            <w:tab/>
          </w:r>
          <w:r>
            <w:fldChar w:fldCharType="begin"/>
          </w:r>
          <w:r>
            <w:instrText xml:space="preserve"> PAGEREF _Toc29542 \h </w:instrText>
          </w:r>
          <w:r>
            <w:fldChar w:fldCharType="separate"/>
          </w:r>
          <w:r>
            <w:t>16</w:t>
          </w:r>
          <w:r>
            <w:fldChar w:fldCharType="end"/>
          </w:r>
          <w:r>
            <w:fldChar w:fldCharType="end"/>
          </w:r>
        </w:p>
        <w:p w14:paraId="070568DA">
          <w:pPr>
            <w:pStyle w:val="7"/>
            <w:tabs>
              <w:tab w:val="right" w:leader="dot" w:pos="8306"/>
            </w:tabs>
          </w:pPr>
          <w:r>
            <w:fldChar w:fldCharType="begin"/>
          </w:r>
          <w:r>
            <w:instrText xml:space="preserve"> HYPERLINK \l _Toc26899 </w:instrText>
          </w:r>
          <w:r>
            <w:fldChar w:fldCharType="separate"/>
          </w:r>
          <w:r>
            <w:t>4.</w:t>
          </w:r>
          <w:r>
            <w:rPr>
              <w:rFonts w:hint="eastAsia"/>
            </w:rPr>
            <w:t>评价标准</w:t>
          </w:r>
          <w:r>
            <w:tab/>
          </w:r>
          <w:r>
            <w:fldChar w:fldCharType="begin"/>
          </w:r>
          <w:r>
            <w:instrText xml:space="preserve"> PAGEREF _Toc26899 \h </w:instrText>
          </w:r>
          <w:r>
            <w:fldChar w:fldCharType="separate"/>
          </w:r>
          <w:r>
            <w:t>17</w:t>
          </w:r>
          <w:r>
            <w:fldChar w:fldCharType="end"/>
          </w:r>
          <w:r>
            <w:fldChar w:fldCharType="end"/>
          </w:r>
        </w:p>
        <w:p w14:paraId="25ACFA7A">
          <w:pPr>
            <w:pStyle w:val="14"/>
            <w:tabs>
              <w:tab w:val="right" w:leader="dot" w:pos="8306"/>
            </w:tabs>
          </w:pPr>
          <w:r>
            <w:fldChar w:fldCharType="begin"/>
          </w:r>
          <w:r>
            <w:instrText xml:space="preserve"> HYPERLINK \l _Toc28050 </w:instrText>
          </w:r>
          <w:r>
            <w:fldChar w:fldCharType="separate"/>
          </w:r>
          <w:r>
            <w:rPr>
              <w:rFonts w:hint="eastAsia" w:ascii="仿宋" w:hAnsi="仿宋" w:eastAsia="仿宋"/>
              <w:lang w:bidi="en-US"/>
            </w:rPr>
            <w:t>（三）绩效评价工作过程</w:t>
          </w:r>
          <w:r>
            <w:tab/>
          </w:r>
          <w:r>
            <w:fldChar w:fldCharType="begin"/>
          </w:r>
          <w:r>
            <w:instrText xml:space="preserve"> PAGEREF _Toc28050 \h </w:instrText>
          </w:r>
          <w:r>
            <w:fldChar w:fldCharType="separate"/>
          </w:r>
          <w:r>
            <w:t>18</w:t>
          </w:r>
          <w:r>
            <w:fldChar w:fldCharType="end"/>
          </w:r>
          <w:r>
            <w:fldChar w:fldCharType="end"/>
          </w:r>
        </w:p>
        <w:p w14:paraId="24C51459">
          <w:pPr>
            <w:pStyle w:val="12"/>
            <w:tabs>
              <w:tab w:val="right" w:leader="dot" w:pos="8306"/>
            </w:tabs>
          </w:pPr>
          <w:r>
            <w:fldChar w:fldCharType="begin"/>
          </w:r>
          <w:r>
            <w:instrText xml:space="preserve"> HYPERLINK \l _Toc2928 </w:instrText>
          </w:r>
          <w:r>
            <w:fldChar w:fldCharType="separate"/>
          </w:r>
          <w:r>
            <w:rPr>
              <w:rFonts w:hint="eastAsia" w:ascii="仿宋" w:hAnsi="仿宋" w:eastAsia="仿宋"/>
              <w:szCs w:val="36"/>
              <w:lang w:bidi="en-US"/>
            </w:rPr>
            <w:t>三、综合评价情况及评价结论</w:t>
          </w:r>
          <w:r>
            <w:tab/>
          </w:r>
          <w:r>
            <w:fldChar w:fldCharType="begin"/>
          </w:r>
          <w:r>
            <w:instrText xml:space="preserve"> PAGEREF _Toc2928 \h </w:instrText>
          </w:r>
          <w:r>
            <w:fldChar w:fldCharType="separate"/>
          </w:r>
          <w:r>
            <w:t>18</w:t>
          </w:r>
          <w:r>
            <w:fldChar w:fldCharType="end"/>
          </w:r>
          <w:r>
            <w:fldChar w:fldCharType="end"/>
          </w:r>
        </w:p>
        <w:p w14:paraId="5EF171C9">
          <w:pPr>
            <w:pStyle w:val="14"/>
            <w:tabs>
              <w:tab w:val="right" w:leader="dot" w:pos="8306"/>
            </w:tabs>
          </w:pPr>
          <w:r>
            <w:fldChar w:fldCharType="begin"/>
          </w:r>
          <w:r>
            <w:instrText xml:space="preserve"> HYPERLINK \l _Toc23534 </w:instrText>
          </w:r>
          <w:r>
            <w:fldChar w:fldCharType="separate"/>
          </w:r>
          <w:r>
            <w:rPr>
              <w:rFonts w:hint="eastAsia" w:ascii="仿宋" w:hAnsi="仿宋" w:eastAsia="仿宋"/>
              <w:lang w:bidi="en-US"/>
            </w:rPr>
            <w:t>（一）评价结论</w:t>
          </w:r>
          <w:r>
            <w:tab/>
          </w:r>
          <w:r>
            <w:fldChar w:fldCharType="begin"/>
          </w:r>
          <w:r>
            <w:instrText xml:space="preserve"> PAGEREF _Toc23534 \h </w:instrText>
          </w:r>
          <w:r>
            <w:fldChar w:fldCharType="separate"/>
          </w:r>
          <w:r>
            <w:t>18</w:t>
          </w:r>
          <w:r>
            <w:fldChar w:fldCharType="end"/>
          </w:r>
          <w:r>
            <w:fldChar w:fldCharType="end"/>
          </w:r>
        </w:p>
        <w:p w14:paraId="5620F44B">
          <w:pPr>
            <w:pStyle w:val="14"/>
            <w:tabs>
              <w:tab w:val="right" w:leader="dot" w:pos="8306"/>
            </w:tabs>
          </w:pPr>
          <w:r>
            <w:fldChar w:fldCharType="begin"/>
          </w:r>
          <w:r>
            <w:instrText xml:space="preserve"> HYPERLINK \l _Toc10140 </w:instrText>
          </w:r>
          <w:r>
            <w:fldChar w:fldCharType="separate"/>
          </w:r>
          <w:r>
            <w:rPr>
              <w:rFonts w:hint="eastAsia" w:ascii="仿宋" w:hAnsi="仿宋" w:eastAsia="仿宋"/>
              <w:lang w:bidi="en-US"/>
            </w:rPr>
            <w:t>（二）主要绩效</w:t>
          </w:r>
          <w:r>
            <w:tab/>
          </w:r>
          <w:r>
            <w:fldChar w:fldCharType="begin"/>
          </w:r>
          <w:r>
            <w:instrText xml:space="preserve"> PAGEREF _Toc10140 \h </w:instrText>
          </w:r>
          <w:r>
            <w:fldChar w:fldCharType="separate"/>
          </w:r>
          <w:r>
            <w:t>20</w:t>
          </w:r>
          <w:r>
            <w:fldChar w:fldCharType="end"/>
          </w:r>
          <w:r>
            <w:fldChar w:fldCharType="end"/>
          </w:r>
        </w:p>
        <w:p w14:paraId="7FE4F119">
          <w:pPr>
            <w:pStyle w:val="12"/>
            <w:tabs>
              <w:tab w:val="right" w:leader="dot" w:pos="8306"/>
            </w:tabs>
          </w:pPr>
          <w:r>
            <w:fldChar w:fldCharType="begin"/>
          </w:r>
          <w:r>
            <w:instrText xml:space="preserve"> HYPERLINK \l _Toc6860 </w:instrText>
          </w:r>
          <w:r>
            <w:fldChar w:fldCharType="separate"/>
          </w:r>
          <w:r>
            <w:rPr>
              <w:rFonts w:hint="eastAsia" w:ascii="仿宋" w:hAnsi="仿宋" w:eastAsia="仿宋"/>
              <w:szCs w:val="36"/>
              <w:lang w:bidi="en-US"/>
            </w:rPr>
            <w:t>四、绩效评价指标分析</w:t>
          </w:r>
          <w:r>
            <w:tab/>
          </w:r>
          <w:r>
            <w:fldChar w:fldCharType="begin"/>
          </w:r>
          <w:r>
            <w:instrText xml:space="preserve"> PAGEREF _Toc6860 \h </w:instrText>
          </w:r>
          <w:r>
            <w:fldChar w:fldCharType="separate"/>
          </w:r>
          <w:r>
            <w:t>20</w:t>
          </w:r>
          <w:r>
            <w:fldChar w:fldCharType="end"/>
          </w:r>
          <w:r>
            <w:fldChar w:fldCharType="end"/>
          </w:r>
        </w:p>
        <w:p w14:paraId="78C30AFC">
          <w:pPr>
            <w:pStyle w:val="14"/>
            <w:tabs>
              <w:tab w:val="right" w:leader="dot" w:pos="8306"/>
            </w:tabs>
          </w:pPr>
          <w:r>
            <w:fldChar w:fldCharType="begin"/>
          </w:r>
          <w:r>
            <w:instrText xml:space="preserve"> HYPERLINK \l _Toc21891 </w:instrText>
          </w:r>
          <w:r>
            <w:fldChar w:fldCharType="separate"/>
          </w:r>
          <w:r>
            <w:rPr>
              <w:rFonts w:hint="eastAsia" w:ascii="仿宋" w:hAnsi="仿宋" w:eastAsia="仿宋"/>
              <w:lang w:bidi="en-US"/>
            </w:rPr>
            <w:t>（一）项目决策情况</w:t>
          </w:r>
          <w:r>
            <w:tab/>
          </w:r>
          <w:r>
            <w:fldChar w:fldCharType="begin"/>
          </w:r>
          <w:r>
            <w:instrText xml:space="preserve"> PAGEREF _Toc21891 \h </w:instrText>
          </w:r>
          <w:r>
            <w:fldChar w:fldCharType="separate"/>
          </w:r>
          <w:r>
            <w:t>20</w:t>
          </w:r>
          <w:r>
            <w:fldChar w:fldCharType="end"/>
          </w:r>
          <w:r>
            <w:fldChar w:fldCharType="end"/>
          </w:r>
        </w:p>
        <w:p w14:paraId="3BEE8BB6">
          <w:pPr>
            <w:pStyle w:val="7"/>
            <w:tabs>
              <w:tab w:val="right" w:leader="dot" w:pos="8306"/>
            </w:tabs>
          </w:pPr>
          <w:r>
            <w:fldChar w:fldCharType="begin"/>
          </w:r>
          <w:r>
            <w:instrText xml:space="preserve"> HYPERLINK \l _Toc25534 </w:instrText>
          </w:r>
          <w:r>
            <w:fldChar w:fldCharType="separate"/>
          </w:r>
          <w:r>
            <w:t>1.</w:t>
          </w:r>
          <w:r>
            <w:rPr>
              <w:rFonts w:hint="eastAsia"/>
            </w:rPr>
            <w:t>项目立项</w:t>
          </w:r>
          <w:r>
            <w:tab/>
          </w:r>
          <w:r>
            <w:fldChar w:fldCharType="begin"/>
          </w:r>
          <w:r>
            <w:instrText xml:space="preserve"> PAGEREF _Toc25534 \h </w:instrText>
          </w:r>
          <w:r>
            <w:fldChar w:fldCharType="separate"/>
          </w:r>
          <w:r>
            <w:t>20</w:t>
          </w:r>
          <w:r>
            <w:fldChar w:fldCharType="end"/>
          </w:r>
          <w:r>
            <w:fldChar w:fldCharType="end"/>
          </w:r>
        </w:p>
        <w:p w14:paraId="2F520AFB">
          <w:pPr>
            <w:pStyle w:val="7"/>
            <w:tabs>
              <w:tab w:val="right" w:leader="dot" w:pos="8306"/>
            </w:tabs>
          </w:pPr>
          <w:r>
            <w:fldChar w:fldCharType="begin"/>
          </w:r>
          <w:r>
            <w:instrText xml:space="preserve"> HYPERLINK \l _Toc19545 </w:instrText>
          </w:r>
          <w:r>
            <w:fldChar w:fldCharType="separate"/>
          </w:r>
          <w:r>
            <w:rPr>
              <w:rFonts w:hint="eastAsia"/>
            </w:rPr>
            <w:t>2</w:t>
          </w:r>
          <w:r>
            <w:t>.</w:t>
          </w:r>
          <w:r>
            <w:rPr>
              <w:rFonts w:hint="eastAsia"/>
            </w:rPr>
            <w:t>绩效目标</w:t>
          </w:r>
          <w:r>
            <w:tab/>
          </w:r>
          <w:r>
            <w:fldChar w:fldCharType="begin"/>
          </w:r>
          <w:r>
            <w:instrText xml:space="preserve"> PAGEREF _Toc19545 \h </w:instrText>
          </w:r>
          <w:r>
            <w:fldChar w:fldCharType="separate"/>
          </w:r>
          <w:r>
            <w:t>21</w:t>
          </w:r>
          <w:r>
            <w:fldChar w:fldCharType="end"/>
          </w:r>
          <w:r>
            <w:fldChar w:fldCharType="end"/>
          </w:r>
        </w:p>
        <w:p w14:paraId="603459A9">
          <w:pPr>
            <w:pStyle w:val="7"/>
            <w:tabs>
              <w:tab w:val="right" w:leader="dot" w:pos="8306"/>
            </w:tabs>
          </w:pPr>
          <w:r>
            <w:fldChar w:fldCharType="begin"/>
          </w:r>
          <w:r>
            <w:instrText xml:space="preserve"> HYPERLINK \l _Toc11602 </w:instrText>
          </w:r>
          <w:r>
            <w:fldChar w:fldCharType="separate"/>
          </w:r>
          <w:r>
            <w:rPr>
              <w:rFonts w:hint="eastAsia"/>
            </w:rPr>
            <w:t>3.资金投入</w:t>
          </w:r>
          <w:r>
            <w:tab/>
          </w:r>
          <w:r>
            <w:fldChar w:fldCharType="begin"/>
          </w:r>
          <w:r>
            <w:instrText xml:space="preserve"> PAGEREF _Toc11602 \h </w:instrText>
          </w:r>
          <w:r>
            <w:fldChar w:fldCharType="separate"/>
          </w:r>
          <w:r>
            <w:t>22</w:t>
          </w:r>
          <w:r>
            <w:fldChar w:fldCharType="end"/>
          </w:r>
          <w:r>
            <w:fldChar w:fldCharType="end"/>
          </w:r>
        </w:p>
        <w:p w14:paraId="2641D145">
          <w:pPr>
            <w:pStyle w:val="14"/>
            <w:tabs>
              <w:tab w:val="right" w:leader="dot" w:pos="8306"/>
            </w:tabs>
          </w:pPr>
          <w:r>
            <w:fldChar w:fldCharType="begin"/>
          </w:r>
          <w:r>
            <w:instrText xml:space="preserve"> HYPERLINK \l _Toc31743 </w:instrText>
          </w:r>
          <w:r>
            <w:fldChar w:fldCharType="separate"/>
          </w:r>
          <w:r>
            <w:rPr>
              <w:rFonts w:hint="eastAsia" w:ascii="仿宋" w:hAnsi="仿宋" w:eastAsia="仿宋"/>
              <w:lang w:bidi="en-US"/>
            </w:rPr>
            <w:t>（二）项目过程情况</w:t>
          </w:r>
          <w:r>
            <w:tab/>
          </w:r>
          <w:r>
            <w:fldChar w:fldCharType="begin"/>
          </w:r>
          <w:r>
            <w:instrText xml:space="preserve"> PAGEREF _Toc31743 \h </w:instrText>
          </w:r>
          <w:r>
            <w:fldChar w:fldCharType="separate"/>
          </w:r>
          <w:r>
            <w:t>22</w:t>
          </w:r>
          <w:r>
            <w:fldChar w:fldCharType="end"/>
          </w:r>
          <w:r>
            <w:fldChar w:fldCharType="end"/>
          </w:r>
        </w:p>
        <w:p w14:paraId="4CBA32CC">
          <w:pPr>
            <w:pStyle w:val="7"/>
            <w:tabs>
              <w:tab w:val="right" w:leader="dot" w:pos="8306"/>
            </w:tabs>
          </w:pPr>
          <w:r>
            <w:fldChar w:fldCharType="begin"/>
          </w:r>
          <w:r>
            <w:instrText xml:space="preserve"> HYPERLINK \l _Toc13660 </w:instrText>
          </w:r>
          <w:r>
            <w:fldChar w:fldCharType="separate"/>
          </w:r>
          <w:r>
            <w:t>1.</w:t>
          </w:r>
          <w:r>
            <w:rPr>
              <w:rFonts w:hint="eastAsia"/>
            </w:rPr>
            <w:t>资金管理</w:t>
          </w:r>
          <w:r>
            <w:tab/>
          </w:r>
          <w:r>
            <w:fldChar w:fldCharType="begin"/>
          </w:r>
          <w:r>
            <w:instrText xml:space="preserve"> PAGEREF _Toc13660 \h </w:instrText>
          </w:r>
          <w:r>
            <w:fldChar w:fldCharType="separate"/>
          </w:r>
          <w:r>
            <w:t>22</w:t>
          </w:r>
          <w:r>
            <w:fldChar w:fldCharType="end"/>
          </w:r>
          <w:r>
            <w:fldChar w:fldCharType="end"/>
          </w:r>
        </w:p>
        <w:p w14:paraId="49CF8B96">
          <w:pPr>
            <w:pStyle w:val="7"/>
            <w:tabs>
              <w:tab w:val="right" w:leader="dot" w:pos="8306"/>
            </w:tabs>
          </w:pPr>
          <w:r>
            <w:fldChar w:fldCharType="begin"/>
          </w:r>
          <w:r>
            <w:instrText xml:space="preserve"> HYPERLINK \l _Toc27268 </w:instrText>
          </w:r>
          <w:r>
            <w:fldChar w:fldCharType="separate"/>
          </w:r>
          <w:r>
            <w:t>2.</w:t>
          </w:r>
          <w:r>
            <w:rPr>
              <w:rFonts w:hint="eastAsia"/>
            </w:rPr>
            <w:t>组织实施</w:t>
          </w:r>
          <w:r>
            <w:tab/>
          </w:r>
          <w:r>
            <w:fldChar w:fldCharType="begin"/>
          </w:r>
          <w:r>
            <w:instrText xml:space="preserve"> PAGEREF _Toc27268 \h </w:instrText>
          </w:r>
          <w:r>
            <w:fldChar w:fldCharType="separate"/>
          </w:r>
          <w:r>
            <w:t>23</w:t>
          </w:r>
          <w:r>
            <w:fldChar w:fldCharType="end"/>
          </w:r>
          <w:r>
            <w:fldChar w:fldCharType="end"/>
          </w:r>
        </w:p>
        <w:p w14:paraId="42EACD9C">
          <w:pPr>
            <w:pStyle w:val="14"/>
            <w:tabs>
              <w:tab w:val="right" w:leader="dot" w:pos="8306"/>
            </w:tabs>
          </w:pPr>
          <w:r>
            <w:fldChar w:fldCharType="begin"/>
          </w:r>
          <w:r>
            <w:instrText xml:space="preserve"> HYPERLINK \l _Toc29439 </w:instrText>
          </w:r>
          <w:r>
            <w:fldChar w:fldCharType="separate"/>
          </w:r>
          <w:r>
            <w:rPr>
              <w:rFonts w:hint="eastAsia" w:ascii="仿宋" w:hAnsi="仿宋" w:eastAsia="仿宋"/>
              <w:lang w:bidi="en-US"/>
            </w:rPr>
            <w:t>（三）项目产出情况</w:t>
          </w:r>
          <w:r>
            <w:tab/>
          </w:r>
          <w:r>
            <w:fldChar w:fldCharType="begin"/>
          </w:r>
          <w:r>
            <w:instrText xml:space="preserve"> PAGEREF _Toc29439 \h </w:instrText>
          </w:r>
          <w:r>
            <w:fldChar w:fldCharType="separate"/>
          </w:r>
          <w:r>
            <w:t>24</w:t>
          </w:r>
          <w:r>
            <w:fldChar w:fldCharType="end"/>
          </w:r>
          <w:r>
            <w:fldChar w:fldCharType="end"/>
          </w:r>
        </w:p>
        <w:p w14:paraId="51EE6187">
          <w:pPr>
            <w:pStyle w:val="7"/>
            <w:tabs>
              <w:tab w:val="right" w:leader="dot" w:pos="8306"/>
            </w:tabs>
          </w:pPr>
          <w:r>
            <w:fldChar w:fldCharType="begin"/>
          </w:r>
          <w:r>
            <w:instrText xml:space="preserve"> HYPERLINK \l _Toc16040 </w:instrText>
          </w:r>
          <w:r>
            <w:fldChar w:fldCharType="separate"/>
          </w:r>
          <w:r>
            <w:rPr>
              <w:rFonts w:hint="eastAsia"/>
            </w:rPr>
            <w:t>1</w:t>
          </w:r>
          <w:r>
            <w:t>.</w:t>
          </w:r>
          <w:r>
            <w:rPr>
              <w:rFonts w:hint="eastAsia"/>
            </w:rPr>
            <w:t>产出数量</w:t>
          </w:r>
          <w:r>
            <w:tab/>
          </w:r>
          <w:r>
            <w:fldChar w:fldCharType="begin"/>
          </w:r>
          <w:r>
            <w:instrText xml:space="preserve"> PAGEREF _Toc16040 \h </w:instrText>
          </w:r>
          <w:r>
            <w:fldChar w:fldCharType="separate"/>
          </w:r>
          <w:r>
            <w:t>24</w:t>
          </w:r>
          <w:r>
            <w:fldChar w:fldCharType="end"/>
          </w:r>
          <w:r>
            <w:fldChar w:fldCharType="end"/>
          </w:r>
        </w:p>
        <w:p w14:paraId="401CE838">
          <w:pPr>
            <w:pStyle w:val="7"/>
            <w:tabs>
              <w:tab w:val="right" w:leader="dot" w:pos="8306"/>
            </w:tabs>
          </w:pPr>
          <w:r>
            <w:fldChar w:fldCharType="begin"/>
          </w:r>
          <w:r>
            <w:instrText xml:space="preserve"> HYPERLINK \l _Toc21907 </w:instrText>
          </w:r>
          <w:r>
            <w:fldChar w:fldCharType="separate"/>
          </w:r>
          <w:r>
            <w:rPr>
              <w:rFonts w:hint="eastAsia"/>
            </w:rPr>
            <w:t>2</w:t>
          </w:r>
          <w:r>
            <w:t>.</w:t>
          </w:r>
          <w:r>
            <w:rPr>
              <w:rFonts w:hint="eastAsia"/>
            </w:rPr>
            <w:t>产出质量</w:t>
          </w:r>
          <w:r>
            <w:tab/>
          </w:r>
          <w:r>
            <w:fldChar w:fldCharType="begin"/>
          </w:r>
          <w:r>
            <w:instrText xml:space="preserve"> PAGEREF _Toc21907 \h </w:instrText>
          </w:r>
          <w:r>
            <w:fldChar w:fldCharType="separate"/>
          </w:r>
          <w:r>
            <w:t>25</w:t>
          </w:r>
          <w:r>
            <w:fldChar w:fldCharType="end"/>
          </w:r>
          <w:r>
            <w:fldChar w:fldCharType="end"/>
          </w:r>
        </w:p>
        <w:p w14:paraId="5C28E132">
          <w:pPr>
            <w:pStyle w:val="7"/>
            <w:tabs>
              <w:tab w:val="right" w:leader="dot" w:pos="8306"/>
            </w:tabs>
          </w:pPr>
          <w:r>
            <w:fldChar w:fldCharType="begin"/>
          </w:r>
          <w:r>
            <w:instrText xml:space="preserve"> HYPERLINK \l _Toc26511 </w:instrText>
          </w:r>
          <w:r>
            <w:fldChar w:fldCharType="separate"/>
          </w:r>
          <w:r>
            <w:rPr>
              <w:rFonts w:hint="eastAsia"/>
            </w:rPr>
            <w:t>3</w:t>
          </w:r>
          <w:r>
            <w:t>.</w:t>
          </w:r>
          <w:r>
            <w:rPr>
              <w:rFonts w:hint="eastAsia"/>
            </w:rPr>
            <w:t>产出时效</w:t>
          </w:r>
          <w:r>
            <w:tab/>
          </w:r>
          <w:r>
            <w:fldChar w:fldCharType="begin"/>
          </w:r>
          <w:r>
            <w:instrText xml:space="preserve"> PAGEREF _Toc26511 \h </w:instrText>
          </w:r>
          <w:r>
            <w:fldChar w:fldCharType="separate"/>
          </w:r>
          <w:r>
            <w:t>25</w:t>
          </w:r>
          <w:r>
            <w:fldChar w:fldCharType="end"/>
          </w:r>
          <w:r>
            <w:fldChar w:fldCharType="end"/>
          </w:r>
        </w:p>
        <w:p w14:paraId="4F6E10B6">
          <w:pPr>
            <w:pStyle w:val="7"/>
            <w:tabs>
              <w:tab w:val="right" w:leader="dot" w:pos="8306"/>
            </w:tabs>
          </w:pPr>
          <w:r>
            <w:fldChar w:fldCharType="begin"/>
          </w:r>
          <w:r>
            <w:instrText xml:space="preserve"> HYPERLINK \l _Toc8211 </w:instrText>
          </w:r>
          <w:r>
            <w:fldChar w:fldCharType="separate"/>
          </w:r>
          <w:r>
            <w:rPr>
              <w:rFonts w:hint="eastAsia"/>
            </w:rPr>
            <w:t>4</w:t>
          </w:r>
          <w:r>
            <w:t>.</w:t>
          </w:r>
          <w:r>
            <w:rPr>
              <w:rFonts w:hint="eastAsia"/>
            </w:rPr>
            <w:t>产出成本</w:t>
          </w:r>
          <w:r>
            <w:tab/>
          </w:r>
          <w:r>
            <w:fldChar w:fldCharType="begin"/>
          </w:r>
          <w:r>
            <w:instrText xml:space="preserve"> PAGEREF _Toc8211 \h </w:instrText>
          </w:r>
          <w:r>
            <w:fldChar w:fldCharType="separate"/>
          </w:r>
          <w:r>
            <w:t>25</w:t>
          </w:r>
          <w:r>
            <w:fldChar w:fldCharType="end"/>
          </w:r>
          <w:r>
            <w:fldChar w:fldCharType="end"/>
          </w:r>
        </w:p>
        <w:p w14:paraId="33C50737">
          <w:pPr>
            <w:pStyle w:val="14"/>
            <w:tabs>
              <w:tab w:val="right" w:leader="dot" w:pos="8306"/>
            </w:tabs>
          </w:pPr>
          <w:r>
            <w:fldChar w:fldCharType="begin"/>
          </w:r>
          <w:r>
            <w:instrText xml:space="preserve"> HYPERLINK \l _Toc4876 </w:instrText>
          </w:r>
          <w:r>
            <w:fldChar w:fldCharType="separate"/>
          </w:r>
          <w:r>
            <w:rPr>
              <w:rFonts w:hint="eastAsia" w:ascii="仿宋" w:hAnsi="仿宋" w:eastAsia="仿宋"/>
              <w:lang w:bidi="en-US"/>
            </w:rPr>
            <w:t>（四）项目效益情况</w:t>
          </w:r>
          <w:r>
            <w:tab/>
          </w:r>
          <w:r>
            <w:fldChar w:fldCharType="begin"/>
          </w:r>
          <w:r>
            <w:instrText xml:space="preserve"> PAGEREF _Toc4876 \h </w:instrText>
          </w:r>
          <w:r>
            <w:fldChar w:fldCharType="separate"/>
          </w:r>
          <w:r>
            <w:t>26</w:t>
          </w:r>
          <w:r>
            <w:fldChar w:fldCharType="end"/>
          </w:r>
          <w:r>
            <w:fldChar w:fldCharType="end"/>
          </w:r>
        </w:p>
        <w:p w14:paraId="7F652801">
          <w:pPr>
            <w:pStyle w:val="7"/>
            <w:tabs>
              <w:tab w:val="right" w:leader="dot" w:pos="8306"/>
            </w:tabs>
          </w:pPr>
          <w:r>
            <w:fldChar w:fldCharType="begin"/>
          </w:r>
          <w:r>
            <w:instrText xml:space="preserve"> HYPERLINK \l _Toc27845 </w:instrText>
          </w:r>
          <w:r>
            <w:fldChar w:fldCharType="separate"/>
          </w:r>
          <w:r>
            <w:rPr>
              <w:rFonts w:hint="eastAsia"/>
            </w:rPr>
            <w:t>1</w:t>
          </w:r>
          <w:r>
            <w:t>.</w:t>
          </w:r>
          <w:r>
            <w:rPr>
              <w:rFonts w:hint="eastAsia"/>
            </w:rPr>
            <w:t>项目效益</w:t>
          </w:r>
          <w:r>
            <w:tab/>
          </w:r>
          <w:r>
            <w:fldChar w:fldCharType="begin"/>
          </w:r>
          <w:r>
            <w:instrText xml:space="preserve"> PAGEREF _Toc27845 \h </w:instrText>
          </w:r>
          <w:r>
            <w:fldChar w:fldCharType="separate"/>
          </w:r>
          <w:r>
            <w:t>26</w:t>
          </w:r>
          <w:r>
            <w:fldChar w:fldCharType="end"/>
          </w:r>
          <w:r>
            <w:fldChar w:fldCharType="end"/>
          </w:r>
        </w:p>
        <w:p w14:paraId="6E3DBBA8">
          <w:pPr>
            <w:pStyle w:val="7"/>
            <w:tabs>
              <w:tab w:val="right" w:leader="dot" w:pos="8306"/>
            </w:tabs>
          </w:pPr>
          <w:r>
            <w:fldChar w:fldCharType="begin"/>
          </w:r>
          <w:r>
            <w:instrText xml:space="preserve"> HYPERLINK \l _Toc28449 </w:instrText>
          </w:r>
          <w:r>
            <w:fldChar w:fldCharType="separate"/>
          </w:r>
          <w:r>
            <w:t>2. 满意度指标完成情况分析</w:t>
          </w:r>
          <w:r>
            <w:tab/>
          </w:r>
          <w:r>
            <w:fldChar w:fldCharType="begin"/>
          </w:r>
          <w:r>
            <w:instrText xml:space="preserve"> PAGEREF _Toc28449 \h </w:instrText>
          </w:r>
          <w:r>
            <w:fldChar w:fldCharType="separate"/>
          </w:r>
          <w:r>
            <w:t>26</w:t>
          </w:r>
          <w:r>
            <w:fldChar w:fldCharType="end"/>
          </w:r>
          <w:r>
            <w:fldChar w:fldCharType="end"/>
          </w:r>
        </w:p>
        <w:p w14:paraId="1C0CD6EB">
          <w:pPr>
            <w:pStyle w:val="12"/>
            <w:tabs>
              <w:tab w:val="right" w:leader="dot" w:pos="8306"/>
            </w:tabs>
          </w:pPr>
          <w:r>
            <w:fldChar w:fldCharType="begin"/>
          </w:r>
          <w:r>
            <w:instrText xml:space="preserve"> HYPERLINK \l _Toc809 </w:instrText>
          </w:r>
          <w:r>
            <w:fldChar w:fldCharType="separate"/>
          </w:r>
          <w:r>
            <w:rPr>
              <w:rFonts w:hint="eastAsia" w:ascii="仿宋" w:hAnsi="仿宋" w:eastAsia="仿宋"/>
              <w:szCs w:val="36"/>
              <w:lang w:bidi="en-US"/>
            </w:rPr>
            <w:t>五、主要经验及做法、存在的问题及原因分析</w:t>
          </w:r>
          <w:r>
            <w:tab/>
          </w:r>
          <w:r>
            <w:fldChar w:fldCharType="begin"/>
          </w:r>
          <w:r>
            <w:instrText xml:space="preserve"> PAGEREF _Toc809 \h </w:instrText>
          </w:r>
          <w:r>
            <w:fldChar w:fldCharType="separate"/>
          </w:r>
          <w:r>
            <w:t>27</w:t>
          </w:r>
          <w:r>
            <w:fldChar w:fldCharType="end"/>
          </w:r>
          <w:r>
            <w:fldChar w:fldCharType="end"/>
          </w:r>
        </w:p>
        <w:p w14:paraId="13FFEDBC">
          <w:pPr>
            <w:pStyle w:val="14"/>
            <w:tabs>
              <w:tab w:val="right" w:leader="dot" w:pos="8306"/>
            </w:tabs>
          </w:pPr>
          <w:r>
            <w:fldChar w:fldCharType="begin"/>
          </w:r>
          <w:r>
            <w:instrText xml:space="preserve"> HYPERLINK \l _Toc22699 </w:instrText>
          </w:r>
          <w:r>
            <w:fldChar w:fldCharType="separate"/>
          </w:r>
          <w:r>
            <w:rPr>
              <w:rFonts w:hint="eastAsia" w:ascii="仿宋" w:hAnsi="仿宋" w:eastAsia="仿宋"/>
              <w:lang w:bidi="en-US"/>
            </w:rPr>
            <w:t>（一）主要经验及做法</w:t>
          </w:r>
          <w:r>
            <w:tab/>
          </w:r>
          <w:r>
            <w:fldChar w:fldCharType="begin"/>
          </w:r>
          <w:r>
            <w:instrText xml:space="preserve"> PAGEREF _Toc22699 \h </w:instrText>
          </w:r>
          <w:r>
            <w:fldChar w:fldCharType="separate"/>
          </w:r>
          <w:r>
            <w:t>27</w:t>
          </w:r>
          <w:r>
            <w:fldChar w:fldCharType="end"/>
          </w:r>
          <w:r>
            <w:fldChar w:fldCharType="end"/>
          </w:r>
        </w:p>
        <w:p w14:paraId="548E85C5">
          <w:pPr>
            <w:pStyle w:val="14"/>
            <w:tabs>
              <w:tab w:val="right" w:leader="dot" w:pos="8306"/>
            </w:tabs>
          </w:pPr>
          <w:r>
            <w:fldChar w:fldCharType="begin"/>
          </w:r>
          <w:r>
            <w:instrText xml:space="preserve"> HYPERLINK \l _Toc14978 </w:instrText>
          </w:r>
          <w:r>
            <w:fldChar w:fldCharType="separate"/>
          </w:r>
          <w:r>
            <w:rPr>
              <w:rFonts w:hint="eastAsia" w:ascii="仿宋" w:hAnsi="仿宋" w:eastAsia="仿宋"/>
              <w:lang w:bidi="en-US"/>
            </w:rPr>
            <w:t>（二）存在的问题及原因分析</w:t>
          </w:r>
          <w:r>
            <w:tab/>
          </w:r>
          <w:r>
            <w:fldChar w:fldCharType="begin"/>
          </w:r>
          <w:r>
            <w:instrText xml:space="preserve"> PAGEREF _Toc14978 \h </w:instrText>
          </w:r>
          <w:r>
            <w:fldChar w:fldCharType="separate"/>
          </w:r>
          <w:r>
            <w:t>27</w:t>
          </w:r>
          <w:r>
            <w:fldChar w:fldCharType="end"/>
          </w:r>
          <w:r>
            <w:fldChar w:fldCharType="end"/>
          </w:r>
        </w:p>
        <w:p w14:paraId="7398B8B0">
          <w:pPr>
            <w:pStyle w:val="12"/>
            <w:tabs>
              <w:tab w:val="right" w:leader="dot" w:pos="8306"/>
            </w:tabs>
          </w:pPr>
          <w:r>
            <w:fldChar w:fldCharType="begin"/>
          </w:r>
          <w:r>
            <w:instrText xml:space="preserve"> HYPERLINK \l _Toc26715 </w:instrText>
          </w:r>
          <w:r>
            <w:fldChar w:fldCharType="separate"/>
          </w:r>
          <w:r>
            <w:rPr>
              <w:rFonts w:hint="eastAsia" w:ascii="仿宋" w:hAnsi="仿宋" w:eastAsia="仿宋"/>
              <w:szCs w:val="36"/>
              <w:lang w:bidi="en-US"/>
            </w:rPr>
            <w:t>六、有关建议</w:t>
          </w:r>
          <w:r>
            <w:tab/>
          </w:r>
          <w:r>
            <w:fldChar w:fldCharType="begin"/>
          </w:r>
          <w:r>
            <w:instrText xml:space="preserve"> PAGEREF _Toc26715 \h </w:instrText>
          </w:r>
          <w:r>
            <w:fldChar w:fldCharType="separate"/>
          </w:r>
          <w:r>
            <w:t>28</w:t>
          </w:r>
          <w:r>
            <w:fldChar w:fldCharType="end"/>
          </w:r>
          <w:r>
            <w:fldChar w:fldCharType="end"/>
          </w:r>
        </w:p>
        <w:p w14:paraId="7C84736A">
          <w:pPr>
            <w:pStyle w:val="12"/>
            <w:tabs>
              <w:tab w:val="right" w:leader="dot" w:pos="8306"/>
            </w:tabs>
          </w:pPr>
          <w:r>
            <w:fldChar w:fldCharType="begin"/>
          </w:r>
          <w:r>
            <w:instrText xml:space="preserve"> HYPERLINK \l _Toc13674 </w:instrText>
          </w:r>
          <w:r>
            <w:fldChar w:fldCharType="separate"/>
          </w:r>
          <w:r>
            <w:rPr>
              <w:rFonts w:hint="eastAsia" w:ascii="仿宋" w:hAnsi="仿宋" w:eastAsia="仿宋"/>
              <w:szCs w:val="36"/>
              <w:lang w:bidi="en-US"/>
            </w:rPr>
            <w:t>七、其他需要说明的问题</w:t>
          </w:r>
          <w:r>
            <w:tab/>
          </w:r>
          <w:r>
            <w:fldChar w:fldCharType="begin"/>
          </w:r>
          <w:r>
            <w:instrText xml:space="preserve"> PAGEREF _Toc13674 \h </w:instrText>
          </w:r>
          <w:r>
            <w:fldChar w:fldCharType="separate"/>
          </w:r>
          <w:r>
            <w:t>28</w:t>
          </w:r>
          <w:r>
            <w:fldChar w:fldCharType="end"/>
          </w:r>
          <w:r>
            <w:fldChar w:fldCharType="end"/>
          </w:r>
        </w:p>
        <w:p w14:paraId="06B7B2C7">
          <w:r>
            <w:fldChar w:fldCharType="end"/>
          </w:r>
        </w:p>
      </w:sdtContent>
    </w:sdt>
    <w:p w14:paraId="28F074E8">
      <w:pPr>
        <w:pStyle w:val="2"/>
        <w:pageBreakBefore w:val="0"/>
        <w:kinsoku/>
        <w:wordWrap/>
        <w:overflowPunct/>
        <w:topLinePunct w:val="0"/>
        <w:autoSpaceDN/>
        <w:bidi w:val="0"/>
        <w:adjustRightInd/>
        <w:snapToGrid/>
        <w:spacing w:line="560" w:lineRule="exact"/>
        <w:ind w:firstLine="0" w:firstLineChars="0"/>
        <w:jc w:val="left"/>
        <w:textAlignment w:val="auto"/>
        <w:rPr>
          <w:rFonts w:hint="eastAsia" w:ascii="仿宋" w:hAnsi="仿宋" w:eastAsia="仿宋"/>
          <w:sz w:val="36"/>
          <w:szCs w:val="36"/>
          <w:lang w:bidi="en-US"/>
        </w:rPr>
        <w:sectPr>
          <w:footerReference r:id="rId6"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bookmarkStart w:id="2" w:name="_Toc2892"/>
    </w:p>
    <w:p w14:paraId="72E1739D">
      <w:pPr>
        <w:pStyle w:val="2"/>
        <w:pageBreakBefore w:val="0"/>
        <w:kinsoku/>
        <w:wordWrap/>
        <w:overflowPunct/>
        <w:topLinePunct w:val="0"/>
        <w:autoSpaceDN/>
        <w:bidi w:val="0"/>
        <w:adjustRightInd/>
        <w:snapToGrid/>
        <w:spacing w:line="560" w:lineRule="exact"/>
        <w:ind w:firstLine="0" w:firstLineChars="0"/>
        <w:jc w:val="left"/>
        <w:textAlignment w:val="auto"/>
        <w:rPr>
          <w:rFonts w:ascii="仿宋" w:hAnsi="仿宋" w:eastAsia="仿宋"/>
          <w:sz w:val="36"/>
          <w:szCs w:val="36"/>
          <w:lang w:bidi="en-US"/>
        </w:rPr>
      </w:pPr>
      <w:bookmarkStart w:id="3" w:name="_Toc24640"/>
      <w:r>
        <w:rPr>
          <w:rFonts w:hint="eastAsia" w:ascii="仿宋" w:hAnsi="仿宋" w:eastAsia="仿宋"/>
          <w:sz w:val="36"/>
          <w:szCs w:val="36"/>
          <w:lang w:bidi="en-US"/>
        </w:rPr>
        <w:t>一、基本情况</w:t>
      </w:r>
      <w:bookmarkEnd w:id="2"/>
      <w:bookmarkEnd w:id="3"/>
    </w:p>
    <w:p w14:paraId="61D19EC4">
      <w:pPr>
        <w:pStyle w:val="3"/>
        <w:pageBreakBefore w:val="0"/>
        <w:kinsoku/>
        <w:wordWrap/>
        <w:overflowPunct/>
        <w:topLinePunct w:val="0"/>
        <w:autoSpaceDN/>
        <w:bidi w:val="0"/>
        <w:adjustRightInd/>
        <w:snapToGrid/>
        <w:spacing w:line="560" w:lineRule="exact"/>
        <w:ind w:firstLine="643"/>
        <w:textAlignment w:val="auto"/>
        <w:rPr>
          <w:rFonts w:ascii="仿宋" w:hAnsi="仿宋" w:eastAsia="仿宋"/>
          <w:lang w:bidi="en-US"/>
        </w:rPr>
      </w:pPr>
      <w:bookmarkStart w:id="4" w:name="_Toc67911602"/>
      <w:bookmarkStart w:id="5" w:name="_Toc2140"/>
      <w:r>
        <w:rPr>
          <w:rFonts w:hint="eastAsia" w:ascii="仿宋" w:hAnsi="仿宋" w:eastAsia="仿宋"/>
          <w:lang w:bidi="en-US"/>
        </w:rPr>
        <w:t>（一）项目概况：</w:t>
      </w:r>
      <w:bookmarkEnd w:id="4"/>
      <w:bookmarkEnd w:id="5"/>
    </w:p>
    <w:p w14:paraId="52B1C056">
      <w:pPr>
        <w:pStyle w:val="4"/>
        <w:pageBreakBefore w:val="0"/>
        <w:kinsoku/>
        <w:wordWrap/>
        <w:overflowPunct/>
        <w:topLinePunct w:val="0"/>
        <w:autoSpaceDN/>
        <w:bidi w:val="0"/>
        <w:adjustRightInd/>
        <w:snapToGrid/>
        <w:spacing w:line="560" w:lineRule="exact"/>
        <w:ind w:firstLine="643"/>
        <w:textAlignment w:val="auto"/>
      </w:pPr>
      <w:bookmarkStart w:id="6" w:name="_Toc8532"/>
      <w:r>
        <w:rPr>
          <w:rFonts w:hint="eastAsia"/>
        </w:rPr>
        <w:t>1．项目背景、主要内容及实施情况</w:t>
      </w:r>
      <w:bookmarkEnd w:id="6"/>
    </w:p>
    <w:p w14:paraId="088342CF">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_GB2312"/>
        </w:rPr>
      </w:pPr>
      <w:r>
        <w:rPr>
          <w:rFonts w:hint="eastAsia" w:ascii="仿宋_GB2312"/>
        </w:rPr>
        <w:t>该项目实施背景：</w:t>
      </w:r>
      <w:r>
        <w:rPr>
          <w:rFonts w:hint="eastAsia" w:ascii="仿宋_GB2312"/>
          <w:lang w:eastAsia="zh-CN"/>
        </w:rPr>
        <w:t>“</w:t>
      </w:r>
      <w:r>
        <w:rPr>
          <w:rFonts w:hint="eastAsia" w:ascii="仿宋_GB2312"/>
          <w:lang w:val="en-US" w:eastAsia="zh-CN"/>
        </w:rPr>
        <w:t>侨胞之家”需按照中国侨联提出的“五有建设”（有组织、有队伍、有经费、有阵地、有活动）的标准要求进行建设，目标是以“侨胞之家”为抓手，切实把建家和服务有机结合起来，用于组织创新开展群众工作，更好地服务广大归侨侨眷，增强吸引力、凝聚力和影响力，引导广大归侨侨眷和海外侨胞积极投身我市社会稳定发展大局，将“侨胞之家”建设成为我市海内外侨胞的基层活动中心，意识形态领域建设的重要阵地</w:t>
      </w:r>
      <w:r>
        <w:rPr>
          <w:rFonts w:hint="eastAsia" w:ascii="仿宋_GB2312"/>
        </w:rPr>
        <w:t>。乌鲁木齐市侨联机关“侨胞之家”经市委市政府批准建设，位于乌鲁木齐市委市政府第二联合办公楼7号楼1楼大厅，该</w:t>
      </w:r>
      <w:r>
        <w:rPr>
          <w:rFonts w:hint="eastAsia" w:ascii="仿宋_GB2312"/>
          <w:lang w:eastAsia="zh-CN"/>
        </w:rPr>
        <w:t>“</w:t>
      </w:r>
      <w:r>
        <w:rPr>
          <w:rFonts w:hint="eastAsia" w:ascii="仿宋_GB2312"/>
        </w:rPr>
        <w:t>侨胞之家</w:t>
      </w:r>
      <w:r>
        <w:rPr>
          <w:rFonts w:hint="eastAsia" w:ascii="仿宋_GB2312"/>
          <w:lang w:eastAsia="zh-CN"/>
        </w:rPr>
        <w:t>”</w:t>
      </w:r>
      <w:r>
        <w:rPr>
          <w:rFonts w:hint="eastAsia" w:ascii="仿宋_GB2312"/>
        </w:rPr>
        <w:t>的建立致力于让广大归侨侨眷更加紧密的团结在党的周围，为归侨侨眷搭建一个提升素质、提供服务、联谊交流的平台，同时也将开展侨法宣传、依法维护侨益的平台，但“侨胞之家”装修后室内设施一直没有配套资金购置，无法正常开展活动，故申请资金购置室内设施。</w:t>
      </w:r>
    </w:p>
    <w:p w14:paraId="6B816DB5">
      <w:pPr>
        <w:pageBreakBefore w:val="0"/>
        <w:kinsoku/>
        <w:wordWrap/>
        <w:overflowPunct/>
        <w:topLinePunct w:val="0"/>
        <w:autoSpaceDN/>
        <w:bidi w:val="0"/>
        <w:adjustRightInd/>
        <w:snapToGrid/>
        <w:spacing w:line="560" w:lineRule="exact"/>
        <w:textAlignment w:val="auto"/>
        <w:rPr>
          <w:rFonts w:hint="eastAsia"/>
          <w:lang w:eastAsia="zh-CN"/>
        </w:rPr>
      </w:pPr>
      <w:r>
        <w:t>项目</w:t>
      </w:r>
      <w:r>
        <w:rPr>
          <w:rFonts w:hint="eastAsia"/>
        </w:rPr>
        <w:t>2</w:t>
      </w:r>
      <w:r>
        <w:t>023年的主要实施内容：①</w:t>
      </w:r>
      <w:r>
        <w:rPr>
          <w:rFonts w:hint="eastAsia"/>
        </w:rPr>
        <w:t>完成侨胞之家的室内设施的采购和支付工作</w:t>
      </w:r>
      <w:r>
        <w:t>;②</w:t>
      </w:r>
      <w:r>
        <w:rPr>
          <w:rFonts w:hint="eastAsia"/>
          <w:lang w:val="en-US" w:eastAsia="zh-CN"/>
        </w:rPr>
        <w:t>该“</w:t>
      </w:r>
      <w:r>
        <w:rPr>
          <w:rFonts w:hint="eastAsia"/>
        </w:rPr>
        <w:t>侨胞之家</w:t>
      </w:r>
      <w:r>
        <w:rPr>
          <w:rFonts w:hint="eastAsia"/>
          <w:lang w:eastAsia="zh-CN"/>
        </w:rPr>
        <w:t>”</w:t>
      </w:r>
      <w:r>
        <w:rPr>
          <w:rFonts w:hint="eastAsia"/>
        </w:rPr>
        <w:t>投入使用，举办相关活动</w:t>
      </w:r>
      <w:r>
        <w:rPr>
          <w:rFonts w:hint="eastAsia"/>
          <w:lang w:eastAsia="zh-CN"/>
        </w:rPr>
        <w:t>。</w:t>
      </w:r>
    </w:p>
    <w:p w14:paraId="6082B9EC">
      <w:pPr>
        <w:pageBreakBefore w:val="0"/>
        <w:kinsoku/>
        <w:wordWrap/>
        <w:overflowPunct/>
        <w:topLinePunct w:val="0"/>
        <w:autoSpaceDN/>
        <w:bidi w:val="0"/>
        <w:adjustRightInd/>
        <w:snapToGrid/>
        <w:spacing w:line="560" w:lineRule="exact"/>
        <w:textAlignment w:val="auto"/>
        <w:rPr>
          <w:rFonts w:hint="default"/>
          <w:lang w:val="en-US" w:eastAsia="zh-CN"/>
        </w:rPr>
      </w:pPr>
      <w:r>
        <w:rPr>
          <w:rFonts w:hint="eastAsia"/>
        </w:rPr>
        <w:t>2</w:t>
      </w:r>
      <w:r>
        <w:t>023年当年完成情况</w:t>
      </w:r>
      <w:r>
        <w:rPr>
          <w:rFonts w:hint="eastAsia"/>
          <w:lang w:eastAsia="zh-CN"/>
        </w:rPr>
        <w:t>：</w:t>
      </w:r>
      <w:r>
        <w:rPr>
          <w:rFonts w:hint="eastAsia"/>
          <w:lang w:val="en-US" w:eastAsia="zh-CN"/>
        </w:rPr>
        <w:t>于2023年3月完成了全部采购和支付工作，购买了宣传书架及展示柜的设计服务、投影仪及配套设备、会议用桌椅，室内设施配齐之后，在该“侨胞之家”举办侨界活动4次，置办家具数量大于10件；服务侨众数量超过200人，所有设施均投入使用；通过活动增强与归侨侨眷的紧密联系，通过问卷调查得知归侨侨眷满意度达100%。</w:t>
      </w:r>
    </w:p>
    <w:p w14:paraId="5E61528E">
      <w:pPr>
        <w:pStyle w:val="4"/>
        <w:pageBreakBefore w:val="0"/>
        <w:kinsoku/>
        <w:wordWrap/>
        <w:overflowPunct/>
        <w:topLinePunct w:val="0"/>
        <w:autoSpaceDN/>
        <w:bidi w:val="0"/>
        <w:adjustRightInd/>
        <w:snapToGrid/>
        <w:spacing w:line="560" w:lineRule="exact"/>
        <w:ind w:firstLine="643"/>
        <w:textAlignment w:val="auto"/>
      </w:pPr>
      <w:bookmarkStart w:id="7" w:name="_Toc29172"/>
      <w:r>
        <w:rPr>
          <w:rFonts w:hint="eastAsia"/>
        </w:rPr>
        <w:t>2</w:t>
      </w:r>
      <w:r>
        <w:t>.资金投入和使用情况</w:t>
      </w:r>
      <w:bookmarkEnd w:id="7"/>
    </w:p>
    <w:p w14:paraId="44E749B1">
      <w:pPr>
        <w:pageBreakBefore w:val="0"/>
        <w:kinsoku/>
        <w:wordWrap/>
        <w:overflowPunct/>
        <w:topLinePunct w:val="0"/>
        <w:autoSpaceDN/>
        <w:bidi w:val="0"/>
        <w:adjustRightInd/>
        <w:snapToGrid/>
        <w:spacing w:line="560" w:lineRule="exact"/>
        <w:textAlignment w:val="auto"/>
      </w:pPr>
      <w:r>
        <w:rPr>
          <w:rFonts w:hint="eastAsia"/>
        </w:rPr>
        <w:t>该项目资金投入情况：</w:t>
      </w:r>
      <w:r>
        <w:rPr>
          <w:rFonts w:hint="eastAsia"/>
          <w:lang w:val="en-US" w:eastAsia="zh-CN"/>
        </w:rPr>
        <w:t>根据《关于拨付市侨联“侨胞之家”室内设施资金的通知》（乌财行〔2023〕28</w:t>
      </w:r>
      <w:r>
        <w:rPr>
          <w:rFonts w:hint="eastAsia"/>
        </w:rPr>
        <w:t>号</w:t>
      </w:r>
      <w:r>
        <w:rPr>
          <w:rFonts w:hint="eastAsia"/>
          <w:lang w:eastAsia="zh-CN"/>
        </w:rPr>
        <w:t>）</w:t>
      </w:r>
      <w:r>
        <w:rPr>
          <w:rFonts w:hint="eastAsia"/>
        </w:rPr>
        <w:t>文件批准，项目系</w:t>
      </w:r>
      <w:r>
        <w:t>2023</w:t>
      </w:r>
      <w:r>
        <w:rPr>
          <w:rFonts w:hint="eastAsia"/>
        </w:rPr>
        <w:t>年本级资金，共安排预算</w:t>
      </w:r>
      <w:r>
        <w:rPr>
          <w:rFonts w:hint="eastAsia"/>
          <w:lang w:val="en-US" w:eastAsia="zh-CN"/>
        </w:rPr>
        <w:t>5.69</w:t>
      </w:r>
      <w:r>
        <w:rPr>
          <w:rFonts w:hint="eastAsia"/>
        </w:rPr>
        <w:t>万元，于202</w:t>
      </w:r>
      <w:r>
        <w:t>3</w:t>
      </w:r>
      <w:r>
        <w:rPr>
          <w:rFonts w:hint="eastAsia"/>
        </w:rPr>
        <w:t>年年中追加批复项目。</w:t>
      </w:r>
    </w:p>
    <w:p w14:paraId="661EA211">
      <w:pPr>
        <w:pageBreakBefore w:val="0"/>
        <w:kinsoku/>
        <w:wordWrap/>
        <w:overflowPunct/>
        <w:topLinePunct w:val="0"/>
        <w:autoSpaceDN/>
        <w:bidi w:val="0"/>
        <w:adjustRightInd/>
        <w:snapToGrid/>
        <w:spacing w:line="560" w:lineRule="exact"/>
        <w:textAlignment w:val="auto"/>
      </w:pPr>
      <w:r>
        <w:rPr>
          <w:rFonts w:hint="eastAsia"/>
        </w:rPr>
        <w:t>该项目资金使用情况：</w:t>
      </w:r>
      <w:r>
        <w:rPr>
          <w:rFonts w:hint="eastAsia"/>
          <w:lang w:val="en-US" w:eastAsia="zh-CN"/>
        </w:rPr>
        <w:t>该项目总预算5.69万元，资金投入包括采购书架及展示柜设计服务2.17万元、采购投影仪等设备1.75万元、购买会议室家具1.77万元，预算执行100%。</w:t>
      </w:r>
    </w:p>
    <w:p w14:paraId="4212F3AE">
      <w:pPr>
        <w:pStyle w:val="3"/>
        <w:pageBreakBefore w:val="0"/>
        <w:kinsoku/>
        <w:wordWrap/>
        <w:overflowPunct/>
        <w:topLinePunct w:val="0"/>
        <w:autoSpaceDN/>
        <w:bidi w:val="0"/>
        <w:adjustRightInd/>
        <w:snapToGrid/>
        <w:spacing w:line="560" w:lineRule="exact"/>
        <w:ind w:firstLine="643"/>
        <w:textAlignment w:val="auto"/>
        <w:rPr>
          <w:rFonts w:ascii="仿宋" w:hAnsi="仿宋" w:eastAsia="仿宋"/>
          <w:lang w:bidi="en-US"/>
        </w:rPr>
      </w:pPr>
      <w:bookmarkStart w:id="8" w:name="_Toc32553"/>
      <w:bookmarkStart w:id="9" w:name="_Toc67911603"/>
      <w:r>
        <w:rPr>
          <w:rFonts w:hint="eastAsia" w:ascii="仿宋" w:hAnsi="仿宋" w:eastAsia="仿宋"/>
          <w:lang w:bidi="en-US"/>
        </w:rPr>
        <w:t>（二）项目绩效目标：</w:t>
      </w:r>
      <w:bookmarkEnd w:id="8"/>
      <w:bookmarkEnd w:id="9"/>
    </w:p>
    <w:p w14:paraId="43D41F8F">
      <w:pPr>
        <w:pageBreakBefore w:val="0"/>
        <w:kinsoku/>
        <w:wordWrap/>
        <w:overflowPunct/>
        <w:topLinePunct w:val="0"/>
        <w:autoSpaceDN/>
        <w:bidi w:val="0"/>
        <w:adjustRightInd/>
        <w:snapToGrid/>
        <w:spacing w:line="560" w:lineRule="exact"/>
        <w:textAlignment w:val="auto"/>
      </w:pPr>
      <w:r>
        <w:rPr>
          <w:rFonts w:hint="eastAsia"/>
        </w:rPr>
        <w:t>本项目依据《中共中央 国务院关于全面实施预算绩效管理的意见》（中发〔2018〕</w:t>
      </w:r>
      <w:r>
        <w:t>34</w:t>
      </w:r>
      <w:r>
        <w:rPr>
          <w:rFonts w:hint="eastAsia"/>
        </w:rPr>
        <w:t>号）、《关于印发&lt;乌鲁木齐市本级部门预算绩效目标管理暂行办法</w:t>
      </w:r>
      <w:r>
        <w:t>&gt;</w:t>
      </w:r>
      <w:r>
        <w:rPr>
          <w:rFonts w:hint="eastAsia"/>
        </w:rPr>
        <w:t>的通知》（乌财预</w:t>
      </w:r>
      <w:bookmarkStart w:id="10" w:name="_Hlk67566397"/>
      <w:r>
        <w:rPr>
          <w:rFonts w:hint="eastAsia"/>
        </w:rPr>
        <w:t>〔2018〕</w:t>
      </w:r>
      <w:r>
        <w:t>5</w:t>
      </w:r>
      <w:r>
        <w:rPr>
          <w:rFonts w:hint="eastAsia"/>
        </w:rPr>
        <w:t>6号</w:t>
      </w:r>
      <w:bookmarkEnd w:id="10"/>
      <w:r>
        <w:rPr>
          <w:rFonts w:hint="eastAsia"/>
        </w:rPr>
        <w:t>）、《关于做好2</w:t>
      </w:r>
      <w:r>
        <w:t>019</w:t>
      </w:r>
      <w:r>
        <w:rPr>
          <w:rFonts w:hint="eastAsia"/>
        </w:rPr>
        <w:t>年部门预算项目支出绩效目标管理有关事宜的通知》（乌财预〔20</w:t>
      </w:r>
      <w:r>
        <w:t>18</w:t>
      </w:r>
      <w:r>
        <w:rPr>
          <w:rFonts w:hint="eastAsia"/>
        </w:rPr>
        <w:t>〕</w:t>
      </w:r>
      <w:r>
        <w:t>76</w:t>
      </w:r>
      <w:r>
        <w:rPr>
          <w:rFonts w:hint="eastAsia"/>
        </w:rPr>
        <w:t>号）和《项目支出绩效评价管理办法》（财预〔20</w:t>
      </w:r>
      <w:r>
        <w:t>20</w:t>
      </w:r>
      <w:r>
        <w:rPr>
          <w:rFonts w:hint="eastAsia"/>
        </w:rPr>
        <w:t>〕</w:t>
      </w:r>
      <w:r>
        <w:t>10</w:t>
      </w:r>
      <w:r>
        <w:rPr>
          <w:rFonts w:hint="eastAsia"/>
        </w:rPr>
        <w:t>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14:paraId="02E649C6">
      <w:pPr>
        <w:pageBreakBefore w:val="0"/>
        <w:kinsoku/>
        <w:wordWrap/>
        <w:overflowPunct/>
        <w:topLinePunct w:val="0"/>
        <w:autoSpaceDN/>
        <w:bidi w:val="0"/>
        <w:adjustRightInd/>
        <w:snapToGrid/>
        <w:spacing w:line="560" w:lineRule="exact"/>
        <w:textAlignment w:val="auto"/>
      </w:pPr>
      <w:r>
        <w:rPr>
          <w:rFonts w:hint="eastAsia"/>
        </w:rPr>
        <w:t>该项目为</w:t>
      </w:r>
      <w:r>
        <w:t>当年一次性项目。</w:t>
      </w:r>
    </w:p>
    <w:p w14:paraId="3106BC03">
      <w:pPr>
        <w:pageBreakBefore w:val="0"/>
        <w:kinsoku/>
        <w:wordWrap/>
        <w:overflowPunct/>
        <w:topLinePunct w:val="0"/>
        <w:autoSpaceDN/>
        <w:bidi w:val="0"/>
        <w:adjustRightInd/>
        <w:snapToGrid/>
        <w:spacing w:line="560" w:lineRule="exact"/>
        <w:textAlignment w:val="auto"/>
        <w:rPr>
          <w:rFonts w:hint="default"/>
          <w:lang w:val="en-US"/>
        </w:rPr>
      </w:pPr>
      <w:r>
        <w:rPr>
          <w:rFonts w:hint="eastAsia"/>
        </w:rPr>
        <w:t>该项目总体绩效目标：完成侨胞之家的室内设施的采购和支付工作</w:t>
      </w:r>
      <w:r>
        <w:rPr>
          <w:rFonts w:hint="eastAsia"/>
          <w:lang w:eastAsia="zh-CN"/>
        </w:rPr>
        <w:t>，</w:t>
      </w:r>
      <w:r>
        <w:rPr>
          <w:rFonts w:hint="eastAsia"/>
          <w:lang w:val="en-US" w:eastAsia="zh-CN"/>
        </w:rPr>
        <w:t>尽快投入使用；在“侨胞之家”举办侨界活动，增强与归侨侨眷的紧密联系。</w:t>
      </w:r>
    </w:p>
    <w:p w14:paraId="6583F53C">
      <w:pPr>
        <w:pStyle w:val="2"/>
        <w:pageBreakBefore w:val="0"/>
        <w:kinsoku/>
        <w:wordWrap/>
        <w:overflowPunct/>
        <w:topLinePunct w:val="0"/>
        <w:autoSpaceDN/>
        <w:bidi w:val="0"/>
        <w:adjustRightInd/>
        <w:snapToGrid/>
        <w:spacing w:line="560" w:lineRule="exact"/>
        <w:ind w:firstLine="0" w:firstLineChars="0"/>
        <w:jc w:val="left"/>
        <w:textAlignment w:val="auto"/>
        <w:rPr>
          <w:rFonts w:ascii="仿宋" w:hAnsi="仿宋" w:eastAsia="仿宋"/>
          <w:sz w:val="36"/>
          <w:szCs w:val="36"/>
          <w:lang w:bidi="en-US"/>
        </w:rPr>
      </w:pPr>
      <w:bookmarkStart w:id="11" w:name="_Toc9529"/>
      <w:bookmarkStart w:id="12" w:name="_Toc67911604"/>
      <w:bookmarkStart w:id="13" w:name="_Toc19293"/>
      <w:r>
        <w:rPr>
          <w:rFonts w:hint="eastAsia" w:ascii="仿宋" w:hAnsi="仿宋" w:eastAsia="仿宋"/>
          <w:sz w:val="36"/>
          <w:szCs w:val="36"/>
          <w:lang w:bidi="en-US"/>
        </w:rPr>
        <w:t>二、绩效评价工作开展情况</w:t>
      </w:r>
      <w:bookmarkEnd w:id="11"/>
      <w:bookmarkEnd w:id="12"/>
      <w:bookmarkEnd w:id="13"/>
    </w:p>
    <w:p w14:paraId="4D9F9F1D">
      <w:pPr>
        <w:pStyle w:val="3"/>
        <w:pageBreakBefore w:val="0"/>
        <w:kinsoku/>
        <w:wordWrap/>
        <w:overflowPunct/>
        <w:topLinePunct w:val="0"/>
        <w:autoSpaceDN/>
        <w:bidi w:val="0"/>
        <w:adjustRightInd/>
        <w:snapToGrid/>
        <w:spacing w:line="560" w:lineRule="exact"/>
        <w:ind w:firstLine="643"/>
        <w:textAlignment w:val="auto"/>
        <w:rPr>
          <w:rFonts w:ascii="仿宋" w:hAnsi="仿宋" w:eastAsia="仿宋"/>
          <w:lang w:bidi="en-US"/>
        </w:rPr>
      </w:pPr>
      <w:bookmarkStart w:id="14" w:name="_Toc10542"/>
      <w:bookmarkStart w:id="15" w:name="_Toc67911605"/>
      <w:r>
        <w:rPr>
          <w:rFonts w:hint="eastAsia" w:ascii="仿宋" w:hAnsi="仿宋" w:eastAsia="仿宋"/>
          <w:lang w:bidi="en-US"/>
        </w:rPr>
        <w:t>（一）绩效评价目的、对象和范围</w:t>
      </w:r>
      <w:bookmarkEnd w:id="14"/>
      <w:bookmarkEnd w:id="15"/>
    </w:p>
    <w:p w14:paraId="01E69DF0">
      <w:pPr>
        <w:pStyle w:val="4"/>
        <w:pageBreakBefore w:val="0"/>
        <w:kinsoku/>
        <w:wordWrap/>
        <w:overflowPunct/>
        <w:topLinePunct w:val="0"/>
        <w:autoSpaceDN/>
        <w:bidi w:val="0"/>
        <w:adjustRightInd/>
        <w:snapToGrid/>
        <w:spacing w:line="560" w:lineRule="exact"/>
        <w:ind w:firstLine="643"/>
        <w:textAlignment w:val="auto"/>
      </w:pPr>
      <w:bookmarkStart w:id="16" w:name="_Toc23885"/>
      <w:r>
        <w:rPr>
          <w:rFonts w:hint="eastAsia"/>
        </w:rPr>
        <w:t>1</w:t>
      </w:r>
      <w:r>
        <w:t>.绩效评价完整性</w:t>
      </w:r>
      <w:bookmarkEnd w:id="16"/>
    </w:p>
    <w:p w14:paraId="20BED1F5">
      <w:pPr>
        <w:rPr>
          <w:rFonts w:hint="eastAsia"/>
          <w:sz w:val="32"/>
          <w:szCs w:val="32"/>
          <w:highlight w:val="none"/>
          <w:lang w:val="en-US" w:eastAsia="zh-CN"/>
        </w:rPr>
      </w:pPr>
      <w:bookmarkStart w:id="17" w:name="_Toc22950"/>
      <w:r>
        <w:rPr>
          <w:rFonts w:hint="eastAsia"/>
          <w:sz w:val="32"/>
          <w:szCs w:val="32"/>
          <w:highlight w:val="none"/>
          <w:lang w:val="en-US" w:eastAsia="zh-CN"/>
        </w:rPr>
        <w:t>本项目主要目标是对乌鲁木齐市机关“侨胞之家”进行室内设施完善，以达到可以投入使用举办活动的目的，故设立“举办侨界活动次数”“置办家具数量”“服务侨众数量”“投入使用率”“设备采购完成及时率”衡量该项目的产出情况；为了严格资金管理避免超支，设立成本指标衡量项目实际成本与计划成本的偏差；项目设立的目的还包含更好地实现侨联的基本职能，故设立“增强与归侨侨眷的紧密联系”来衡量项目产生的效益情况；设立“归侨侨眷满意度”指标来衡量项目实际在群众中的反馈。</w:t>
      </w:r>
    </w:p>
    <w:p w14:paraId="70BB63A5">
      <w:pPr>
        <w:rPr>
          <w:rFonts w:hint="default"/>
          <w:sz w:val="28"/>
          <w:szCs w:val="21"/>
          <w:highlight w:val="none"/>
          <w:lang w:val="en-US" w:eastAsia="zh-CN"/>
        </w:rPr>
      </w:pPr>
      <w:r>
        <w:rPr>
          <w:rFonts w:hint="eastAsia"/>
          <w:sz w:val="32"/>
          <w:szCs w:val="32"/>
          <w:highlight w:val="none"/>
          <w:lang w:val="en-US" w:eastAsia="zh-CN"/>
        </w:rPr>
        <w:t>绩效评价数据主要来自与供应商签订的政采云合同、发票、活动简报、满意度调查问卷等，所有评价数据真实完整，具有参考性。</w:t>
      </w:r>
    </w:p>
    <w:p w14:paraId="01B5461E">
      <w:pPr>
        <w:pStyle w:val="4"/>
        <w:pageBreakBefore w:val="0"/>
        <w:kinsoku/>
        <w:wordWrap/>
        <w:overflowPunct/>
        <w:topLinePunct w:val="0"/>
        <w:autoSpaceDN/>
        <w:bidi w:val="0"/>
        <w:adjustRightInd/>
        <w:snapToGrid/>
        <w:spacing w:line="560" w:lineRule="exact"/>
        <w:ind w:firstLine="643"/>
        <w:textAlignment w:val="auto"/>
        <w:rPr>
          <w:highlight w:val="none"/>
        </w:rPr>
      </w:pPr>
      <w:r>
        <w:rPr>
          <w:highlight w:val="none"/>
        </w:rPr>
        <w:t>2</w:t>
      </w:r>
      <w:r>
        <w:rPr>
          <w:rFonts w:hint="eastAsia"/>
          <w:highlight w:val="none"/>
        </w:rPr>
        <w:t>.评价目的</w:t>
      </w:r>
      <w:bookmarkEnd w:id="17"/>
    </w:p>
    <w:p w14:paraId="5002653E">
      <w:pPr>
        <w:pageBreakBefore w:val="0"/>
        <w:kinsoku/>
        <w:wordWrap/>
        <w:overflowPunct/>
        <w:topLinePunct w:val="0"/>
        <w:autoSpaceDN/>
        <w:bidi w:val="0"/>
        <w:adjustRightInd/>
        <w:snapToGrid/>
        <w:spacing w:line="560" w:lineRule="exact"/>
        <w:ind w:firstLine="560"/>
        <w:textAlignment w:val="auto"/>
        <w:rPr>
          <w:rFonts w:ascii="仿宋_GB2312"/>
          <w:b/>
          <w:bCs/>
        </w:rPr>
      </w:pPr>
      <w:r>
        <w:rPr>
          <w:rFonts w:hint="eastAsia" w:ascii="仿宋_GB231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w:t>
      </w:r>
      <w:r>
        <w:rPr>
          <w:rFonts w:hint="eastAsia" w:ascii="仿宋_GB2312"/>
          <w:lang w:eastAsia="zh-CN"/>
        </w:rPr>
        <w:t>“</w:t>
      </w:r>
      <w:r>
        <w:rPr>
          <w:rFonts w:hint="eastAsia" w:ascii="仿宋_GB2312"/>
          <w:lang w:val="en-US" w:eastAsia="zh-CN"/>
        </w:rPr>
        <w:t>侨胞之家”采购室内设施项目的</w:t>
      </w:r>
      <w:r>
        <w:rPr>
          <w:rFonts w:hint="eastAsia" w:ascii="仿宋_GB2312"/>
        </w:rPr>
        <w:t>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14:paraId="1F41B087">
      <w:pPr>
        <w:pStyle w:val="4"/>
        <w:pageBreakBefore w:val="0"/>
        <w:kinsoku/>
        <w:wordWrap/>
        <w:overflowPunct/>
        <w:topLinePunct w:val="0"/>
        <w:autoSpaceDN/>
        <w:bidi w:val="0"/>
        <w:adjustRightInd/>
        <w:snapToGrid/>
        <w:spacing w:line="560" w:lineRule="exact"/>
        <w:ind w:firstLine="643"/>
        <w:textAlignment w:val="auto"/>
      </w:pPr>
      <w:bookmarkStart w:id="18" w:name="_Toc20590"/>
      <w:r>
        <w:t>3</w:t>
      </w:r>
      <w:r>
        <w:rPr>
          <w:rFonts w:hint="eastAsia"/>
        </w:rPr>
        <w:t>.评价对象</w:t>
      </w:r>
      <w:bookmarkEnd w:id="18"/>
    </w:p>
    <w:p w14:paraId="5C1E979D">
      <w:pPr>
        <w:pageBreakBefore w:val="0"/>
        <w:kinsoku/>
        <w:wordWrap/>
        <w:overflowPunct/>
        <w:topLinePunct w:val="0"/>
        <w:autoSpaceDN/>
        <w:bidi w:val="0"/>
        <w:adjustRightInd/>
        <w:snapToGrid/>
        <w:spacing w:line="560" w:lineRule="exact"/>
        <w:ind w:firstLine="560"/>
        <w:textAlignment w:val="auto"/>
        <w:rPr>
          <w:rFonts w:ascii="仿宋_GB2312"/>
        </w:rPr>
      </w:pPr>
      <w:r>
        <w:rPr>
          <w:rFonts w:hint="eastAsia" w:ascii="仿宋_GB2312"/>
        </w:rPr>
        <w:t>（1）绩效评价的对象：</w:t>
      </w:r>
      <w:r>
        <w:rPr>
          <w:rFonts w:hint="eastAsia" w:ascii="仿宋_GB2312"/>
          <w:lang w:eastAsia="zh-CN"/>
        </w:rPr>
        <w:t>“</w:t>
      </w:r>
      <w:r>
        <w:rPr>
          <w:rFonts w:hint="eastAsia" w:ascii="仿宋_GB2312"/>
          <w:lang w:val="en-US" w:eastAsia="zh-CN"/>
        </w:rPr>
        <w:t>侨胞之家”采购室内设施</w:t>
      </w:r>
      <w:r>
        <w:rPr>
          <w:rFonts w:hint="eastAsia" w:ascii="仿宋_GB2312"/>
        </w:rPr>
        <w:t>项目</w:t>
      </w:r>
      <w:r>
        <w:rPr>
          <w:rFonts w:ascii="仿宋_GB2312"/>
        </w:rPr>
        <w:t xml:space="preserve"> </w:t>
      </w:r>
    </w:p>
    <w:p w14:paraId="5A14D627">
      <w:pPr>
        <w:pStyle w:val="4"/>
        <w:pageBreakBefore w:val="0"/>
        <w:kinsoku/>
        <w:wordWrap/>
        <w:overflowPunct/>
        <w:topLinePunct w:val="0"/>
        <w:autoSpaceDN/>
        <w:bidi w:val="0"/>
        <w:adjustRightInd/>
        <w:snapToGrid/>
        <w:spacing w:line="560" w:lineRule="exact"/>
        <w:ind w:firstLine="643"/>
        <w:textAlignment w:val="auto"/>
      </w:pPr>
      <w:bookmarkStart w:id="19" w:name="_Toc18127"/>
      <w:r>
        <w:rPr>
          <w:rFonts w:hint="eastAsia"/>
        </w:rPr>
        <w:t>4</w:t>
      </w:r>
      <w:r>
        <w:t>.</w:t>
      </w:r>
      <w:r>
        <w:rPr>
          <w:rFonts w:hint="eastAsia"/>
        </w:rPr>
        <w:t>绩效评价范围</w:t>
      </w:r>
      <w:bookmarkEnd w:id="19"/>
    </w:p>
    <w:p w14:paraId="64354481">
      <w:pPr>
        <w:pageBreakBefore w:val="0"/>
        <w:kinsoku/>
        <w:wordWrap/>
        <w:overflowPunct/>
        <w:topLinePunct w:val="0"/>
        <w:autoSpaceDN/>
        <w:bidi w:val="0"/>
        <w:adjustRightInd/>
        <w:snapToGrid/>
        <w:spacing w:line="560" w:lineRule="exact"/>
        <w:ind w:firstLine="560"/>
        <w:textAlignment w:val="auto"/>
        <w:rPr>
          <w:rFonts w:ascii="仿宋_GB2312"/>
        </w:rPr>
      </w:pPr>
      <w:r>
        <w:rPr>
          <w:rFonts w:ascii="仿宋_GB2312"/>
        </w:rPr>
        <w:t>1.</w:t>
      </w:r>
      <w:r>
        <w:rPr>
          <w:rFonts w:hint="eastAsia" w:ascii="仿宋_GB2312"/>
        </w:rPr>
        <w:t>时间范围：2</w:t>
      </w:r>
      <w:r>
        <w:rPr>
          <w:rFonts w:ascii="仿宋_GB2312"/>
        </w:rPr>
        <w:t>023</w:t>
      </w:r>
      <w:r>
        <w:rPr>
          <w:rFonts w:hint="eastAsia" w:ascii="仿宋_GB2312"/>
        </w:rPr>
        <w:t>年1月1日至2</w:t>
      </w:r>
      <w:r>
        <w:rPr>
          <w:rFonts w:ascii="仿宋_GB2312"/>
        </w:rPr>
        <w:t>023</w:t>
      </w:r>
      <w:r>
        <w:rPr>
          <w:rFonts w:hint="eastAsia" w:ascii="仿宋_GB2312"/>
        </w:rPr>
        <w:t>年1</w:t>
      </w:r>
      <w:r>
        <w:rPr>
          <w:rFonts w:ascii="仿宋_GB2312"/>
        </w:rPr>
        <w:t>2</w:t>
      </w:r>
      <w:r>
        <w:rPr>
          <w:rFonts w:hint="eastAsia" w:ascii="仿宋_GB2312"/>
        </w:rPr>
        <w:t>月3</w:t>
      </w:r>
      <w:r>
        <w:rPr>
          <w:rFonts w:ascii="仿宋_GB2312"/>
        </w:rPr>
        <w:t>1</w:t>
      </w:r>
      <w:r>
        <w:rPr>
          <w:rFonts w:hint="eastAsia" w:ascii="仿宋_GB2312"/>
        </w:rPr>
        <w:t>日。</w:t>
      </w:r>
    </w:p>
    <w:p w14:paraId="3A92E7A9">
      <w:pPr>
        <w:bidi w:val="0"/>
        <w:rPr>
          <w:rFonts w:hint="eastAsia"/>
        </w:rPr>
      </w:pPr>
      <w:r>
        <w:rPr>
          <w:rFonts w:ascii="仿宋_GB2312"/>
        </w:rPr>
        <w:t>2.</w:t>
      </w:r>
      <w:r>
        <w:rPr>
          <w:rFonts w:hint="eastAsia" w:ascii="仿宋_GB2312"/>
        </w:rPr>
        <w:t>项目范围：乌鲁木齐市侨联机关“侨胞之家”经市委市政府批准建设，位于乌鲁木齐市委市政府第二联合办公楼7号楼1楼大厅，该</w:t>
      </w:r>
      <w:r>
        <w:rPr>
          <w:rFonts w:hint="eastAsia" w:ascii="仿宋_GB2312"/>
          <w:lang w:eastAsia="zh-CN"/>
        </w:rPr>
        <w:t>“</w:t>
      </w:r>
      <w:r>
        <w:rPr>
          <w:rFonts w:hint="eastAsia" w:ascii="仿宋_GB2312"/>
        </w:rPr>
        <w:t>侨胞之家</w:t>
      </w:r>
      <w:r>
        <w:rPr>
          <w:rFonts w:hint="eastAsia" w:ascii="仿宋_GB2312"/>
          <w:lang w:eastAsia="zh-CN"/>
        </w:rPr>
        <w:t>”</w:t>
      </w:r>
      <w:r>
        <w:rPr>
          <w:rFonts w:hint="eastAsia" w:ascii="仿宋_GB2312"/>
        </w:rPr>
        <w:t>的建立致力于让广大归侨侨眷更加紧密的团结在党的周围，为归侨侨眷搭建一个提升</w:t>
      </w:r>
      <w:r>
        <w:rPr>
          <w:rFonts w:hint="eastAsia"/>
        </w:rPr>
        <w:t>素质、提供服务、联谊交流的平台，同时也将开展侨法宣传、依法维护侨益的平台，但“侨胞之家”装修后室内设施一直没有配套资金购置，无法正常开展活动，故申请资金购置室内设施。</w:t>
      </w:r>
    </w:p>
    <w:p w14:paraId="0C7019F0">
      <w:pPr>
        <w:bidi w:val="0"/>
        <w:rPr>
          <w:rFonts w:hint="eastAsia"/>
        </w:rPr>
      </w:pPr>
      <w:r>
        <w:rPr>
          <w:rFonts w:hint="default"/>
          <w:lang w:val="en-US" w:eastAsia="zh-CN"/>
        </w:rPr>
        <w:t>本次评价秉承着科学公正，统筹兼顾，激励约束，公开透明的原则，建立绩效评价指标体系，本项目的绩效评价指标体系包括</w:t>
      </w:r>
      <w:r>
        <w:rPr>
          <w:rFonts w:hint="eastAsia"/>
          <w:lang w:val="en-US" w:eastAsia="zh-CN"/>
        </w:rPr>
        <w:t>5</w:t>
      </w:r>
      <w:r>
        <w:rPr>
          <w:rFonts w:hint="default"/>
          <w:lang w:val="en-US" w:eastAsia="zh-CN"/>
        </w:rPr>
        <w:t>个一级指标，11个二级指标和21个三级指标，评价方法主要采用</w:t>
      </w:r>
      <w:r>
        <w:rPr>
          <w:rFonts w:hint="eastAsia"/>
        </w:rPr>
        <w:t>比较法和公众评判法，对项目总预算和明细预算的内容、标准、计划是否经济合理进行深入分析，以考察实际产出和效益是否达到预期。</w:t>
      </w:r>
    </w:p>
    <w:p w14:paraId="6BBE3ED3">
      <w:pPr>
        <w:bidi w:val="0"/>
        <w:rPr>
          <w:rFonts w:hint="eastAsia"/>
          <w:lang w:val="en-US" w:eastAsia="zh-CN"/>
        </w:rPr>
      </w:pPr>
      <w:r>
        <w:rPr>
          <w:rFonts w:hint="eastAsia"/>
          <w:lang w:val="en-US" w:eastAsia="zh-CN"/>
        </w:rPr>
        <w:t>本项目于2023年3月完成了全部采购和支付工作，购买了宣传书架及展示柜的设计服务、投影仪及配套设备、会议用桌椅，室内设施配齐之后，在该“侨胞之家”举办侨界活动4次，置办家具数量大于10件；服务侨众数量超过200人，所有设施均投入使用；通过活动增强与归侨侨眷的紧密联系，通过问卷调查得知归侨侨眷满意度达100%。</w:t>
      </w:r>
    </w:p>
    <w:p w14:paraId="7D25FB7F">
      <w:pPr>
        <w:bidi w:val="0"/>
        <w:rPr>
          <w:rFonts w:hint="default"/>
          <w:lang w:val="en-US" w:eastAsia="zh-CN"/>
        </w:rPr>
      </w:pPr>
      <w:r>
        <w:rPr>
          <w:rFonts w:hint="eastAsia"/>
          <w:lang w:val="en-US" w:eastAsia="zh-CN"/>
        </w:rPr>
        <w:t>本项目按照项目管理的全过程开展，领导高度重视项目进度和流程管理，通过</w:t>
      </w:r>
      <w:r>
        <w:rPr>
          <w:rFonts w:hint="eastAsia"/>
        </w:rPr>
        <w:t>内控体系来保障项目的执行。</w:t>
      </w:r>
      <w:r>
        <w:rPr>
          <w:rFonts w:hint="eastAsia"/>
          <w:lang w:val="en-US" w:eastAsia="zh-CN"/>
        </w:rPr>
        <w:t>但项目执行过程中仍存在沟通不畅导致的效率低下等问题，需要加强沟通，提升工作效率，避免重复工作。</w:t>
      </w:r>
    </w:p>
    <w:p w14:paraId="729E87DB">
      <w:pPr>
        <w:bidi w:val="0"/>
        <w:rPr>
          <w:rFonts w:ascii="仿宋_GB2312"/>
        </w:rPr>
      </w:pPr>
      <w:r>
        <w:rPr>
          <w:rFonts w:hint="eastAsia"/>
        </w:rPr>
        <w:t>结合项目特点，通过数据采集、问卷调查及访谈等形式，对2</w:t>
      </w:r>
      <w:r>
        <w:t>023</w:t>
      </w:r>
      <w:r>
        <w:rPr>
          <w:rFonts w:hint="eastAsia"/>
        </w:rPr>
        <w:t>年</w:t>
      </w:r>
      <w:r>
        <w:rPr>
          <w:rFonts w:hint="eastAsia"/>
          <w:lang w:eastAsia="zh-CN"/>
        </w:rPr>
        <w:t>“</w:t>
      </w:r>
      <w:r>
        <w:rPr>
          <w:rFonts w:hint="eastAsia"/>
          <w:lang w:val="en-US" w:eastAsia="zh-CN"/>
        </w:rPr>
        <w:t>侨胞之家”采购室内设施</w:t>
      </w:r>
      <w:r>
        <w:rPr>
          <w:rFonts w:hint="eastAsia"/>
        </w:rPr>
        <w:t>项目进行客观评价，最终评分结果为：总分为</w:t>
      </w:r>
      <w:r>
        <w:rPr>
          <w:rFonts w:hint="eastAsia"/>
          <w:lang w:val="en-US" w:eastAsia="zh-CN"/>
        </w:rPr>
        <w:t>100</w:t>
      </w:r>
      <w:r>
        <w:rPr>
          <w:rFonts w:hint="eastAsia"/>
        </w:rPr>
        <w:t>分，绩效评级为“</w:t>
      </w:r>
      <w:r>
        <w:rPr>
          <w:rFonts w:hint="eastAsia"/>
          <w:lang w:val="en-US" w:eastAsia="zh-CN"/>
        </w:rPr>
        <w:t>优</w:t>
      </w:r>
      <w:r>
        <w:rPr>
          <w:rFonts w:hint="eastAsia"/>
        </w:rPr>
        <w:t>”</w:t>
      </w:r>
      <w:r>
        <w:rPr>
          <w:rFonts w:hint="eastAsia"/>
          <w:lang w:eastAsia="zh-CN"/>
        </w:rPr>
        <w:t>。</w:t>
      </w:r>
    </w:p>
    <w:p w14:paraId="5CC6484D">
      <w:pPr>
        <w:pStyle w:val="3"/>
        <w:pageBreakBefore w:val="0"/>
        <w:kinsoku/>
        <w:wordWrap/>
        <w:overflowPunct/>
        <w:topLinePunct w:val="0"/>
        <w:autoSpaceDN/>
        <w:bidi w:val="0"/>
        <w:adjustRightInd/>
        <w:snapToGrid/>
        <w:spacing w:line="560" w:lineRule="exact"/>
        <w:ind w:firstLine="643"/>
        <w:textAlignment w:val="auto"/>
        <w:rPr>
          <w:rFonts w:ascii="仿宋" w:hAnsi="仿宋" w:eastAsia="仿宋"/>
          <w:lang w:bidi="en-US"/>
        </w:rPr>
      </w:pPr>
      <w:bookmarkStart w:id="20" w:name="_Toc67911606"/>
      <w:bookmarkStart w:id="21" w:name="_Toc14574"/>
      <w:bookmarkStart w:id="22" w:name="_Hlk67586765"/>
      <w:r>
        <w:rPr>
          <w:rFonts w:hint="eastAsia" w:ascii="仿宋" w:hAnsi="仿宋" w:eastAsia="仿宋"/>
          <w:lang w:bidi="en-US"/>
        </w:rPr>
        <w:t>（二）绩效评价原则、指标体系、方法及标准</w:t>
      </w:r>
      <w:bookmarkEnd w:id="20"/>
      <w:bookmarkEnd w:id="21"/>
    </w:p>
    <w:bookmarkEnd w:id="22"/>
    <w:p w14:paraId="1B8D8D21">
      <w:pPr>
        <w:pStyle w:val="4"/>
        <w:pageBreakBefore w:val="0"/>
        <w:kinsoku/>
        <w:wordWrap/>
        <w:overflowPunct/>
        <w:topLinePunct w:val="0"/>
        <w:autoSpaceDN/>
        <w:bidi w:val="0"/>
        <w:adjustRightInd/>
        <w:snapToGrid/>
        <w:spacing w:line="560" w:lineRule="exact"/>
        <w:ind w:firstLine="643"/>
        <w:textAlignment w:val="auto"/>
      </w:pPr>
      <w:bookmarkStart w:id="23" w:name="_Toc29310"/>
      <w:r>
        <w:rPr>
          <w:rFonts w:hint="eastAsia"/>
        </w:rPr>
        <w:t>1</w:t>
      </w:r>
      <w:r>
        <w:t>.</w:t>
      </w:r>
      <w:r>
        <w:rPr>
          <w:rFonts w:hint="eastAsia"/>
        </w:rPr>
        <w:t>评价原则</w:t>
      </w:r>
      <w:bookmarkEnd w:id="23"/>
    </w:p>
    <w:p w14:paraId="505CD433">
      <w:pPr>
        <w:pageBreakBefore w:val="0"/>
        <w:kinsoku/>
        <w:wordWrap/>
        <w:overflowPunct/>
        <w:topLinePunct w:val="0"/>
        <w:autoSpaceDN/>
        <w:bidi w:val="0"/>
        <w:adjustRightInd/>
        <w:snapToGrid/>
        <w:spacing w:line="560" w:lineRule="exact"/>
        <w:ind w:firstLine="640"/>
        <w:textAlignment w:val="auto"/>
        <w:rPr>
          <w:rFonts w:ascii="仿宋_GB2312"/>
          <w:bCs/>
          <w:sz w:val="32"/>
          <w:szCs w:val="32"/>
        </w:rPr>
      </w:pPr>
      <w:r>
        <w:rPr>
          <w:rFonts w:hint="eastAsia" w:ascii="仿宋_GB2312"/>
          <w:bCs/>
          <w:sz w:val="32"/>
          <w:szCs w:val="32"/>
        </w:rPr>
        <w:t>（一）科学公正。绩效评价应当运用科学合理的方法，按照规范的程序，对项目绩效进行客观、公正的反映。</w:t>
      </w:r>
    </w:p>
    <w:p w14:paraId="6BA5D597">
      <w:pPr>
        <w:pageBreakBefore w:val="0"/>
        <w:kinsoku/>
        <w:wordWrap/>
        <w:overflowPunct/>
        <w:topLinePunct w:val="0"/>
        <w:autoSpaceDN/>
        <w:bidi w:val="0"/>
        <w:adjustRightInd/>
        <w:snapToGrid/>
        <w:spacing w:line="560" w:lineRule="exact"/>
        <w:ind w:firstLine="640"/>
        <w:textAlignment w:val="auto"/>
        <w:rPr>
          <w:rFonts w:ascii="仿宋_GB2312"/>
          <w:bCs/>
          <w:sz w:val="32"/>
          <w:szCs w:val="32"/>
        </w:rPr>
      </w:pPr>
      <w:r>
        <w:rPr>
          <w:rFonts w:hint="eastAsia" w:ascii="仿宋_GB2312"/>
          <w:bCs/>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p>
    <w:p w14:paraId="4B463586">
      <w:pPr>
        <w:pageBreakBefore w:val="0"/>
        <w:kinsoku/>
        <w:wordWrap/>
        <w:overflowPunct/>
        <w:topLinePunct w:val="0"/>
        <w:autoSpaceDN/>
        <w:bidi w:val="0"/>
        <w:adjustRightInd/>
        <w:snapToGrid/>
        <w:spacing w:line="560" w:lineRule="exact"/>
        <w:ind w:firstLine="640"/>
        <w:textAlignment w:val="auto"/>
        <w:rPr>
          <w:rFonts w:ascii="仿宋_GB2312"/>
          <w:bCs/>
          <w:sz w:val="32"/>
          <w:szCs w:val="32"/>
        </w:rPr>
      </w:pPr>
      <w:r>
        <w:rPr>
          <w:rFonts w:hint="eastAsia" w:ascii="仿宋_GB2312"/>
          <w:bCs/>
          <w:sz w:val="32"/>
          <w:szCs w:val="32"/>
        </w:rPr>
        <w:t>（三）激励约束。绩效评价结果应与预算安排、政策调整、改进管理实质性挂钩，体现奖优罚劣和激励相容导向，有效要安排、低效要压减、无效要问责。</w:t>
      </w:r>
    </w:p>
    <w:p w14:paraId="57791371">
      <w:pPr>
        <w:pageBreakBefore w:val="0"/>
        <w:kinsoku/>
        <w:wordWrap/>
        <w:overflowPunct/>
        <w:topLinePunct w:val="0"/>
        <w:autoSpaceDN/>
        <w:bidi w:val="0"/>
        <w:adjustRightInd/>
        <w:snapToGrid/>
        <w:spacing w:line="560" w:lineRule="exact"/>
        <w:ind w:firstLine="640"/>
        <w:textAlignment w:val="auto"/>
        <w:rPr>
          <w:rFonts w:ascii="仿宋_GB2312"/>
          <w:bCs/>
          <w:sz w:val="32"/>
          <w:szCs w:val="32"/>
        </w:rPr>
      </w:pPr>
      <w:r>
        <w:rPr>
          <w:rFonts w:hint="eastAsia" w:ascii="仿宋_GB2312"/>
          <w:bCs/>
          <w:sz w:val="32"/>
          <w:szCs w:val="32"/>
        </w:rPr>
        <w:t>（四）公开透明。绩效评价结果应依法依规公开，并自觉接受社会监督。</w:t>
      </w:r>
    </w:p>
    <w:p w14:paraId="25E50DD1">
      <w:pPr>
        <w:pStyle w:val="4"/>
        <w:pageBreakBefore w:val="0"/>
        <w:kinsoku/>
        <w:wordWrap/>
        <w:overflowPunct/>
        <w:topLinePunct w:val="0"/>
        <w:autoSpaceDN/>
        <w:bidi w:val="0"/>
        <w:adjustRightInd/>
        <w:snapToGrid/>
        <w:spacing w:line="560" w:lineRule="exact"/>
        <w:ind w:firstLine="643"/>
        <w:textAlignment w:val="auto"/>
      </w:pPr>
      <w:bookmarkStart w:id="24" w:name="_Toc9968"/>
      <w:r>
        <w:t>2.</w:t>
      </w:r>
      <w:r>
        <w:rPr>
          <w:rFonts w:hint="eastAsia"/>
        </w:rPr>
        <w:t>评价指标体系</w:t>
      </w:r>
      <w:bookmarkEnd w:id="24"/>
    </w:p>
    <w:p w14:paraId="21A23F6B">
      <w:pPr>
        <w:pageBreakBefore w:val="0"/>
        <w:kinsoku/>
        <w:wordWrap/>
        <w:overflowPunct/>
        <w:topLinePunct w:val="0"/>
        <w:autoSpaceDN/>
        <w:bidi w:val="0"/>
        <w:adjustRightInd/>
        <w:snapToGrid/>
        <w:spacing w:line="560" w:lineRule="exact"/>
        <w:ind w:firstLine="560"/>
        <w:textAlignment w:val="auto"/>
        <w:rPr>
          <w:rFonts w:ascii="仿宋_GB2312"/>
        </w:rPr>
      </w:pPr>
      <w:r>
        <w:rPr>
          <w:rFonts w:hint="eastAsia" w:ascii="仿宋_GB2312"/>
        </w:rPr>
        <w:t>绩效评价指标体系作为衡量绩效目标实现程度的考核工具，一般遵循以下原则：</w:t>
      </w:r>
    </w:p>
    <w:p w14:paraId="322094C8">
      <w:pPr>
        <w:pageBreakBefore w:val="0"/>
        <w:kinsoku/>
        <w:wordWrap/>
        <w:overflowPunct/>
        <w:topLinePunct w:val="0"/>
        <w:autoSpaceDN/>
        <w:bidi w:val="0"/>
        <w:adjustRightInd/>
        <w:snapToGrid/>
        <w:spacing w:line="560" w:lineRule="exact"/>
        <w:ind w:firstLine="560"/>
        <w:textAlignment w:val="auto"/>
        <w:rPr>
          <w:rFonts w:ascii="仿宋_GB2312"/>
        </w:rPr>
      </w:pPr>
      <w:r>
        <w:rPr>
          <w:rFonts w:hint="eastAsia" w:ascii="仿宋_GB2312"/>
        </w:rPr>
        <w:t>（1）相关性原则：绩效评价指标应当与绩效目标有直接的联系，能够恰当反映目标的实现程度。</w:t>
      </w:r>
    </w:p>
    <w:p w14:paraId="6D0AB31F">
      <w:pPr>
        <w:pageBreakBefore w:val="0"/>
        <w:kinsoku/>
        <w:wordWrap/>
        <w:overflowPunct/>
        <w:topLinePunct w:val="0"/>
        <w:autoSpaceDN/>
        <w:bidi w:val="0"/>
        <w:adjustRightInd/>
        <w:snapToGrid/>
        <w:spacing w:line="560" w:lineRule="exact"/>
        <w:ind w:firstLine="560"/>
        <w:textAlignment w:val="auto"/>
        <w:rPr>
          <w:rFonts w:ascii="仿宋_GB2312"/>
        </w:rPr>
      </w:pPr>
      <w:r>
        <w:rPr>
          <w:rFonts w:hint="eastAsia" w:ascii="仿宋_GB2312"/>
        </w:rPr>
        <w:t>（2）重要性原则：应当优先使用最具评价对象代表性、最能反映评价要求的核心指标。</w:t>
      </w:r>
    </w:p>
    <w:p w14:paraId="3F5D5C96">
      <w:pPr>
        <w:pageBreakBefore w:val="0"/>
        <w:kinsoku/>
        <w:wordWrap/>
        <w:overflowPunct/>
        <w:topLinePunct w:val="0"/>
        <w:autoSpaceDN/>
        <w:bidi w:val="0"/>
        <w:adjustRightInd/>
        <w:snapToGrid/>
        <w:spacing w:line="560" w:lineRule="exact"/>
        <w:ind w:firstLine="560"/>
        <w:textAlignment w:val="auto"/>
        <w:rPr>
          <w:rFonts w:ascii="仿宋_GB2312"/>
        </w:rPr>
      </w:pPr>
      <w:r>
        <w:rPr>
          <w:rFonts w:hint="eastAsia" w:ascii="仿宋_GB2312"/>
        </w:rPr>
        <w:t>（3）可比性原则：对同类评价对象要设定共性的绩效评价指标，以便于评价结果可以相互比较。</w:t>
      </w:r>
    </w:p>
    <w:p w14:paraId="7E330F81">
      <w:pPr>
        <w:pageBreakBefore w:val="0"/>
        <w:kinsoku/>
        <w:wordWrap/>
        <w:overflowPunct/>
        <w:topLinePunct w:val="0"/>
        <w:autoSpaceDN/>
        <w:bidi w:val="0"/>
        <w:adjustRightInd/>
        <w:snapToGrid/>
        <w:spacing w:line="560" w:lineRule="exact"/>
        <w:ind w:firstLine="560"/>
        <w:textAlignment w:val="auto"/>
        <w:rPr>
          <w:rFonts w:ascii="仿宋_GB2312"/>
        </w:rPr>
      </w:pPr>
      <w:r>
        <w:rPr>
          <w:rFonts w:hint="eastAsia" w:ascii="仿宋_GB2312"/>
        </w:rPr>
        <w:t>（4）系统性原则：绩效评价指标的设置应当将定量指标与定性指标相结合，能系统反映财政支出所产生的社会效益、经济效益和可持续影响等。</w:t>
      </w:r>
    </w:p>
    <w:p w14:paraId="1272E542">
      <w:pPr>
        <w:pageBreakBefore w:val="0"/>
        <w:kinsoku/>
        <w:wordWrap/>
        <w:overflowPunct/>
        <w:topLinePunct w:val="0"/>
        <w:autoSpaceDN/>
        <w:bidi w:val="0"/>
        <w:adjustRightInd/>
        <w:snapToGrid/>
        <w:spacing w:line="560" w:lineRule="exact"/>
        <w:ind w:firstLine="560"/>
        <w:textAlignment w:val="auto"/>
        <w:rPr>
          <w:rFonts w:ascii="仿宋_GB2312"/>
        </w:rPr>
      </w:pPr>
      <w:r>
        <w:rPr>
          <w:rFonts w:hint="eastAsia" w:ascii="仿宋_GB2312"/>
        </w:rPr>
        <w:t>（5）经济性原则：绩效评价指标设计应当通俗易懂、简便易行，数据的获得应当考虑现实条件和可操作性，符合成本效益原则。</w:t>
      </w:r>
    </w:p>
    <w:p w14:paraId="2C67641E">
      <w:pPr>
        <w:pageBreakBefore w:val="0"/>
        <w:kinsoku/>
        <w:wordWrap/>
        <w:overflowPunct/>
        <w:topLinePunct w:val="0"/>
        <w:autoSpaceDN/>
        <w:bidi w:val="0"/>
        <w:adjustRightInd/>
        <w:snapToGrid/>
        <w:spacing w:line="560" w:lineRule="exact"/>
        <w:ind w:firstLine="560"/>
        <w:textAlignment w:val="auto"/>
        <w:rPr>
          <w:rFonts w:ascii="仿宋_GB2312"/>
          <w:highlight w:val="none"/>
        </w:rPr>
      </w:pPr>
      <w:r>
        <w:rPr>
          <w:rFonts w:hint="eastAsia" w:ascii="仿宋_GB2312"/>
          <w:highlight w:val="none"/>
        </w:rPr>
        <w:t>本项目的评价指标体系建立如下表所示。</w:t>
      </w:r>
    </w:p>
    <w:p w14:paraId="615B953A">
      <w:pPr>
        <w:pageBreakBefore w:val="0"/>
        <w:kinsoku/>
        <w:wordWrap/>
        <w:overflowPunct/>
        <w:topLinePunct w:val="0"/>
        <w:autoSpaceDN/>
        <w:bidi w:val="0"/>
        <w:adjustRightInd/>
        <w:snapToGrid/>
        <w:spacing w:line="560" w:lineRule="exact"/>
        <w:ind w:firstLine="560"/>
        <w:textAlignment w:val="auto"/>
        <w:rPr>
          <w:rFonts w:ascii="仿宋_GB2312"/>
        </w:rPr>
      </w:pPr>
    </w:p>
    <w:p w14:paraId="1EAC242E">
      <w:pPr>
        <w:pageBreakBefore w:val="0"/>
        <w:kinsoku/>
        <w:wordWrap/>
        <w:overflowPunct/>
        <w:topLinePunct w:val="0"/>
        <w:autoSpaceDN/>
        <w:bidi w:val="0"/>
        <w:adjustRightInd/>
        <w:snapToGrid/>
        <w:spacing w:line="560" w:lineRule="exact"/>
        <w:ind w:firstLine="560"/>
        <w:textAlignment w:val="auto"/>
        <w:rPr>
          <w:rFonts w:ascii="仿宋_GB2312"/>
        </w:rPr>
      </w:pPr>
    </w:p>
    <w:p w14:paraId="5D4F2913">
      <w:pPr>
        <w:pageBreakBefore w:val="0"/>
        <w:kinsoku/>
        <w:wordWrap/>
        <w:overflowPunct/>
        <w:topLinePunct w:val="0"/>
        <w:autoSpaceDN/>
        <w:bidi w:val="0"/>
        <w:adjustRightInd/>
        <w:snapToGrid/>
        <w:spacing w:line="560" w:lineRule="exact"/>
        <w:ind w:firstLine="560"/>
        <w:textAlignment w:val="auto"/>
        <w:rPr>
          <w:rFonts w:ascii="仿宋_GB2312"/>
        </w:rPr>
        <w:sectPr>
          <w:footerReference r:id="rId7" w:type="default"/>
          <w:footnotePr>
            <w:numFmt w:val="decimalEnclosedCircleChinese"/>
          </w:footnotePr>
          <w:pgSz w:w="11906" w:h="16838"/>
          <w:pgMar w:top="1440" w:right="1800" w:bottom="1440" w:left="1800" w:header="992" w:footer="992" w:gutter="0"/>
          <w:pgNumType w:fmt="decimal" w:start="1"/>
          <w:cols w:space="425" w:num="1"/>
          <w:docGrid w:type="lines" w:linePitch="381" w:charSpace="0"/>
        </w:sectPr>
      </w:pPr>
    </w:p>
    <w:p w14:paraId="2D8C2206">
      <w:pPr>
        <w:pageBreakBefore w:val="0"/>
        <w:kinsoku/>
        <w:wordWrap/>
        <w:overflowPunct/>
        <w:topLinePunct w:val="0"/>
        <w:autoSpaceDN/>
        <w:bidi w:val="0"/>
        <w:adjustRightInd/>
        <w:snapToGrid/>
        <w:spacing w:line="560" w:lineRule="exact"/>
        <w:ind w:firstLine="0" w:firstLineChars="0"/>
        <w:jc w:val="center"/>
        <w:textAlignment w:val="auto"/>
        <w:rPr>
          <w:rFonts w:ascii="仿宋_GB2312"/>
          <w:b/>
          <w:bCs/>
        </w:rPr>
      </w:pPr>
    </w:p>
    <w:p w14:paraId="23705CB0">
      <w:pPr>
        <w:pageBreakBefore w:val="0"/>
        <w:kinsoku/>
        <w:wordWrap/>
        <w:overflowPunct/>
        <w:topLinePunct w:val="0"/>
        <w:autoSpaceDN/>
        <w:bidi w:val="0"/>
        <w:adjustRightInd/>
        <w:snapToGrid/>
        <w:spacing w:line="560" w:lineRule="exact"/>
        <w:ind w:firstLine="0" w:firstLineChars="0"/>
        <w:jc w:val="center"/>
        <w:textAlignment w:val="auto"/>
        <w:rPr>
          <w:rFonts w:ascii="仿宋_GB2312"/>
          <w:b/>
          <w:bCs/>
        </w:rPr>
      </w:pPr>
      <w:r>
        <w:rPr>
          <w:rFonts w:ascii="仿宋_GB2312"/>
          <w:b/>
          <w:bCs/>
        </w:rPr>
        <w:t xml:space="preserve">  </w:t>
      </w:r>
      <w:r>
        <w:rPr>
          <w:rFonts w:hint="eastAsia" w:ascii="仿宋_GB2312"/>
          <w:b/>
          <w:bCs/>
        </w:rPr>
        <w:t>项目支出绩效评价指标体系</w:t>
      </w:r>
    </w:p>
    <w:tbl>
      <w:tblPr>
        <w:tblStyle w:val="17"/>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7"/>
        <w:gridCol w:w="1201"/>
        <w:gridCol w:w="1413"/>
        <w:gridCol w:w="2794"/>
        <w:gridCol w:w="7354"/>
      </w:tblGrid>
      <w:tr w14:paraId="5DCE77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69" w:hRule="atLeast"/>
          <w:tblHeader/>
          <w:jc w:val="center"/>
        </w:trPr>
        <w:tc>
          <w:tcPr>
            <w:tcW w:w="1157" w:type="dxa"/>
            <w:tcBorders>
              <w:tl2br w:val="nil"/>
              <w:tr2bl w:val="nil"/>
            </w:tcBorders>
            <w:shd w:val="clear" w:color="auto" w:fill="D0CECE" w:themeFill="background2" w:themeFillShade="E6"/>
            <w:vAlign w:val="center"/>
          </w:tcPr>
          <w:p w14:paraId="78BECFC1">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201" w:type="dxa"/>
            <w:tcBorders>
              <w:tl2br w:val="nil"/>
              <w:tr2bl w:val="nil"/>
            </w:tcBorders>
            <w:shd w:val="clear" w:color="auto" w:fill="D0CECE" w:themeFill="background2" w:themeFillShade="E6"/>
            <w:vAlign w:val="center"/>
          </w:tcPr>
          <w:p w14:paraId="1BF4EAFE">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413" w:type="dxa"/>
            <w:tcBorders>
              <w:tl2br w:val="nil"/>
              <w:tr2bl w:val="nil"/>
            </w:tcBorders>
            <w:shd w:val="clear" w:color="auto" w:fill="D0CECE" w:themeFill="background2" w:themeFillShade="E6"/>
            <w:vAlign w:val="center"/>
          </w:tcPr>
          <w:p w14:paraId="574101F4">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2794" w:type="dxa"/>
            <w:tcBorders>
              <w:tl2br w:val="nil"/>
              <w:tr2bl w:val="nil"/>
            </w:tcBorders>
            <w:shd w:val="clear" w:color="auto" w:fill="D0CECE" w:themeFill="background2" w:themeFillShade="E6"/>
            <w:vAlign w:val="center"/>
          </w:tcPr>
          <w:p w14:paraId="0F63C6A8">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7354" w:type="dxa"/>
            <w:tcBorders>
              <w:tl2br w:val="nil"/>
              <w:tr2bl w:val="nil"/>
            </w:tcBorders>
            <w:shd w:val="clear" w:color="auto" w:fill="D0CECE" w:themeFill="background2" w:themeFillShade="E6"/>
            <w:vAlign w:val="center"/>
          </w:tcPr>
          <w:p w14:paraId="0B43B06A">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b/>
                <w:bCs/>
                <w:color w:val="000000"/>
                <w:kern w:val="0"/>
                <w:sz w:val="22"/>
              </w:rPr>
            </w:pPr>
            <w:r>
              <w:rPr>
                <w:rFonts w:hint="eastAsia" w:ascii="宋体" w:hAnsi="宋体" w:eastAsia="宋体" w:cs="宋体"/>
                <w:b/>
                <w:bCs/>
                <w:color w:val="000000"/>
                <w:kern w:val="0"/>
                <w:sz w:val="22"/>
              </w:rPr>
              <w:t>指标说明</w:t>
            </w:r>
          </w:p>
        </w:tc>
      </w:tr>
      <w:tr w14:paraId="5F3F28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701" w:hRule="atLeast"/>
          <w:jc w:val="center"/>
        </w:trPr>
        <w:tc>
          <w:tcPr>
            <w:tcW w:w="1157" w:type="dxa"/>
            <w:vMerge w:val="restart"/>
            <w:tcBorders>
              <w:tl2br w:val="nil"/>
              <w:tr2bl w:val="nil"/>
            </w:tcBorders>
            <w:shd w:val="clear" w:color="auto" w:fill="FFFFFF"/>
            <w:vAlign w:val="center"/>
          </w:tcPr>
          <w:p w14:paraId="3AC25586">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决策</w:t>
            </w:r>
          </w:p>
        </w:tc>
        <w:tc>
          <w:tcPr>
            <w:tcW w:w="1201" w:type="dxa"/>
            <w:vMerge w:val="restart"/>
            <w:tcBorders>
              <w:tl2br w:val="nil"/>
              <w:tr2bl w:val="nil"/>
            </w:tcBorders>
            <w:shd w:val="clear" w:color="auto" w:fill="FFFFFF"/>
            <w:vAlign w:val="center"/>
          </w:tcPr>
          <w:p w14:paraId="3F171297">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项目立项</w:t>
            </w:r>
          </w:p>
        </w:tc>
        <w:tc>
          <w:tcPr>
            <w:tcW w:w="1413" w:type="dxa"/>
            <w:tcBorders>
              <w:tl2br w:val="nil"/>
              <w:tr2bl w:val="nil"/>
            </w:tcBorders>
            <w:shd w:val="clear" w:color="auto" w:fill="FFFFFF"/>
            <w:vAlign w:val="center"/>
          </w:tcPr>
          <w:p w14:paraId="2F52013C">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立项依据</w:t>
            </w:r>
          </w:p>
          <w:p w14:paraId="24FF4089">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充分性</w:t>
            </w:r>
          </w:p>
        </w:tc>
        <w:tc>
          <w:tcPr>
            <w:tcW w:w="2794" w:type="dxa"/>
            <w:tcBorders>
              <w:tl2br w:val="nil"/>
              <w:tr2bl w:val="nil"/>
            </w:tcBorders>
            <w:shd w:val="clear" w:color="auto" w:fill="FFFFFF"/>
            <w:vAlign w:val="center"/>
          </w:tcPr>
          <w:p w14:paraId="2B48F41B">
            <w:pPr>
              <w:pageBreakBefore w:val="0"/>
              <w:widowControl/>
              <w:kinsoku/>
              <w:wordWrap/>
              <w:overflowPunct/>
              <w:topLinePunct w:val="0"/>
              <w:autoSpaceDN/>
              <w:bidi w:val="0"/>
              <w:adjustRightInd/>
              <w:snapToGrid/>
              <w:spacing w:line="560" w:lineRule="exact"/>
              <w:ind w:firstLine="0" w:firstLineChars="0"/>
              <w:textAlignment w:val="auto"/>
              <w:rPr>
                <w:rFonts w:ascii="宋体" w:hAnsi="宋体" w:eastAsia="宋体" w:cs="宋体"/>
                <w:color w:val="000000"/>
                <w:kern w:val="0"/>
                <w:sz w:val="22"/>
              </w:rPr>
            </w:pPr>
            <w:r>
              <w:rPr>
                <w:rFonts w:hint="eastAsia" w:ascii="宋体" w:hAnsi="宋体" w:eastAsia="宋体" w:cs="宋体"/>
                <w:color w:val="000000"/>
                <w:kern w:val="0"/>
                <w:sz w:val="22"/>
              </w:rPr>
              <w:t>项目立项是否符合法律法规、相关政策、发展规划以及部门职责，用以反映和考核项目立项依据情况。</w:t>
            </w:r>
          </w:p>
        </w:tc>
        <w:tc>
          <w:tcPr>
            <w:tcW w:w="7354" w:type="dxa"/>
            <w:tcBorders>
              <w:tl2br w:val="nil"/>
              <w:tr2bl w:val="nil"/>
            </w:tcBorders>
            <w:shd w:val="clear" w:color="auto" w:fill="FFFFFF"/>
            <w:vAlign w:val="center"/>
          </w:tcPr>
          <w:p w14:paraId="024177E0">
            <w:pPr>
              <w:pageBreakBefore w:val="0"/>
              <w:widowControl/>
              <w:kinsoku/>
              <w:wordWrap/>
              <w:overflowPunct/>
              <w:topLinePunct w:val="0"/>
              <w:autoSpaceDN/>
              <w:bidi w:val="0"/>
              <w:adjustRightInd/>
              <w:snapToGrid/>
              <w:spacing w:line="560" w:lineRule="exact"/>
              <w:ind w:firstLine="0" w:firstLineChars="0"/>
              <w:jc w:val="left"/>
              <w:textAlignment w:val="auto"/>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①项目立项是否符合国家法律法规、国民经济发展规划和相关政策；</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②项目立项是否符合行业发展规划和政策要求；</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③项目立项是否与部门职责范围相符，属于部门履职所需；</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④项目是否属于公共财政支持范围，是否符合中央、地方事权支出责任划分原则；</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⑤项目是否与相关部门同类项目或部门内部相关项目重复。</w:t>
            </w:r>
          </w:p>
        </w:tc>
      </w:tr>
      <w:tr w14:paraId="545526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97" w:hRule="atLeast"/>
          <w:jc w:val="center"/>
        </w:trPr>
        <w:tc>
          <w:tcPr>
            <w:tcW w:w="1157" w:type="dxa"/>
            <w:vMerge w:val="continue"/>
            <w:tcBorders>
              <w:tl2br w:val="nil"/>
              <w:tr2bl w:val="nil"/>
            </w:tcBorders>
            <w:shd w:val="clear" w:color="auto" w:fill="FFFFFF"/>
            <w:vAlign w:val="center"/>
          </w:tcPr>
          <w:p w14:paraId="734ED248">
            <w:pPr>
              <w:pageBreakBefore w:val="0"/>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rPr>
            </w:pPr>
          </w:p>
        </w:tc>
        <w:tc>
          <w:tcPr>
            <w:tcW w:w="1201" w:type="dxa"/>
            <w:vMerge w:val="continue"/>
            <w:tcBorders>
              <w:tl2br w:val="nil"/>
              <w:tr2bl w:val="nil"/>
            </w:tcBorders>
            <w:shd w:val="clear" w:color="auto" w:fill="FFFFFF"/>
            <w:vAlign w:val="center"/>
          </w:tcPr>
          <w:p w14:paraId="04C49CCF">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rPr>
            </w:pPr>
          </w:p>
        </w:tc>
        <w:tc>
          <w:tcPr>
            <w:tcW w:w="1413" w:type="dxa"/>
            <w:tcBorders>
              <w:tl2br w:val="nil"/>
              <w:tr2bl w:val="nil"/>
            </w:tcBorders>
            <w:shd w:val="clear" w:color="auto" w:fill="FFFFFF"/>
            <w:vAlign w:val="center"/>
          </w:tcPr>
          <w:p w14:paraId="73C8A695">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立项程序</w:t>
            </w:r>
          </w:p>
          <w:p w14:paraId="576464BC">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规范性</w:t>
            </w:r>
          </w:p>
        </w:tc>
        <w:tc>
          <w:tcPr>
            <w:tcW w:w="2794" w:type="dxa"/>
            <w:tcBorders>
              <w:tl2br w:val="nil"/>
              <w:tr2bl w:val="nil"/>
            </w:tcBorders>
            <w:shd w:val="clear" w:color="auto" w:fill="FFFFFF"/>
            <w:vAlign w:val="center"/>
          </w:tcPr>
          <w:p w14:paraId="23B0C34F">
            <w:pPr>
              <w:pageBreakBefore w:val="0"/>
              <w:widowControl/>
              <w:kinsoku/>
              <w:wordWrap/>
              <w:overflowPunct/>
              <w:topLinePunct w:val="0"/>
              <w:autoSpaceDN/>
              <w:bidi w:val="0"/>
              <w:adjustRightInd/>
              <w:snapToGrid/>
              <w:spacing w:line="560" w:lineRule="exact"/>
              <w:ind w:firstLine="0" w:firstLineChars="0"/>
              <w:textAlignment w:val="auto"/>
              <w:rPr>
                <w:rFonts w:ascii="宋体" w:hAnsi="宋体" w:eastAsia="宋体" w:cs="宋体"/>
                <w:color w:val="000000"/>
                <w:kern w:val="0"/>
                <w:sz w:val="22"/>
              </w:rPr>
            </w:pPr>
            <w:r>
              <w:rPr>
                <w:rFonts w:hint="eastAsia" w:ascii="宋体" w:hAnsi="宋体" w:eastAsia="宋体" w:cs="宋体"/>
                <w:color w:val="000000"/>
                <w:kern w:val="0"/>
                <w:sz w:val="22"/>
              </w:rPr>
              <w:t>项目申请、设立过程是否符合相关要求，用以反映和考核项目立项的规范情况。</w:t>
            </w:r>
          </w:p>
        </w:tc>
        <w:tc>
          <w:tcPr>
            <w:tcW w:w="7354" w:type="dxa"/>
            <w:tcBorders>
              <w:tl2br w:val="nil"/>
              <w:tr2bl w:val="nil"/>
            </w:tcBorders>
            <w:shd w:val="clear" w:color="auto" w:fill="FFFFFF"/>
            <w:vAlign w:val="center"/>
          </w:tcPr>
          <w:p w14:paraId="27ED67C2">
            <w:pPr>
              <w:pageBreakBefore w:val="0"/>
              <w:widowControl/>
              <w:kinsoku/>
              <w:wordWrap/>
              <w:overflowPunct/>
              <w:topLinePunct w:val="0"/>
              <w:autoSpaceDN/>
              <w:bidi w:val="0"/>
              <w:adjustRightInd/>
              <w:snapToGrid/>
              <w:spacing w:line="560" w:lineRule="exact"/>
              <w:ind w:firstLine="0" w:firstLineChars="0"/>
              <w:jc w:val="left"/>
              <w:textAlignment w:val="auto"/>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①项目是否按照规定的程序申请设立；</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②审批文件、材料是否符合相关要求；</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③事前是否已经过必要的可行性研究、专家论证、风险评估、绩效评估、集体决策。</w:t>
            </w:r>
          </w:p>
        </w:tc>
      </w:tr>
      <w:tr w14:paraId="3A19EC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175" w:hRule="atLeast"/>
          <w:jc w:val="center"/>
        </w:trPr>
        <w:tc>
          <w:tcPr>
            <w:tcW w:w="1157" w:type="dxa"/>
            <w:vMerge w:val="continue"/>
            <w:tcBorders>
              <w:tl2br w:val="nil"/>
              <w:tr2bl w:val="nil"/>
            </w:tcBorders>
            <w:shd w:val="clear" w:color="auto" w:fill="FFFFFF"/>
            <w:vAlign w:val="center"/>
          </w:tcPr>
          <w:p w14:paraId="01CBC97C">
            <w:pPr>
              <w:pageBreakBefore w:val="0"/>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rPr>
            </w:pPr>
          </w:p>
        </w:tc>
        <w:tc>
          <w:tcPr>
            <w:tcW w:w="1201" w:type="dxa"/>
            <w:tcBorders>
              <w:tl2br w:val="nil"/>
              <w:tr2bl w:val="nil"/>
            </w:tcBorders>
            <w:shd w:val="clear" w:color="auto" w:fill="FFFFFF"/>
            <w:vAlign w:val="center"/>
          </w:tcPr>
          <w:p w14:paraId="2FB3BAF3">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绩效目标</w:t>
            </w:r>
          </w:p>
        </w:tc>
        <w:tc>
          <w:tcPr>
            <w:tcW w:w="1413" w:type="dxa"/>
            <w:tcBorders>
              <w:tl2br w:val="nil"/>
              <w:tr2bl w:val="nil"/>
            </w:tcBorders>
            <w:shd w:val="clear" w:color="auto" w:fill="FFFFFF"/>
            <w:vAlign w:val="center"/>
          </w:tcPr>
          <w:p w14:paraId="2FF532F3">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绩效目标</w:t>
            </w:r>
          </w:p>
          <w:p w14:paraId="74B02669">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合理性</w:t>
            </w:r>
          </w:p>
        </w:tc>
        <w:tc>
          <w:tcPr>
            <w:tcW w:w="2794" w:type="dxa"/>
            <w:tcBorders>
              <w:tl2br w:val="nil"/>
              <w:tr2bl w:val="nil"/>
            </w:tcBorders>
            <w:shd w:val="clear" w:color="000000" w:fill="FFFFFF"/>
            <w:vAlign w:val="center"/>
          </w:tcPr>
          <w:p w14:paraId="4DFADB0C">
            <w:pPr>
              <w:pageBreakBefore w:val="0"/>
              <w:widowControl/>
              <w:kinsoku/>
              <w:wordWrap/>
              <w:overflowPunct/>
              <w:topLinePunct w:val="0"/>
              <w:autoSpaceDN/>
              <w:bidi w:val="0"/>
              <w:adjustRightInd/>
              <w:snapToGrid/>
              <w:spacing w:line="560" w:lineRule="exact"/>
              <w:ind w:firstLine="0" w:firstLineChars="0"/>
              <w:textAlignment w:val="auto"/>
              <w:rPr>
                <w:rFonts w:ascii="宋体" w:hAnsi="宋体" w:eastAsia="宋体" w:cs="宋体"/>
                <w:color w:val="000000"/>
                <w:kern w:val="0"/>
                <w:sz w:val="22"/>
              </w:rPr>
            </w:pPr>
            <w:r>
              <w:rPr>
                <w:rFonts w:hint="eastAsia" w:ascii="宋体" w:hAnsi="宋体" w:eastAsia="宋体" w:cs="宋体"/>
                <w:color w:val="000000"/>
                <w:kern w:val="0"/>
                <w:sz w:val="22"/>
              </w:rPr>
              <w:t>项目所设定的绩效目标是否依据充分，是否符合客观实际，用以反映和考核项目绩效目标与项目实施的相符情况。</w:t>
            </w:r>
          </w:p>
        </w:tc>
        <w:tc>
          <w:tcPr>
            <w:tcW w:w="7354" w:type="dxa"/>
            <w:tcBorders>
              <w:tl2br w:val="nil"/>
              <w:tr2bl w:val="nil"/>
            </w:tcBorders>
            <w:shd w:val="clear" w:color="000000" w:fill="FFFFFF"/>
            <w:vAlign w:val="center"/>
          </w:tcPr>
          <w:p w14:paraId="79C652A8">
            <w:pPr>
              <w:keepNext w:val="0"/>
              <w:keepLines w:val="0"/>
              <w:pageBreakBefore w:val="0"/>
              <w:widowControl/>
              <w:kinsoku/>
              <w:wordWrap/>
              <w:overflowPunct/>
              <w:topLinePunct w:val="0"/>
              <w:autoSpaceDE/>
              <w:autoSpaceDN/>
              <w:bidi w:val="0"/>
              <w:adjustRightInd/>
              <w:snapToGrid/>
              <w:spacing w:line="560" w:lineRule="exact"/>
              <w:ind w:firstLine="0" w:firstLineChars="0"/>
              <w:jc w:val="left"/>
              <w:textAlignment w:val="auto"/>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（如未设定预算绩效目标，也可考核其他工作任务目标）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①项目是否有绩效目标；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②项目绩效目标与实际工作内容是否具有相关性；</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③项目预期产出效益和效果是否符合正常的业绩水平；</w:t>
            </w:r>
          </w:p>
          <w:p w14:paraId="3A96E895">
            <w:pPr>
              <w:keepNext w:val="0"/>
              <w:keepLines w:val="0"/>
              <w:pageBreakBefore w:val="0"/>
              <w:widowControl/>
              <w:kinsoku/>
              <w:wordWrap/>
              <w:overflowPunct/>
              <w:topLinePunct w:val="0"/>
              <w:autoSpaceDE/>
              <w:autoSpaceDN/>
              <w:bidi w:val="0"/>
              <w:adjustRightInd/>
              <w:snapToGrid/>
              <w:spacing w:line="560" w:lineRule="exact"/>
              <w:ind w:firstLine="0" w:firstLineChars="0"/>
              <w:jc w:val="left"/>
              <w:textAlignment w:val="auto"/>
              <w:rPr>
                <w:rFonts w:ascii="宋体" w:hAnsi="宋体" w:eastAsia="宋体" w:cs="宋体"/>
                <w:color w:val="000000"/>
                <w:kern w:val="0"/>
                <w:sz w:val="22"/>
              </w:rPr>
            </w:pPr>
            <w:r>
              <w:rPr>
                <w:rFonts w:hint="eastAsia" w:ascii="宋体" w:hAnsi="宋体" w:eastAsia="宋体" w:cs="宋体"/>
                <w:color w:val="000000"/>
                <w:kern w:val="0"/>
                <w:sz w:val="22"/>
              </w:rPr>
              <w:t>④是否与预算确定的项目投资额或资金量相匹配。</w:t>
            </w:r>
          </w:p>
        </w:tc>
      </w:tr>
      <w:tr w14:paraId="419012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97" w:hRule="atLeast"/>
          <w:jc w:val="center"/>
        </w:trPr>
        <w:tc>
          <w:tcPr>
            <w:tcW w:w="1157" w:type="dxa"/>
            <w:vMerge w:val="restart"/>
            <w:tcBorders>
              <w:tl2br w:val="nil"/>
              <w:tr2bl w:val="nil"/>
            </w:tcBorders>
            <w:shd w:val="clear" w:color="auto" w:fill="FFFFFF"/>
            <w:vAlign w:val="center"/>
          </w:tcPr>
          <w:p w14:paraId="6A0F625F">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决策</w:t>
            </w:r>
          </w:p>
        </w:tc>
        <w:tc>
          <w:tcPr>
            <w:tcW w:w="1201" w:type="dxa"/>
            <w:tcBorders>
              <w:tl2br w:val="nil"/>
              <w:tr2bl w:val="nil"/>
            </w:tcBorders>
            <w:shd w:val="clear" w:color="auto" w:fill="FFFFFF"/>
            <w:vAlign w:val="center"/>
          </w:tcPr>
          <w:p w14:paraId="4E86D62A">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绩效目标</w:t>
            </w:r>
          </w:p>
        </w:tc>
        <w:tc>
          <w:tcPr>
            <w:tcW w:w="1413" w:type="dxa"/>
            <w:tcBorders>
              <w:tl2br w:val="nil"/>
              <w:tr2bl w:val="nil"/>
            </w:tcBorders>
            <w:shd w:val="clear" w:color="auto" w:fill="FFFFFF"/>
            <w:vAlign w:val="center"/>
          </w:tcPr>
          <w:p w14:paraId="060CA012">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绩效指标</w:t>
            </w:r>
          </w:p>
          <w:p w14:paraId="79F2808C">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明确性</w:t>
            </w:r>
          </w:p>
        </w:tc>
        <w:tc>
          <w:tcPr>
            <w:tcW w:w="2794" w:type="dxa"/>
            <w:tcBorders>
              <w:tl2br w:val="nil"/>
              <w:tr2bl w:val="nil"/>
            </w:tcBorders>
            <w:shd w:val="clear" w:color="000000" w:fill="FFFFFF"/>
            <w:vAlign w:val="center"/>
          </w:tcPr>
          <w:p w14:paraId="30EFCD3F">
            <w:pPr>
              <w:pageBreakBefore w:val="0"/>
              <w:widowControl/>
              <w:kinsoku/>
              <w:wordWrap/>
              <w:overflowPunct/>
              <w:topLinePunct w:val="0"/>
              <w:autoSpaceDN/>
              <w:bidi w:val="0"/>
              <w:adjustRightInd/>
              <w:snapToGrid/>
              <w:spacing w:line="560" w:lineRule="exact"/>
              <w:ind w:firstLine="0" w:firstLineChars="0"/>
              <w:textAlignment w:val="auto"/>
              <w:rPr>
                <w:rFonts w:ascii="宋体" w:hAnsi="宋体" w:eastAsia="宋体" w:cs="宋体"/>
                <w:color w:val="000000"/>
                <w:kern w:val="0"/>
                <w:sz w:val="22"/>
              </w:rPr>
            </w:pPr>
            <w:r>
              <w:rPr>
                <w:rFonts w:hint="eastAsia" w:ascii="宋体" w:hAnsi="宋体" w:eastAsia="宋体" w:cs="宋体"/>
                <w:color w:val="000000"/>
                <w:kern w:val="0"/>
                <w:sz w:val="22"/>
              </w:rPr>
              <w:t>依据绩效目标设定的绩效指标是否清晰、细化、可衡量等，用以反映和考核项目绩效目标的明细化情况。</w:t>
            </w:r>
          </w:p>
        </w:tc>
        <w:tc>
          <w:tcPr>
            <w:tcW w:w="7354" w:type="dxa"/>
            <w:tcBorders>
              <w:tl2br w:val="nil"/>
              <w:tr2bl w:val="nil"/>
            </w:tcBorders>
            <w:shd w:val="clear" w:color="000000" w:fill="FFFFFF"/>
            <w:vAlign w:val="center"/>
          </w:tcPr>
          <w:p w14:paraId="10C15786">
            <w:pPr>
              <w:pageBreakBefore w:val="0"/>
              <w:widowControl/>
              <w:kinsoku/>
              <w:wordWrap/>
              <w:overflowPunct/>
              <w:topLinePunct w:val="0"/>
              <w:autoSpaceDN/>
              <w:bidi w:val="0"/>
              <w:adjustRightInd/>
              <w:snapToGrid/>
              <w:spacing w:line="560" w:lineRule="exact"/>
              <w:ind w:firstLine="0" w:firstLineChars="0"/>
              <w:textAlignment w:val="auto"/>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①是否将项目绩效目标细化分解为具体的绩效指标；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②是否通过清晰、可衡量的指标值予以体现；</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③是否与项目目标任务数或计划数相对应。</w:t>
            </w:r>
            <w:r>
              <w:rPr>
                <w:rFonts w:hint="eastAsia" w:ascii="宋体" w:hAnsi="宋体" w:eastAsia="宋体" w:cs="宋体"/>
                <w:color w:val="000000"/>
                <w:kern w:val="0"/>
                <w:sz w:val="22"/>
              </w:rPr>
              <w:br w:type="textWrapping"/>
            </w:r>
          </w:p>
        </w:tc>
      </w:tr>
      <w:tr w14:paraId="50B68D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175" w:hRule="atLeast"/>
          <w:jc w:val="center"/>
        </w:trPr>
        <w:tc>
          <w:tcPr>
            <w:tcW w:w="1157" w:type="dxa"/>
            <w:vMerge w:val="continue"/>
            <w:tcBorders>
              <w:tl2br w:val="nil"/>
              <w:tr2bl w:val="nil"/>
            </w:tcBorders>
            <w:shd w:val="clear" w:color="auto" w:fill="FFFFFF"/>
            <w:vAlign w:val="center"/>
          </w:tcPr>
          <w:p w14:paraId="73A2FFFA">
            <w:pPr>
              <w:pageBreakBefore w:val="0"/>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rPr>
            </w:pPr>
          </w:p>
        </w:tc>
        <w:tc>
          <w:tcPr>
            <w:tcW w:w="1201" w:type="dxa"/>
            <w:vMerge w:val="restart"/>
            <w:tcBorders>
              <w:tl2br w:val="nil"/>
              <w:tr2bl w:val="nil"/>
            </w:tcBorders>
            <w:shd w:val="clear" w:color="auto" w:fill="FFFFFF"/>
            <w:vAlign w:val="center"/>
          </w:tcPr>
          <w:p w14:paraId="668CA3C4">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资金投入</w:t>
            </w:r>
          </w:p>
        </w:tc>
        <w:tc>
          <w:tcPr>
            <w:tcW w:w="1413" w:type="dxa"/>
            <w:tcBorders>
              <w:tl2br w:val="nil"/>
              <w:tr2bl w:val="nil"/>
            </w:tcBorders>
            <w:shd w:val="clear" w:color="auto" w:fill="FFFFFF"/>
            <w:vAlign w:val="center"/>
          </w:tcPr>
          <w:p w14:paraId="50568BF3">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预算编制</w:t>
            </w:r>
          </w:p>
          <w:p w14:paraId="2CEF75BE">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科学性</w:t>
            </w:r>
          </w:p>
        </w:tc>
        <w:tc>
          <w:tcPr>
            <w:tcW w:w="2794" w:type="dxa"/>
            <w:tcBorders>
              <w:tl2br w:val="nil"/>
              <w:tr2bl w:val="nil"/>
            </w:tcBorders>
            <w:shd w:val="clear" w:color="auto" w:fill="FFFFFF"/>
            <w:vAlign w:val="center"/>
          </w:tcPr>
          <w:p w14:paraId="68204E14">
            <w:pPr>
              <w:pageBreakBefore w:val="0"/>
              <w:widowControl/>
              <w:kinsoku/>
              <w:wordWrap/>
              <w:overflowPunct/>
              <w:topLinePunct w:val="0"/>
              <w:autoSpaceDN/>
              <w:bidi w:val="0"/>
              <w:adjustRightInd/>
              <w:snapToGrid/>
              <w:spacing w:line="560" w:lineRule="exact"/>
              <w:ind w:firstLine="0" w:firstLineChars="0"/>
              <w:textAlignment w:val="auto"/>
              <w:rPr>
                <w:rFonts w:ascii="宋体" w:hAnsi="宋体" w:eastAsia="宋体" w:cs="宋体"/>
                <w:color w:val="000000"/>
                <w:kern w:val="0"/>
                <w:sz w:val="22"/>
              </w:rPr>
            </w:pPr>
            <w:r>
              <w:rPr>
                <w:rFonts w:hint="eastAsia" w:ascii="宋体" w:hAnsi="宋体" w:eastAsia="宋体" w:cs="宋体"/>
                <w:color w:val="000000"/>
                <w:kern w:val="0"/>
                <w:sz w:val="22"/>
              </w:rPr>
              <w:t>项目预算编制是否经过科学论证、有明确标准，资金额度与年度目标是否相适应，用以反映和考核项目预算编制的科学性、合理性情况。</w:t>
            </w:r>
          </w:p>
        </w:tc>
        <w:tc>
          <w:tcPr>
            <w:tcW w:w="7354" w:type="dxa"/>
            <w:tcBorders>
              <w:tl2br w:val="nil"/>
              <w:tr2bl w:val="nil"/>
            </w:tcBorders>
            <w:shd w:val="clear" w:color="auto" w:fill="FFFFFF"/>
            <w:vAlign w:val="center"/>
          </w:tcPr>
          <w:p w14:paraId="2CC803B1">
            <w:pPr>
              <w:pageBreakBefore w:val="0"/>
              <w:widowControl/>
              <w:kinsoku/>
              <w:wordWrap/>
              <w:overflowPunct/>
              <w:topLinePunct w:val="0"/>
              <w:autoSpaceDN/>
              <w:bidi w:val="0"/>
              <w:adjustRightInd/>
              <w:snapToGrid/>
              <w:spacing w:line="560" w:lineRule="exact"/>
              <w:ind w:firstLine="0" w:firstLineChars="0"/>
              <w:textAlignment w:val="auto"/>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①预算编制是否经过科学论证；</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②预算内容与项目内容是否匹配；</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③预算额度测算依据是否充分，是否按照标准编制；</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④预算确定的项目投资额或资金量是否与工作任务相匹配。</w:t>
            </w:r>
          </w:p>
        </w:tc>
      </w:tr>
      <w:tr w14:paraId="528BF6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23" w:hRule="atLeast"/>
          <w:jc w:val="center"/>
        </w:trPr>
        <w:tc>
          <w:tcPr>
            <w:tcW w:w="1157" w:type="dxa"/>
            <w:vMerge w:val="continue"/>
            <w:tcBorders>
              <w:tl2br w:val="nil"/>
              <w:tr2bl w:val="nil"/>
            </w:tcBorders>
            <w:shd w:val="clear" w:color="auto" w:fill="FFFFFF"/>
            <w:vAlign w:val="center"/>
          </w:tcPr>
          <w:p w14:paraId="5E2BA7C6">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rPr>
            </w:pPr>
          </w:p>
        </w:tc>
        <w:tc>
          <w:tcPr>
            <w:tcW w:w="1201" w:type="dxa"/>
            <w:vMerge w:val="continue"/>
            <w:tcBorders>
              <w:tl2br w:val="nil"/>
              <w:tr2bl w:val="nil"/>
            </w:tcBorders>
            <w:shd w:val="clear" w:color="auto" w:fill="FFFFFF"/>
            <w:vAlign w:val="center"/>
          </w:tcPr>
          <w:p w14:paraId="4FEFD3C8">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rPr>
            </w:pPr>
          </w:p>
        </w:tc>
        <w:tc>
          <w:tcPr>
            <w:tcW w:w="1413" w:type="dxa"/>
            <w:tcBorders>
              <w:tl2br w:val="nil"/>
              <w:tr2bl w:val="nil"/>
            </w:tcBorders>
            <w:shd w:val="clear" w:color="auto" w:fill="FFFFFF"/>
            <w:vAlign w:val="center"/>
          </w:tcPr>
          <w:p w14:paraId="6CF0DCBA">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资金分配</w:t>
            </w:r>
          </w:p>
          <w:p w14:paraId="1FA824C6">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合理性</w:t>
            </w:r>
          </w:p>
        </w:tc>
        <w:tc>
          <w:tcPr>
            <w:tcW w:w="2794" w:type="dxa"/>
            <w:tcBorders>
              <w:tl2br w:val="nil"/>
              <w:tr2bl w:val="nil"/>
            </w:tcBorders>
            <w:shd w:val="clear" w:color="auto" w:fill="FFFFFF"/>
            <w:vAlign w:val="center"/>
          </w:tcPr>
          <w:p w14:paraId="40E00C6F">
            <w:pPr>
              <w:pageBreakBefore w:val="0"/>
              <w:widowControl/>
              <w:kinsoku/>
              <w:wordWrap/>
              <w:overflowPunct/>
              <w:topLinePunct w:val="0"/>
              <w:autoSpaceDN/>
              <w:bidi w:val="0"/>
              <w:adjustRightInd/>
              <w:snapToGrid/>
              <w:spacing w:line="560" w:lineRule="exact"/>
              <w:ind w:firstLine="0" w:firstLineChars="0"/>
              <w:textAlignment w:val="auto"/>
              <w:rPr>
                <w:rFonts w:ascii="宋体" w:hAnsi="宋体" w:eastAsia="宋体" w:cs="宋体"/>
                <w:color w:val="000000"/>
                <w:kern w:val="0"/>
                <w:sz w:val="22"/>
              </w:rPr>
            </w:pPr>
            <w:r>
              <w:rPr>
                <w:rFonts w:hint="eastAsia" w:ascii="宋体" w:hAnsi="宋体" w:eastAsia="宋体" w:cs="宋体"/>
                <w:color w:val="000000"/>
                <w:kern w:val="0"/>
                <w:sz w:val="22"/>
              </w:rPr>
              <w:t>项目预算资金分配是否有测算依据，与补助单位或地方实际是否相适应，用以反映和考核项目预算资金分配的科学性、合理性情况。</w:t>
            </w:r>
          </w:p>
        </w:tc>
        <w:tc>
          <w:tcPr>
            <w:tcW w:w="7354" w:type="dxa"/>
            <w:tcBorders>
              <w:tl2br w:val="nil"/>
              <w:tr2bl w:val="nil"/>
            </w:tcBorders>
            <w:shd w:val="clear" w:color="auto" w:fill="FFFFFF"/>
            <w:vAlign w:val="center"/>
          </w:tcPr>
          <w:p w14:paraId="49729E96">
            <w:pPr>
              <w:pageBreakBefore w:val="0"/>
              <w:widowControl/>
              <w:kinsoku/>
              <w:wordWrap/>
              <w:overflowPunct/>
              <w:topLinePunct w:val="0"/>
              <w:autoSpaceDN/>
              <w:bidi w:val="0"/>
              <w:adjustRightInd/>
              <w:snapToGrid/>
              <w:spacing w:line="560" w:lineRule="exact"/>
              <w:ind w:firstLine="0" w:firstLineChars="0"/>
              <w:textAlignment w:val="auto"/>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①预算资金分配依据是否充分；</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②资金分配额度是否合理，与项目单位或地方实际是否相适应。</w:t>
            </w:r>
          </w:p>
        </w:tc>
      </w:tr>
      <w:tr w14:paraId="5E4A21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23" w:hRule="atLeast"/>
          <w:jc w:val="center"/>
        </w:trPr>
        <w:tc>
          <w:tcPr>
            <w:tcW w:w="1157" w:type="dxa"/>
            <w:vMerge w:val="restart"/>
            <w:tcBorders>
              <w:tl2br w:val="nil"/>
              <w:tr2bl w:val="nil"/>
            </w:tcBorders>
            <w:shd w:val="clear" w:color="auto" w:fill="FFFFFF"/>
            <w:vAlign w:val="center"/>
          </w:tcPr>
          <w:p w14:paraId="36E99853">
            <w:pPr>
              <w:pageBreakBefore w:val="0"/>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过程</w:t>
            </w:r>
          </w:p>
        </w:tc>
        <w:tc>
          <w:tcPr>
            <w:tcW w:w="1201" w:type="dxa"/>
            <w:vMerge w:val="restart"/>
            <w:tcBorders>
              <w:tl2br w:val="nil"/>
              <w:tr2bl w:val="nil"/>
            </w:tcBorders>
            <w:shd w:val="clear" w:color="auto" w:fill="FFFFFF"/>
            <w:vAlign w:val="center"/>
          </w:tcPr>
          <w:p w14:paraId="150FDEF0">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资金管理</w:t>
            </w:r>
          </w:p>
        </w:tc>
        <w:tc>
          <w:tcPr>
            <w:tcW w:w="1413" w:type="dxa"/>
            <w:tcBorders>
              <w:tl2br w:val="nil"/>
              <w:tr2bl w:val="nil"/>
            </w:tcBorders>
            <w:shd w:val="clear" w:color="auto" w:fill="FFFFFF"/>
            <w:vAlign w:val="center"/>
          </w:tcPr>
          <w:p w14:paraId="49167E95">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资金到位率</w:t>
            </w:r>
          </w:p>
        </w:tc>
        <w:tc>
          <w:tcPr>
            <w:tcW w:w="2794" w:type="dxa"/>
            <w:tcBorders>
              <w:tl2br w:val="nil"/>
              <w:tr2bl w:val="nil"/>
            </w:tcBorders>
            <w:shd w:val="clear" w:color="000000" w:fill="FFFFFF"/>
            <w:vAlign w:val="center"/>
          </w:tcPr>
          <w:p w14:paraId="30463228">
            <w:pPr>
              <w:pageBreakBefore w:val="0"/>
              <w:widowControl/>
              <w:kinsoku/>
              <w:wordWrap/>
              <w:overflowPunct/>
              <w:topLinePunct w:val="0"/>
              <w:autoSpaceDN/>
              <w:bidi w:val="0"/>
              <w:adjustRightInd/>
              <w:snapToGrid/>
              <w:spacing w:line="560" w:lineRule="exact"/>
              <w:ind w:firstLine="0" w:firstLineChars="0"/>
              <w:textAlignment w:val="auto"/>
              <w:rPr>
                <w:rFonts w:ascii="宋体" w:hAnsi="宋体" w:eastAsia="宋体" w:cs="宋体"/>
                <w:color w:val="000000"/>
                <w:kern w:val="0"/>
                <w:sz w:val="22"/>
              </w:rPr>
            </w:pPr>
            <w:r>
              <w:rPr>
                <w:rFonts w:hint="eastAsia" w:ascii="宋体" w:hAnsi="宋体" w:eastAsia="宋体" w:cs="宋体"/>
                <w:color w:val="000000"/>
                <w:kern w:val="0"/>
                <w:sz w:val="22"/>
              </w:rPr>
              <w:t>实际到位资金与预算资金的比率，用以反映和考核资金落实情况对项目实施的总体保障程度。</w:t>
            </w:r>
          </w:p>
        </w:tc>
        <w:tc>
          <w:tcPr>
            <w:tcW w:w="7354" w:type="dxa"/>
            <w:tcBorders>
              <w:tl2br w:val="nil"/>
              <w:tr2bl w:val="nil"/>
            </w:tcBorders>
            <w:shd w:val="clear" w:color="000000" w:fill="FFFFFF"/>
            <w:vAlign w:val="center"/>
          </w:tcPr>
          <w:p w14:paraId="37A93CA7">
            <w:pPr>
              <w:pageBreakBefore w:val="0"/>
              <w:widowControl/>
              <w:kinsoku/>
              <w:wordWrap/>
              <w:overflowPunct/>
              <w:topLinePunct w:val="0"/>
              <w:autoSpaceDN/>
              <w:bidi w:val="0"/>
              <w:adjustRightInd/>
              <w:snapToGrid/>
              <w:spacing w:line="560" w:lineRule="exact"/>
              <w:ind w:firstLine="0" w:firstLineChars="0"/>
              <w:textAlignment w:val="auto"/>
              <w:rPr>
                <w:rFonts w:ascii="宋体" w:hAnsi="宋体" w:eastAsia="宋体" w:cs="宋体"/>
                <w:color w:val="000000"/>
                <w:kern w:val="0"/>
                <w:sz w:val="22"/>
              </w:rPr>
            </w:pPr>
            <w:r>
              <w:rPr>
                <w:rFonts w:hint="eastAsia" w:ascii="宋体" w:hAnsi="宋体" w:eastAsia="宋体" w:cs="宋体"/>
                <w:color w:val="000000"/>
                <w:kern w:val="0"/>
                <w:sz w:val="22"/>
              </w:rPr>
              <w:t>资金到位率=（实际到位资金/预算资金）×100%。</w:t>
            </w:r>
          </w:p>
          <w:p w14:paraId="1F755FED">
            <w:pPr>
              <w:pageBreakBefore w:val="0"/>
              <w:widowControl/>
              <w:kinsoku/>
              <w:wordWrap/>
              <w:overflowPunct/>
              <w:topLinePunct w:val="0"/>
              <w:autoSpaceDN/>
              <w:bidi w:val="0"/>
              <w:adjustRightInd/>
              <w:snapToGrid/>
              <w:spacing w:line="560" w:lineRule="exact"/>
              <w:ind w:firstLine="0" w:firstLineChars="0"/>
              <w:textAlignment w:val="auto"/>
              <w:rPr>
                <w:rFonts w:ascii="宋体" w:hAnsi="宋体" w:eastAsia="宋体" w:cs="宋体"/>
                <w:color w:val="000000"/>
                <w:kern w:val="0"/>
                <w:sz w:val="22"/>
              </w:rPr>
            </w:pPr>
            <w:r>
              <w:rPr>
                <w:rFonts w:hint="eastAsia" w:ascii="宋体" w:hAnsi="宋体" w:eastAsia="宋体" w:cs="宋体"/>
                <w:color w:val="000000"/>
                <w:kern w:val="0"/>
                <w:sz w:val="22"/>
              </w:rPr>
              <w:t>实际到位资金：一定时期（本年度或项目期）内落实到具体项目的资金。</w:t>
            </w:r>
          </w:p>
          <w:p w14:paraId="1EE13578">
            <w:pPr>
              <w:pageBreakBefore w:val="0"/>
              <w:widowControl/>
              <w:kinsoku/>
              <w:wordWrap/>
              <w:overflowPunct/>
              <w:topLinePunct w:val="0"/>
              <w:autoSpaceDN/>
              <w:bidi w:val="0"/>
              <w:adjustRightInd/>
              <w:snapToGrid/>
              <w:spacing w:line="560" w:lineRule="exact"/>
              <w:ind w:firstLine="0" w:firstLineChars="0"/>
              <w:textAlignment w:val="auto"/>
              <w:rPr>
                <w:rFonts w:ascii="宋体" w:hAnsi="宋体" w:eastAsia="宋体" w:cs="宋体"/>
                <w:color w:val="000000"/>
                <w:kern w:val="0"/>
                <w:sz w:val="22"/>
              </w:rPr>
            </w:pPr>
            <w:r>
              <w:rPr>
                <w:rFonts w:hint="eastAsia" w:ascii="宋体" w:hAnsi="宋体" w:eastAsia="宋体" w:cs="宋体"/>
                <w:color w:val="000000"/>
                <w:kern w:val="0"/>
                <w:sz w:val="22"/>
              </w:rPr>
              <w:t>预算资金：一定时期（本年度或项目期）内预算安排到具体项目的资金。</w:t>
            </w:r>
          </w:p>
        </w:tc>
      </w:tr>
      <w:tr w14:paraId="69AFB8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97" w:hRule="atLeast"/>
          <w:jc w:val="center"/>
        </w:trPr>
        <w:tc>
          <w:tcPr>
            <w:tcW w:w="1157" w:type="dxa"/>
            <w:vMerge w:val="continue"/>
            <w:tcBorders>
              <w:tl2br w:val="nil"/>
              <w:tr2bl w:val="nil"/>
            </w:tcBorders>
            <w:shd w:val="clear" w:color="auto" w:fill="FFFFFF"/>
            <w:vAlign w:val="center"/>
          </w:tcPr>
          <w:p w14:paraId="7A7CFF16">
            <w:pPr>
              <w:pageBreakBefore w:val="0"/>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rPr>
            </w:pPr>
          </w:p>
        </w:tc>
        <w:tc>
          <w:tcPr>
            <w:tcW w:w="1201" w:type="dxa"/>
            <w:vMerge w:val="continue"/>
            <w:tcBorders>
              <w:tl2br w:val="nil"/>
              <w:tr2bl w:val="nil"/>
            </w:tcBorders>
            <w:shd w:val="clear" w:color="auto" w:fill="FFFFFF"/>
            <w:vAlign w:val="center"/>
          </w:tcPr>
          <w:p w14:paraId="711D6D25">
            <w:pPr>
              <w:pageBreakBefore w:val="0"/>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rPr>
            </w:pPr>
          </w:p>
        </w:tc>
        <w:tc>
          <w:tcPr>
            <w:tcW w:w="1413" w:type="dxa"/>
            <w:tcBorders>
              <w:tl2br w:val="nil"/>
              <w:tr2bl w:val="nil"/>
            </w:tcBorders>
            <w:shd w:val="clear" w:color="auto" w:fill="FFFFFF"/>
            <w:vAlign w:val="center"/>
          </w:tcPr>
          <w:p w14:paraId="549B1CD2">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预算执行率</w:t>
            </w:r>
          </w:p>
        </w:tc>
        <w:tc>
          <w:tcPr>
            <w:tcW w:w="2794" w:type="dxa"/>
            <w:tcBorders>
              <w:tl2br w:val="nil"/>
              <w:tr2bl w:val="nil"/>
            </w:tcBorders>
            <w:shd w:val="clear" w:color="auto" w:fill="FFFFFF"/>
            <w:vAlign w:val="center"/>
          </w:tcPr>
          <w:p w14:paraId="4FE57EA8">
            <w:pPr>
              <w:pageBreakBefore w:val="0"/>
              <w:widowControl/>
              <w:kinsoku/>
              <w:wordWrap/>
              <w:overflowPunct/>
              <w:topLinePunct w:val="0"/>
              <w:autoSpaceDN/>
              <w:bidi w:val="0"/>
              <w:adjustRightInd/>
              <w:snapToGrid/>
              <w:spacing w:line="560" w:lineRule="exact"/>
              <w:ind w:firstLine="0" w:firstLineChars="0"/>
              <w:textAlignment w:val="auto"/>
              <w:rPr>
                <w:rFonts w:ascii="宋体" w:hAnsi="宋体" w:eastAsia="宋体" w:cs="宋体"/>
                <w:color w:val="000000"/>
                <w:kern w:val="0"/>
                <w:sz w:val="22"/>
              </w:rPr>
            </w:pPr>
            <w:r>
              <w:rPr>
                <w:rFonts w:hint="eastAsia" w:ascii="宋体" w:hAnsi="宋体" w:eastAsia="宋体" w:cs="宋体"/>
                <w:color w:val="000000"/>
                <w:kern w:val="0"/>
                <w:sz w:val="22"/>
              </w:rPr>
              <w:t>项目预算资金是否按照计划执行，用以反映或考核项目预算执行情况。</w:t>
            </w:r>
          </w:p>
        </w:tc>
        <w:tc>
          <w:tcPr>
            <w:tcW w:w="7354" w:type="dxa"/>
            <w:tcBorders>
              <w:tl2br w:val="nil"/>
              <w:tr2bl w:val="nil"/>
            </w:tcBorders>
            <w:shd w:val="clear" w:color="auto" w:fill="FFFFFF"/>
            <w:vAlign w:val="center"/>
          </w:tcPr>
          <w:p w14:paraId="7B62D429">
            <w:pPr>
              <w:pageBreakBefore w:val="0"/>
              <w:widowControl/>
              <w:kinsoku/>
              <w:wordWrap/>
              <w:overflowPunct/>
              <w:topLinePunct w:val="0"/>
              <w:autoSpaceDN/>
              <w:bidi w:val="0"/>
              <w:adjustRightInd/>
              <w:snapToGrid/>
              <w:spacing w:line="560" w:lineRule="exact"/>
              <w:ind w:firstLine="0" w:firstLineChars="0"/>
              <w:textAlignment w:val="auto"/>
              <w:rPr>
                <w:rFonts w:ascii="宋体" w:hAnsi="宋体" w:eastAsia="宋体" w:cs="宋体"/>
                <w:color w:val="000000"/>
                <w:kern w:val="0"/>
                <w:sz w:val="22"/>
              </w:rPr>
            </w:pPr>
            <w:r>
              <w:rPr>
                <w:rFonts w:hint="eastAsia" w:ascii="宋体" w:hAnsi="宋体" w:eastAsia="宋体" w:cs="宋体"/>
                <w:color w:val="000000"/>
                <w:kern w:val="0"/>
                <w:sz w:val="22"/>
              </w:rPr>
              <w:t>预算执行率=（实际支出资金/实际到位资金）×100%。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实际支出资金：一定时期（本年度或项目期）内项目实际拨付的资金。</w:t>
            </w:r>
          </w:p>
        </w:tc>
      </w:tr>
      <w:tr w14:paraId="2EC0AD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175" w:hRule="atLeast"/>
          <w:jc w:val="center"/>
        </w:trPr>
        <w:tc>
          <w:tcPr>
            <w:tcW w:w="1157" w:type="dxa"/>
            <w:vMerge w:val="restart"/>
            <w:tcBorders>
              <w:tl2br w:val="nil"/>
              <w:tr2bl w:val="nil"/>
            </w:tcBorders>
            <w:shd w:val="clear" w:color="auto" w:fill="FFFFFF"/>
            <w:vAlign w:val="center"/>
          </w:tcPr>
          <w:p w14:paraId="020417F9">
            <w:pPr>
              <w:pageBreakBefore w:val="0"/>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过程</w:t>
            </w:r>
          </w:p>
        </w:tc>
        <w:tc>
          <w:tcPr>
            <w:tcW w:w="1201" w:type="dxa"/>
            <w:tcBorders>
              <w:tl2br w:val="nil"/>
              <w:tr2bl w:val="nil"/>
            </w:tcBorders>
            <w:shd w:val="clear" w:color="auto" w:fill="FFFFFF"/>
            <w:vAlign w:val="center"/>
          </w:tcPr>
          <w:p w14:paraId="3E1C2E6C">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资金管理</w:t>
            </w:r>
          </w:p>
        </w:tc>
        <w:tc>
          <w:tcPr>
            <w:tcW w:w="1413" w:type="dxa"/>
            <w:tcBorders>
              <w:tl2br w:val="nil"/>
              <w:tr2bl w:val="nil"/>
            </w:tcBorders>
            <w:shd w:val="clear" w:color="auto" w:fill="FFFFFF"/>
            <w:vAlign w:val="center"/>
          </w:tcPr>
          <w:p w14:paraId="0728A82A">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资金使用</w:t>
            </w:r>
          </w:p>
          <w:p w14:paraId="721F7F6F">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合规性</w:t>
            </w:r>
          </w:p>
        </w:tc>
        <w:tc>
          <w:tcPr>
            <w:tcW w:w="2794" w:type="dxa"/>
            <w:tcBorders>
              <w:tl2br w:val="nil"/>
              <w:tr2bl w:val="nil"/>
            </w:tcBorders>
            <w:shd w:val="clear" w:color="000000" w:fill="FFFFFF"/>
            <w:vAlign w:val="center"/>
          </w:tcPr>
          <w:p w14:paraId="3B03D8D7">
            <w:pPr>
              <w:pageBreakBefore w:val="0"/>
              <w:widowControl/>
              <w:kinsoku/>
              <w:wordWrap/>
              <w:overflowPunct/>
              <w:topLinePunct w:val="0"/>
              <w:autoSpaceDN/>
              <w:bidi w:val="0"/>
              <w:adjustRightInd/>
              <w:snapToGrid/>
              <w:spacing w:line="560" w:lineRule="exact"/>
              <w:ind w:firstLine="0" w:firstLineChars="0"/>
              <w:textAlignment w:val="auto"/>
              <w:rPr>
                <w:rFonts w:ascii="宋体" w:hAnsi="宋体" w:eastAsia="宋体" w:cs="宋体"/>
                <w:color w:val="000000"/>
                <w:kern w:val="0"/>
                <w:sz w:val="22"/>
              </w:rPr>
            </w:pPr>
            <w:r>
              <w:rPr>
                <w:rFonts w:hint="eastAsia" w:ascii="宋体" w:hAnsi="宋体" w:eastAsia="宋体" w:cs="宋体"/>
                <w:color w:val="000000"/>
                <w:kern w:val="0"/>
                <w:sz w:val="22"/>
              </w:rPr>
              <w:t>项目资金使用是否符合相关的财务管理制度规定，用以反映和考核项目资金的规范运行情况。</w:t>
            </w:r>
          </w:p>
        </w:tc>
        <w:tc>
          <w:tcPr>
            <w:tcW w:w="7354" w:type="dxa"/>
            <w:tcBorders>
              <w:tl2br w:val="nil"/>
              <w:tr2bl w:val="nil"/>
            </w:tcBorders>
            <w:shd w:val="clear" w:color="000000" w:fill="FFFFFF"/>
            <w:vAlign w:val="center"/>
          </w:tcPr>
          <w:p w14:paraId="20E39454">
            <w:pPr>
              <w:pageBreakBefore w:val="0"/>
              <w:widowControl/>
              <w:kinsoku/>
              <w:wordWrap/>
              <w:overflowPunct/>
              <w:topLinePunct w:val="0"/>
              <w:autoSpaceDN/>
              <w:bidi w:val="0"/>
              <w:adjustRightInd/>
              <w:snapToGrid/>
              <w:spacing w:line="560" w:lineRule="exact"/>
              <w:ind w:firstLine="0" w:firstLineChars="0"/>
              <w:textAlignment w:val="auto"/>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①是否符合国家财经法规和财务管理制度以及有关专项资金管理办法的规定；</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②资金的拨付是否有完整的审批程序和手续；</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③是否符合项目预算批复或合同规定的用途；</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④是否存在截留、挤占、挪用、虚列支出等情况。</w:t>
            </w:r>
          </w:p>
        </w:tc>
      </w:tr>
      <w:tr w14:paraId="3A7F3E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649" w:hRule="atLeast"/>
          <w:jc w:val="center"/>
        </w:trPr>
        <w:tc>
          <w:tcPr>
            <w:tcW w:w="1157" w:type="dxa"/>
            <w:vMerge w:val="continue"/>
            <w:tcBorders>
              <w:tl2br w:val="nil"/>
              <w:tr2bl w:val="nil"/>
            </w:tcBorders>
            <w:shd w:val="clear" w:color="auto" w:fill="FFFFFF"/>
            <w:vAlign w:val="center"/>
          </w:tcPr>
          <w:p w14:paraId="753CC269">
            <w:pPr>
              <w:pageBreakBefore w:val="0"/>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rPr>
            </w:pPr>
          </w:p>
        </w:tc>
        <w:tc>
          <w:tcPr>
            <w:tcW w:w="1201" w:type="dxa"/>
            <w:vMerge w:val="restart"/>
            <w:tcBorders>
              <w:tl2br w:val="nil"/>
              <w:tr2bl w:val="nil"/>
            </w:tcBorders>
            <w:shd w:val="clear" w:color="auto" w:fill="FFFFFF"/>
            <w:vAlign w:val="center"/>
          </w:tcPr>
          <w:p w14:paraId="4CC789ED">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组织实施</w:t>
            </w:r>
          </w:p>
        </w:tc>
        <w:tc>
          <w:tcPr>
            <w:tcW w:w="1413" w:type="dxa"/>
            <w:tcBorders>
              <w:tl2br w:val="nil"/>
              <w:tr2bl w:val="nil"/>
            </w:tcBorders>
            <w:shd w:val="clear" w:color="auto" w:fill="FFFFFF"/>
            <w:vAlign w:val="center"/>
          </w:tcPr>
          <w:p w14:paraId="51235B18">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管理制度</w:t>
            </w:r>
          </w:p>
          <w:p w14:paraId="24E6B105">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健全性</w:t>
            </w:r>
          </w:p>
        </w:tc>
        <w:tc>
          <w:tcPr>
            <w:tcW w:w="2794" w:type="dxa"/>
            <w:tcBorders>
              <w:tl2br w:val="nil"/>
              <w:tr2bl w:val="nil"/>
            </w:tcBorders>
            <w:shd w:val="clear" w:color="000000" w:fill="FFFFFF"/>
            <w:vAlign w:val="center"/>
          </w:tcPr>
          <w:p w14:paraId="6416F6BB">
            <w:pPr>
              <w:pageBreakBefore w:val="0"/>
              <w:widowControl/>
              <w:kinsoku/>
              <w:wordWrap/>
              <w:overflowPunct/>
              <w:topLinePunct w:val="0"/>
              <w:autoSpaceDN/>
              <w:bidi w:val="0"/>
              <w:adjustRightInd/>
              <w:snapToGrid/>
              <w:spacing w:line="560" w:lineRule="exact"/>
              <w:ind w:firstLine="0" w:firstLineChars="0"/>
              <w:textAlignment w:val="auto"/>
              <w:rPr>
                <w:rFonts w:ascii="宋体" w:hAnsi="宋体" w:eastAsia="宋体" w:cs="宋体"/>
                <w:color w:val="000000"/>
                <w:kern w:val="0"/>
                <w:sz w:val="22"/>
              </w:rPr>
            </w:pPr>
            <w:r>
              <w:rPr>
                <w:rFonts w:hint="eastAsia" w:ascii="宋体" w:hAnsi="宋体" w:eastAsia="宋体" w:cs="宋体"/>
                <w:color w:val="000000"/>
                <w:kern w:val="0"/>
                <w:sz w:val="22"/>
              </w:rPr>
              <w:t>项目实施单位的财务和业务管理制度是否健全，用以反映和考核财务和业务管理制度对项目顺利实施的保障情况。</w:t>
            </w:r>
          </w:p>
        </w:tc>
        <w:tc>
          <w:tcPr>
            <w:tcW w:w="7354" w:type="dxa"/>
            <w:tcBorders>
              <w:tl2br w:val="nil"/>
              <w:tr2bl w:val="nil"/>
            </w:tcBorders>
            <w:shd w:val="clear" w:color="000000" w:fill="FFFFFF"/>
            <w:vAlign w:val="center"/>
          </w:tcPr>
          <w:p w14:paraId="7AC1560B">
            <w:pPr>
              <w:pageBreakBefore w:val="0"/>
              <w:widowControl/>
              <w:kinsoku/>
              <w:wordWrap/>
              <w:overflowPunct/>
              <w:topLinePunct w:val="0"/>
              <w:autoSpaceDN/>
              <w:bidi w:val="0"/>
              <w:adjustRightInd/>
              <w:snapToGrid/>
              <w:spacing w:line="560" w:lineRule="exact"/>
              <w:ind w:firstLine="0" w:firstLineChars="0"/>
              <w:textAlignment w:val="auto"/>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①是否已制定或具有相应的财务和业务管理制度；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②财务和业务管理制度是否合法、合规、完整。</w:t>
            </w:r>
          </w:p>
        </w:tc>
      </w:tr>
      <w:tr w14:paraId="0E5F39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649" w:hRule="atLeast"/>
          <w:jc w:val="center"/>
        </w:trPr>
        <w:tc>
          <w:tcPr>
            <w:tcW w:w="1157" w:type="dxa"/>
            <w:vMerge w:val="continue"/>
            <w:tcBorders>
              <w:tl2br w:val="nil"/>
              <w:tr2bl w:val="nil"/>
            </w:tcBorders>
            <w:shd w:val="clear" w:color="auto" w:fill="FFFFFF"/>
            <w:vAlign w:val="center"/>
          </w:tcPr>
          <w:p w14:paraId="662C8320">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rPr>
            </w:pPr>
          </w:p>
        </w:tc>
        <w:tc>
          <w:tcPr>
            <w:tcW w:w="1201" w:type="dxa"/>
            <w:vMerge w:val="continue"/>
            <w:tcBorders>
              <w:tl2br w:val="nil"/>
              <w:tr2bl w:val="nil"/>
            </w:tcBorders>
            <w:shd w:val="clear" w:color="auto" w:fill="FFFFFF"/>
            <w:vAlign w:val="center"/>
          </w:tcPr>
          <w:p w14:paraId="3A456F28">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rPr>
            </w:pPr>
          </w:p>
        </w:tc>
        <w:tc>
          <w:tcPr>
            <w:tcW w:w="1413" w:type="dxa"/>
            <w:tcBorders>
              <w:tl2br w:val="nil"/>
              <w:tr2bl w:val="nil"/>
            </w:tcBorders>
            <w:shd w:val="clear" w:color="auto" w:fill="FFFFFF"/>
            <w:vAlign w:val="center"/>
          </w:tcPr>
          <w:p w14:paraId="4255D615">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制度执行</w:t>
            </w:r>
          </w:p>
          <w:p w14:paraId="1651FB97">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有效性</w:t>
            </w:r>
          </w:p>
        </w:tc>
        <w:tc>
          <w:tcPr>
            <w:tcW w:w="2794" w:type="dxa"/>
            <w:tcBorders>
              <w:tl2br w:val="nil"/>
              <w:tr2bl w:val="nil"/>
            </w:tcBorders>
            <w:shd w:val="clear" w:color="000000" w:fill="FFFFFF"/>
            <w:vAlign w:val="center"/>
          </w:tcPr>
          <w:p w14:paraId="63B00A0E">
            <w:pPr>
              <w:pageBreakBefore w:val="0"/>
              <w:widowControl/>
              <w:kinsoku/>
              <w:wordWrap/>
              <w:overflowPunct/>
              <w:topLinePunct w:val="0"/>
              <w:autoSpaceDN/>
              <w:bidi w:val="0"/>
              <w:adjustRightInd/>
              <w:snapToGrid/>
              <w:spacing w:line="560" w:lineRule="exact"/>
              <w:ind w:firstLine="0" w:firstLineChars="0"/>
              <w:textAlignment w:val="auto"/>
              <w:rPr>
                <w:rFonts w:ascii="宋体" w:hAnsi="宋体" w:eastAsia="宋体" w:cs="宋体"/>
                <w:color w:val="000000"/>
                <w:kern w:val="0"/>
                <w:sz w:val="22"/>
              </w:rPr>
            </w:pPr>
            <w:r>
              <w:rPr>
                <w:rFonts w:hint="eastAsia" w:ascii="宋体" w:hAnsi="宋体" w:eastAsia="宋体" w:cs="宋体"/>
                <w:color w:val="000000"/>
                <w:kern w:val="0"/>
                <w:sz w:val="22"/>
              </w:rPr>
              <w:t>项目实施是否符合相关管理规定，用以反映和考核相关管理制度的有效执行情况。</w:t>
            </w:r>
          </w:p>
        </w:tc>
        <w:tc>
          <w:tcPr>
            <w:tcW w:w="7354" w:type="dxa"/>
            <w:tcBorders>
              <w:tl2br w:val="nil"/>
              <w:tr2bl w:val="nil"/>
            </w:tcBorders>
            <w:shd w:val="clear" w:color="000000" w:fill="FFFFFF"/>
            <w:vAlign w:val="center"/>
          </w:tcPr>
          <w:p w14:paraId="61053029">
            <w:pPr>
              <w:pageBreakBefore w:val="0"/>
              <w:widowControl/>
              <w:kinsoku/>
              <w:wordWrap/>
              <w:overflowPunct/>
              <w:topLinePunct w:val="0"/>
              <w:autoSpaceDN/>
              <w:bidi w:val="0"/>
              <w:adjustRightInd/>
              <w:snapToGrid/>
              <w:spacing w:line="560" w:lineRule="exact"/>
              <w:ind w:firstLine="0" w:firstLineChars="0"/>
              <w:textAlignment w:val="auto"/>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①是否遵守相关法律法规和相关管理规定；</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②项目调整及支出调整手续是否完备；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③项目合同书、验收报告、技术鉴定等资料是否齐全并及时归档；</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④项目实施的人员条件、场地设备、信息支撑等是否落实到位。</w:t>
            </w:r>
          </w:p>
        </w:tc>
      </w:tr>
      <w:tr w14:paraId="0DB1B1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71" w:hRule="atLeast"/>
          <w:jc w:val="center"/>
        </w:trPr>
        <w:tc>
          <w:tcPr>
            <w:tcW w:w="1157" w:type="dxa"/>
            <w:vMerge w:val="restart"/>
            <w:tcBorders>
              <w:tl2br w:val="nil"/>
              <w:tr2bl w:val="nil"/>
            </w:tcBorders>
            <w:shd w:val="clear" w:color="auto" w:fill="FFFFFF"/>
            <w:vAlign w:val="center"/>
          </w:tcPr>
          <w:p w14:paraId="59760F59">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w:t>
            </w:r>
          </w:p>
        </w:tc>
        <w:tc>
          <w:tcPr>
            <w:tcW w:w="1201" w:type="dxa"/>
            <w:vMerge w:val="restart"/>
            <w:tcBorders>
              <w:tl2br w:val="nil"/>
              <w:tr2bl w:val="nil"/>
            </w:tcBorders>
            <w:shd w:val="clear" w:color="auto" w:fill="FFFFFF"/>
            <w:vAlign w:val="center"/>
          </w:tcPr>
          <w:p w14:paraId="02F829D9">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产出数量</w:t>
            </w:r>
          </w:p>
        </w:tc>
        <w:tc>
          <w:tcPr>
            <w:tcW w:w="1413" w:type="dxa"/>
            <w:tcBorders>
              <w:tl2br w:val="nil"/>
              <w:tr2bl w:val="nil"/>
            </w:tcBorders>
            <w:shd w:val="clear" w:color="auto" w:fill="FFFFFF"/>
          </w:tcPr>
          <w:p w14:paraId="39BD41CC">
            <w:pPr>
              <w:pageBreakBefore w:val="0"/>
              <w:widowControl/>
              <w:kinsoku/>
              <w:wordWrap/>
              <w:overflowPunct/>
              <w:topLinePunct w:val="0"/>
              <w:autoSpaceDN/>
              <w:bidi w:val="0"/>
              <w:adjustRightInd/>
              <w:snapToGrid/>
              <w:spacing w:line="560" w:lineRule="exact"/>
              <w:ind w:firstLine="0" w:firstLineChars="0"/>
              <w:jc w:val="center"/>
              <w:textAlignment w:val="auto"/>
              <w:rPr>
                <w:rFonts w:hint="default" w:ascii="宋体" w:hAnsi="宋体" w:eastAsia="宋体" w:cs="宋体"/>
                <w:color w:val="000000"/>
                <w:kern w:val="0"/>
                <w:sz w:val="22"/>
                <w:highlight w:val="none"/>
                <w:lang w:val="en-US" w:eastAsia="zh-CN"/>
              </w:rPr>
            </w:pPr>
            <w:r>
              <w:rPr>
                <w:rFonts w:hint="eastAsia" w:ascii="宋体" w:hAnsi="宋体" w:eastAsia="宋体" w:cs="宋体"/>
                <w:color w:val="000000"/>
                <w:kern w:val="0"/>
                <w:sz w:val="22"/>
                <w:highlight w:val="none"/>
                <w:lang w:val="en-US" w:eastAsia="zh-CN"/>
              </w:rPr>
              <w:t>侨界活动次数</w:t>
            </w:r>
          </w:p>
        </w:tc>
        <w:tc>
          <w:tcPr>
            <w:tcW w:w="2794" w:type="dxa"/>
            <w:vMerge w:val="restart"/>
            <w:tcBorders>
              <w:tl2br w:val="nil"/>
              <w:tr2bl w:val="nil"/>
            </w:tcBorders>
            <w:shd w:val="clear" w:color="000000" w:fill="FFFFFF"/>
            <w:vAlign w:val="center"/>
          </w:tcPr>
          <w:p w14:paraId="0B66169C">
            <w:pPr>
              <w:pageBreakBefore w:val="0"/>
              <w:widowControl/>
              <w:kinsoku/>
              <w:wordWrap/>
              <w:overflowPunct/>
              <w:topLinePunct w:val="0"/>
              <w:autoSpaceDN/>
              <w:bidi w:val="0"/>
              <w:adjustRightInd/>
              <w:snapToGrid/>
              <w:spacing w:line="560" w:lineRule="exact"/>
              <w:ind w:firstLine="0" w:firstLineChars="0"/>
              <w:textAlignment w:val="auto"/>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项目实施的实际产出数与计划产出数的比率，用以反映和考核项目产出数量目标的实现程度。</w:t>
            </w:r>
          </w:p>
        </w:tc>
        <w:tc>
          <w:tcPr>
            <w:tcW w:w="7354" w:type="dxa"/>
            <w:vMerge w:val="restart"/>
            <w:tcBorders>
              <w:tl2br w:val="nil"/>
              <w:tr2bl w:val="nil"/>
            </w:tcBorders>
            <w:shd w:val="clear" w:color="000000" w:fill="FFFFFF"/>
            <w:vAlign w:val="center"/>
          </w:tcPr>
          <w:p w14:paraId="1CCA199C">
            <w:pPr>
              <w:pageBreakBefore w:val="0"/>
              <w:widowControl/>
              <w:kinsoku/>
              <w:wordWrap/>
              <w:overflowPunct/>
              <w:topLinePunct w:val="0"/>
              <w:autoSpaceDN/>
              <w:bidi w:val="0"/>
              <w:adjustRightInd/>
              <w:snapToGrid/>
              <w:spacing w:line="560" w:lineRule="exact"/>
              <w:ind w:firstLine="0" w:firstLineChars="0"/>
              <w:textAlignment w:val="auto"/>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实际完成率=（实际产出数/计划产出数）×100%。</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实际产出数：一定时期（本年度或项目期）内项目实际产出的产品或提供的服务数量。</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计划产出数：项目绩效目标确定的在一定时期（本年度或项目期）内计划产出的产品或提供的服务数量。</w:t>
            </w:r>
          </w:p>
        </w:tc>
      </w:tr>
      <w:tr w14:paraId="5A7C63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71" w:hRule="atLeast"/>
          <w:jc w:val="center"/>
        </w:trPr>
        <w:tc>
          <w:tcPr>
            <w:tcW w:w="1157" w:type="dxa"/>
            <w:vMerge w:val="continue"/>
            <w:tcBorders>
              <w:tl2br w:val="nil"/>
              <w:tr2bl w:val="nil"/>
            </w:tcBorders>
            <w:shd w:val="clear" w:color="auto" w:fill="FFFFFF"/>
            <w:vAlign w:val="center"/>
          </w:tcPr>
          <w:p w14:paraId="5C6FA961">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highlight w:val="none"/>
              </w:rPr>
            </w:pPr>
          </w:p>
        </w:tc>
        <w:tc>
          <w:tcPr>
            <w:tcW w:w="1201" w:type="dxa"/>
            <w:vMerge w:val="continue"/>
            <w:tcBorders>
              <w:tl2br w:val="nil"/>
              <w:tr2bl w:val="nil"/>
            </w:tcBorders>
            <w:shd w:val="clear" w:color="auto" w:fill="FFFFFF"/>
            <w:vAlign w:val="center"/>
          </w:tcPr>
          <w:p w14:paraId="22B3EB3A">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highlight w:val="none"/>
              </w:rPr>
            </w:pPr>
          </w:p>
        </w:tc>
        <w:tc>
          <w:tcPr>
            <w:tcW w:w="1413" w:type="dxa"/>
            <w:tcBorders>
              <w:tl2br w:val="nil"/>
              <w:tr2bl w:val="nil"/>
            </w:tcBorders>
            <w:shd w:val="clear" w:color="auto" w:fill="FFFFFF"/>
          </w:tcPr>
          <w:p w14:paraId="569B1333">
            <w:pPr>
              <w:pageBreakBefore w:val="0"/>
              <w:widowControl/>
              <w:kinsoku/>
              <w:wordWrap/>
              <w:overflowPunct/>
              <w:topLinePunct w:val="0"/>
              <w:autoSpaceDN/>
              <w:bidi w:val="0"/>
              <w:adjustRightInd/>
              <w:snapToGrid/>
              <w:spacing w:line="560" w:lineRule="exact"/>
              <w:ind w:firstLine="0" w:firstLineChars="0"/>
              <w:jc w:val="center"/>
              <w:textAlignment w:val="auto"/>
              <w:rPr>
                <w:rFonts w:hint="default" w:ascii="宋体" w:hAnsi="宋体" w:eastAsia="宋体" w:cs="宋体"/>
                <w:color w:val="000000"/>
                <w:kern w:val="0"/>
                <w:sz w:val="22"/>
                <w:highlight w:val="none"/>
                <w:lang w:val="en-US" w:eastAsia="zh-CN"/>
              </w:rPr>
            </w:pPr>
            <w:r>
              <w:rPr>
                <w:rFonts w:hint="eastAsia" w:ascii="宋体" w:hAnsi="宋体" w:eastAsia="宋体" w:cs="宋体"/>
                <w:color w:val="000000"/>
                <w:kern w:val="0"/>
                <w:sz w:val="22"/>
                <w:highlight w:val="none"/>
                <w:lang w:val="en-US" w:eastAsia="zh-CN"/>
              </w:rPr>
              <w:t>置办家具数量</w:t>
            </w:r>
          </w:p>
        </w:tc>
        <w:tc>
          <w:tcPr>
            <w:tcW w:w="2794" w:type="dxa"/>
            <w:vMerge w:val="continue"/>
            <w:tcBorders>
              <w:tl2br w:val="nil"/>
              <w:tr2bl w:val="nil"/>
            </w:tcBorders>
            <w:shd w:val="clear" w:color="000000" w:fill="FFFFFF"/>
            <w:vAlign w:val="center"/>
          </w:tcPr>
          <w:p w14:paraId="07D41191">
            <w:pPr>
              <w:pageBreakBefore w:val="0"/>
              <w:widowControl/>
              <w:kinsoku/>
              <w:wordWrap/>
              <w:overflowPunct/>
              <w:topLinePunct w:val="0"/>
              <w:autoSpaceDN/>
              <w:bidi w:val="0"/>
              <w:adjustRightInd/>
              <w:snapToGrid/>
              <w:spacing w:line="560" w:lineRule="exact"/>
              <w:ind w:firstLine="0" w:firstLineChars="0"/>
              <w:textAlignment w:val="auto"/>
              <w:rPr>
                <w:rFonts w:ascii="宋体" w:hAnsi="宋体" w:eastAsia="宋体" w:cs="宋体"/>
                <w:color w:val="000000"/>
                <w:kern w:val="0"/>
                <w:sz w:val="22"/>
                <w:highlight w:val="none"/>
              </w:rPr>
            </w:pPr>
          </w:p>
        </w:tc>
        <w:tc>
          <w:tcPr>
            <w:tcW w:w="7354" w:type="dxa"/>
            <w:vMerge w:val="continue"/>
            <w:tcBorders>
              <w:tl2br w:val="nil"/>
              <w:tr2bl w:val="nil"/>
            </w:tcBorders>
            <w:shd w:val="clear" w:color="000000" w:fill="FFFFFF"/>
            <w:vAlign w:val="center"/>
          </w:tcPr>
          <w:p w14:paraId="3D0BE211">
            <w:pPr>
              <w:pageBreakBefore w:val="0"/>
              <w:widowControl/>
              <w:kinsoku/>
              <w:wordWrap/>
              <w:overflowPunct/>
              <w:topLinePunct w:val="0"/>
              <w:autoSpaceDN/>
              <w:bidi w:val="0"/>
              <w:adjustRightInd/>
              <w:snapToGrid/>
              <w:spacing w:line="560" w:lineRule="exact"/>
              <w:ind w:firstLine="0" w:firstLineChars="0"/>
              <w:textAlignment w:val="auto"/>
              <w:rPr>
                <w:rFonts w:ascii="宋体" w:hAnsi="宋体" w:eastAsia="宋体" w:cs="宋体"/>
                <w:color w:val="000000"/>
                <w:kern w:val="0"/>
                <w:sz w:val="22"/>
                <w:highlight w:val="none"/>
              </w:rPr>
            </w:pPr>
          </w:p>
        </w:tc>
      </w:tr>
      <w:tr w14:paraId="706289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71" w:hRule="atLeast"/>
          <w:jc w:val="center"/>
        </w:trPr>
        <w:tc>
          <w:tcPr>
            <w:tcW w:w="1157" w:type="dxa"/>
            <w:vMerge w:val="continue"/>
            <w:tcBorders>
              <w:tl2br w:val="nil"/>
              <w:tr2bl w:val="nil"/>
            </w:tcBorders>
            <w:shd w:val="clear" w:color="auto" w:fill="FFFFFF"/>
            <w:vAlign w:val="center"/>
          </w:tcPr>
          <w:p w14:paraId="5CFF45A8">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highlight w:val="none"/>
              </w:rPr>
            </w:pPr>
          </w:p>
        </w:tc>
        <w:tc>
          <w:tcPr>
            <w:tcW w:w="1201" w:type="dxa"/>
            <w:vMerge w:val="continue"/>
            <w:tcBorders>
              <w:tl2br w:val="nil"/>
              <w:tr2bl w:val="nil"/>
            </w:tcBorders>
            <w:shd w:val="clear" w:color="auto" w:fill="FFFFFF"/>
            <w:vAlign w:val="center"/>
          </w:tcPr>
          <w:p w14:paraId="3F3EC03E">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highlight w:val="none"/>
              </w:rPr>
            </w:pPr>
          </w:p>
        </w:tc>
        <w:tc>
          <w:tcPr>
            <w:tcW w:w="1413" w:type="dxa"/>
            <w:tcBorders>
              <w:tl2br w:val="nil"/>
              <w:tr2bl w:val="nil"/>
            </w:tcBorders>
            <w:shd w:val="clear" w:color="auto" w:fill="FFFFFF"/>
          </w:tcPr>
          <w:p w14:paraId="20325C6B">
            <w:pPr>
              <w:pageBreakBefore w:val="0"/>
              <w:widowControl/>
              <w:kinsoku/>
              <w:wordWrap/>
              <w:overflowPunct/>
              <w:topLinePunct w:val="0"/>
              <w:autoSpaceDN/>
              <w:bidi w:val="0"/>
              <w:adjustRightInd/>
              <w:snapToGrid/>
              <w:spacing w:line="560" w:lineRule="exact"/>
              <w:ind w:firstLine="0" w:firstLineChars="0"/>
              <w:jc w:val="center"/>
              <w:textAlignment w:val="auto"/>
              <w:rPr>
                <w:rFonts w:hint="default" w:ascii="宋体" w:hAnsi="宋体" w:eastAsia="宋体" w:cs="宋体"/>
                <w:color w:val="000000"/>
                <w:kern w:val="0"/>
                <w:sz w:val="22"/>
                <w:highlight w:val="none"/>
                <w:lang w:val="en-US"/>
              </w:rPr>
            </w:pPr>
            <w:r>
              <w:rPr>
                <w:rFonts w:hint="eastAsia" w:ascii="宋体" w:hAnsi="宋体" w:eastAsia="宋体" w:cs="宋体"/>
                <w:color w:val="000000"/>
                <w:kern w:val="0"/>
                <w:sz w:val="22"/>
                <w:highlight w:val="none"/>
                <w:lang w:val="en-US" w:eastAsia="zh-CN"/>
              </w:rPr>
              <w:t>服务侨众数量</w:t>
            </w:r>
          </w:p>
        </w:tc>
        <w:tc>
          <w:tcPr>
            <w:tcW w:w="2794" w:type="dxa"/>
            <w:vMerge w:val="continue"/>
            <w:tcBorders>
              <w:tl2br w:val="nil"/>
              <w:tr2bl w:val="nil"/>
            </w:tcBorders>
            <w:shd w:val="clear" w:color="000000" w:fill="FFFFFF"/>
            <w:vAlign w:val="center"/>
          </w:tcPr>
          <w:p w14:paraId="766C9A43">
            <w:pPr>
              <w:pageBreakBefore w:val="0"/>
              <w:widowControl/>
              <w:kinsoku/>
              <w:wordWrap/>
              <w:overflowPunct/>
              <w:topLinePunct w:val="0"/>
              <w:autoSpaceDN/>
              <w:bidi w:val="0"/>
              <w:adjustRightInd/>
              <w:snapToGrid/>
              <w:spacing w:line="560" w:lineRule="exact"/>
              <w:ind w:firstLine="0" w:firstLineChars="0"/>
              <w:textAlignment w:val="auto"/>
              <w:rPr>
                <w:rFonts w:ascii="宋体" w:hAnsi="宋体" w:eastAsia="宋体" w:cs="宋体"/>
                <w:color w:val="000000"/>
                <w:kern w:val="0"/>
                <w:sz w:val="22"/>
                <w:highlight w:val="none"/>
              </w:rPr>
            </w:pPr>
          </w:p>
        </w:tc>
        <w:tc>
          <w:tcPr>
            <w:tcW w:w="7354" w:type="dxa"/>
            <w:vMerge w:val="continue"/>
            <w:tcBorders>
              <w:tl2br w:val="nil"/>
              <w:tr2bl w:val="nil"/>
            </w:tcBorders>
            <w:shd w:val="clear" w:color="000000" w:fill="FFFFFF"/>
            <w:vAlign w:val="center"/>
          </w:tcPr>
          <w:p w14:paraId="211CBC3A">
            <w:pPr>
              <w:pageBreakBefore w:val="0"/>
              <w:widowControl/>
              <w:kinsoku/>
              <w:wordWrap/>
              <w:overflowPunct/>
              <w:topLinePunct w:val="0"/>
              <w:autoSpaceDN/>
              <w:bidi w:val="0"/>
              <w:adjustRightInd/>
              <w:snapToGrid/>
              <w:spacing w:line="560" w:lineRule="exact"/>
              <w:ind w:firstLine="0" w:firstLineChars="0"/>
              <w:textAlignment w:val="auto"/>
              <w:rPr>
                <w:rFonts w:ascii="宋体" w:hAnsi="宋体" w:eastAsia="宋体" w:cs="宋体"/>
                <w:color w:val="000000"/>
                <w:kern w:val="0"/>
                <w:sz w:val="22"/>
                <w:highlight w:val="none"/>
              </w:rPr>
            </w:pPr>
          </w:p>
        </w:tc>
      </w:tr>
      <w:tr w14:paraId="51F206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23" w:hRule="atLeast"/>
          <w:jc w:val="center"/>
        </w:trPr>
        <w:tc>
          <w:tcPr>
            <w:tcW w:w="1157" w:type="dxa"/>
            <w:vMerge w:val="restart"/>
            <w:tcBorders>
              <w:tl2br w:val="nil"/>
              <w:tr2bl w:val="nil"/>
            </w:tcBorders>
            <w:shd w:val="clear" w:color="auto" w:fill="FFFFFF"/>
            <w:vAlign w:val="center"/>
          </w:tcPr>
          <w:p w14:paraId="04BD5992">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w:t>
            </w:r>
          </w:p>
        </w:tc>
        <w:tc>
          <w:tcPr>
            <w:tcW w:w="1201" w:type="dxa"/>
            <w:tcBorders>
              <w:tl2br w:val="nil"/>
              <w:tr2bl w:val="nil"/>
            </w:tcBorders>
            <w:shd w:val="clear" w:color="auto" w:fill="FFFFFF"/>
            <w:vAlign w:val="center"/>
          </w:tcPr>
          <w:p w14:paraId="46E243BC">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产出质量</w:t>
            </w:r>
          </w:p>
        </w:tc>
        <w:tc>
          <w:tcPr>
            <w:tcW w:w="1413" w:type="dxa"/>
            <w:tcBorders>
              <w:tl2br w:val="nil"/>
              <w:tr2bl w:val="nil"/>
            </w:tcBorders>
            <w:shd w:val="clear" w:color="auto" w:fill="FFFFFF"/>
            <w:vAlign w:val="center"/>
          </w:tcPr>
          <w:p w14:paraId="5E75AF43">
            <w:pPr>
              <w:pageBreakBefore w:val="0"/>
              <w:widowControl/>
              <w:kinsoku/>
              <w:wordWrap/>
              <w:overflowPunct/>
              <w:topLinePunct w:val="0"/>
              <w:autoSpaceDN/>
              <w:bidi w:val="0"/>
              <w:adjustRightInd/>
              <w:snapToGrid/>
              <w:spacing w:line="560" w:lineRule="exact"/>
              <w:ind w:firstLine="0" w:firstLineChars="0"/>
              <w:jc w:val="center"/>
              <w:textAlignment w:val="auto"/>
              <w:rPr>
                <w:rFonts w:hint="default" w:ascii="宋体" w:hAnsi="宋体" w:eastAsia="宋体" w:cs="宋体"/>
                <w:color w:val="000000"/>
                <w:kern w:val="0"/>
                <w:sz w:val="22"/>
                <w:highlight w:val="none"/>
                <w:lang w:val="en-US" w:eastAsia="zh-CN"/>
              </w:rPr>
            </w:pPr>
            <w:r>
              <w:rPr>
                <w:rFonts w:hint="eastAsia" w:ascii="宋体" w:hAnsi="宋体" w:eastAsia="宋体" w:cs="宋体"/>
                <w:color w:val="000000"/>
                <w:kern w:val="0"/>
                <w:sz w:val="22"/>
                <w:highlight w:val="none"/>
                <w:lang w:val="en-US" w:eastAsia="zh-CN"/>
              </w:rPr>
              <w:t>室内设施投入使用率</w:t>
            </w:r>
          </w:p>
        </w:tc>
        <w:tc>
          <w:tcPr>
            <w:tcW w:w="2794" w:type="dxa"/>
            <w:tcBorders>
              <w:tl2br w:val="nil"/>
              <w:tr2bl w:val="nil"/>
            </w:tcBorders>
            <w:shd w:val="clear" w:color="000000" w:fill="FFFFFF"/>
            <w:vAlign w:val="center"/>
          </w:tcPr>
          <w:p w14:paraId="2AED473C">
            <w:pPr>
              <w:pageBreakBefore w:val="0"/>
              <w:widowControl/>
              <w:kinsoku/>
              <w:wordWrap/>
              <w:overflowPunct/>
              <w:topLinePunct w:val="0"/>
              <w:autoSpaceDN/>
              <w:bidi w:val="0"/>
              <w:adjustRightInd/>
              <w:snapToGrid/>
              <w:spacing w:line="560" w:lineRule="exact"/>
              <w:ind w:firstLine="0" w:firstLineChars="0"/>
              <w:textAlignment w:val="auto"/>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项目完成的</w:t>
            </w:r>
            <w:r>
              <w:rPr>
                <w:rFonts w:hint="eastAsia" w:ascii="宋体" w:hAnsi="宋体" w:eastAsia="宋体" w:cs="宋体"/>
                <w:color w:val="000000"/>
                <w:kern w:val="0"/>
                <w:sz w:val="22"/>
                <w:highlight w:val="none"/>
                <w:lang w:val="en-US" w:eastAsia="zh-CN"/>
              </w:rPr>
              <w:t>投入使用</w:t>
            </w:r>
            <w:r>
              <w:rPr>
                <w:rFonts w:hint="eastAsia" w:ascii="宋体" w:hAnsi="宋体" w:eastAsia="宋体" w:cs="宋体"/>
                <w:color w:val="000000"/>
                <w:kern w:val="0"/>
                <w:sz w:val="22"/>
                <w:highlight w:val="none"/>
              </w:rPr>
              <w:t>数与实际</w:t>
            </w:r>
            <w:r>
              <w:rPr>
                <w:rFonts w:hint="eastAsia" w:ascii="宋体" w:hAnsi="宋体" w:eastAsia="宋体" w:cs="宋体"/>
                <w:color w:val="000000"/>
                <w:kern w:val="0"/>
                <w:sz w:val="22"/>
                <w:highlight w:val="none"/>
                <w:lang w:val="en-US" w:eastAsia="zh-CN"/>
              </w:rPr>
              <w:t>使用</w:t>
            </w:r>
            <w:r>
              <w:rPr>
                <w:rFonts w:hint="eastAsia" w:ascii="宋体" w:hAnsi="宋体" w:eastAsia="宋体" w:cs="宋体"/>
                <w:color w:val="000000"/>
                <w:kern w:val="0"/>
                <w:sz w:val="22"/>
                <w:highlight w:val="none"/>
              </w:rPr>
              <w:t>数的比率，用以反映和考核项目产出质量目标的实现程度。</w:t>
            </w:r>
          </w:p>
        </w:tc>
        <w:tc>
          <w:tcPr>
            <w:tcW w:w="7354" w:type="dxa"/>
            <w:tcBorders>
              <w:tl2br w:val="nil"/>
              <w:tr2bl w:val="nil"/>
            </w:tcBorders>
            <w:shd w:val="clear" w:color="000000" w:fill="FFFFFF"/>
            <w:vAlign w:val="center"/>
          </w:tcPr>
          <w:p w14:paraId="52A5C5D0">
            <w:pPr>
              <w:pageBreakBefore w:val="0"/>
              <w:widowControl/>
              <w:kinsoku/>
              <w:wordWrap/>
              <w:overflowPunct/>
              <w:topLinePunct w:val="0"/>
              <w:autoSpaceDN/>
              <w:bidi w:val="0"/>
              <w:adjustRightInd/>
              <w:snapToGrid/>
              <w:spacing w:line="560" w:lineRule="exact"/>
              <w:ind w:firstLine="0" w:firstLineChars="0"/>
              <w:textAlignment w:val="auto"/>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lang w:val="en-US" w:eastAsia="zh-CN"/>
              </w:rPr>
              <w:t>投入使用</w:t>
            </w:r>
            <w:r>
              <w:rPr>
                <w:rFonts w:hint="eastAsia" w:ascii="宋体" w:hAnsi="宋体" w:eastAsia="宋体" w:cs="宋体"/>
                <w:color w:val="000000"/>
                <w:kern w:val="0"/>
                <w:sz w:val="22"/>
                <w:highlight w:val="none"/>
              </w:rPr>
              <w:t>率=（</w:t>
            </w:r>
            <w:r>
              <w:rPr>
                <w:rFonts w:hint="eastAsia" w:ascii="宋体" w:hAnsi="宋体" w:eastAsia="宋体" w:cs="宋体"/>
                <w:color w:val="000000"/>
                <w:kern w:val="0"/>
                <w:sz w:val="22"/>
                <w:highlight w:val="none"/>
                <w:lang w:val="en-US" w:eastAsia="zh-CN"/>
              </w:rPr>
              <w:t>投入使用</w:t>
            </w:r>
            <w:r>
              <w:rPr>
                <w:rFonts w:hint="eastAsia" w:ascii="宋体" w:hAnsi="宋体" w:eastAsia="宋体" w:cs="宋体"/>
                <w:color w:val="000000"/>
                <w:kern w:val="0"/>
                <w:sz w:val="22"/>
                <w:highlight w:val="none"/>
              </w:rPr>
              <w:t>数/实际</w:t>
            </w:r>
            <w:r>
              <w:rPr>
                <w:rFonts w:hint="eastAsia" w:ascii="宋体" w:hAnsi="宋体" w:eastAsia="宋体" w:cs="宋体"/>
                <w:color w:val="000000"/>
                <w:kern w:val="0"/>
                <w:sz w:val="22"/>
                <w:highlight w:val="none"/>
                <w:lang w:val="en-US" w:eastAsia="zh-CN"/>
              </w:rPr>
              <w:t>使用</w:t>
            </w:r>
            <w:r>
              <w:rPr>
                <w:rFonts w:hint="eastAsia" w:ascii="宋体" w:hAnsi="宋体" w:eastAsia="宋体" w:cs="宋体"/>
                <w:color w:val="000000"/>
                <w:kern w:val="0"/>
                <w:sz w:val="22"/>
                <w:highlight w:val="none"/>
              </w:rPr>
              <w:t>数）×100%。</w:t>
            </w:r>
          </w:p>
          <w:p w14:paraId="47086E90">
            <w:pPr>
              <w:pageBreakBefore w:val="0"/>
              <w:widowControl/>
              <w:kinsoku/>
              <w:wordWrap/>
              <w:overflowPunct/>
              <w:topLinePunct w:val="0"/>
              <w:autoSpaceDN/>
              <w:bidi w:val="0"/>
              <w:adjustRightInd/>
              <w:snapToGrid/>
              <w:spacing w:line="560" w:lineRule="exact"/>
              <w:ind w:firstLine="0" w:firstLineChars="0"/>
              <w:textAlignment w:val="auto"/>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lang w:val="en-US" w:eastAsia="zh-CN"/>
              </w:rPr>
              <w:t>投入使用数</w:t>
            </w:r>
            <w:r>
              <w:rPr>
                <w:rFonts w:hint="eastAsia" w:ascii="宋体" w:hAnsi="宋体" w:eastAsia="宋体" w:cs="宋体"/>
                <w:color w:val="000000"/>
                <w:kern w:val="0"/>
                <w:sz w:val="22"/>
                <w:highlight w:val="none"/>
              </w:rPr>
              <w:t>数：一定时期（本年度或项目期）内实际达到</w:t>
            </w:r>
            <w:r>
              <w:rPr>
                <w:rFonts w:hint="eastAsia" w:ascii="宋体" w:hAnsi="宋体" w:eastAsia="宋体" w:cs="宋体"/>
                <w:color w:val="000000"/>
                <w:kern w:val="0"/>
                <w:sz w:val="22"/>
                <w:highlight w:val="none"/>
                <w:lang w:val="en-US" w:eastAsia="zh-CN"/>
              </w:rPr>
              <w:t>使用</w:t>
            </w:r>
            <w:r>
              <w:rPr>
                <w:rFonts w:hint="eastAsia" w:ascii="宋体" w:hAnsi="宋体" w:eastAsia="宋体" w:cs="宋体"/>
                <w:color w:val="000000"/>
                <w:kern w:val="0"/>
                <w:sz w:val="22"/>
                <w:highlight w:val="none"/>
              </w:rPr>
              <w:t>标准的产品或服务数量。既定质量标准是指项目实施单位设立绩效目标时依据计划标准、行业标准、历史标准或其他标准而设定的绩效指标值。</w:t>
            </w:r>
          </w:p>
        </w:tc>
      </w:tr>
      <w:tr w14:paraId="0DB210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23" w:hRule="atLeast"/>
          <w:jc w:val="center"/>
        </w:trPr>
        <w:tc>
          <w:tcPr>
            <w:tcW w:w="1157" w:type="dxa"/>
            <w:vMerge w:val="continue"/>
            <w:tcBorders>
              <w:tl2br w:val="nil"/>
              <w:tr2bl w:val="nil"/>
            </w:tcBorders>
            <w:shd w:val="clear" w:color="auto" w:fill="FFFFFF"/>
            <w:vAlign w:val="center"/>
          </w:tcPr>
          <w:p w14:paraId="27D76323">
            <w:pPr>
              <w:pageBreakBefore w:val="0"/>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highlight w:val="none"/>
              </w:rPr>
            </w:pPr>
          </w:p>
        </w:tc>
        <w:tc>
          <w:tcPr>
            <w:tcW w:w="1201" w:type="dxa"/>
            <w:tcBorders>
              <w:tl2br w:val="nil"/>
              <w:tr2bl w:val="nil"/>
            </w:tcBorders>
            <w:shd w:val="clear" w:color="auto" w:fill="FFFFFF"/>
            <w:vAlign w:val="center"/>
          </w:tcPr>
          <w:p w14:paraId="3F6CCE3D">
            <w:pPr>
              <w:pageBreakBefore w:val="0"/>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产出时效</w:t>
            </w:r>
          </w:p>
        </w:tc>
        <w:tc>
          <w:tcPr>
            <w:tcW w:w="1413" w:type="dxa"/>
            <w:tcBorders>
              <w:tl2br w:val="nil"/>
              <w:tr2bl w:val="nil"/>
            </w:tcBorders>
            <w:shd w:val="clear" w:color="auto" w:fill="FFFFFF"/>
            <w:vAlign w:val="center"/>
          </w:tcPr>
          <w:p w14:paraId="120762ED">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lang w:val="en-US" w:eastAsia="zh-CN"/>
              </w:rPr>
              <w:t>设备采购完成</w:t>
            </w:r>
            <w:r>
              <w:rPr>
                <w:rFonts w:hint="eastAsia" w:ascii="宋体" w:hAnsi="宋体" w:eastAsia="宋体" w:cs="宋体"/>
                <w:color w:val="000000"/>
                <w:kern w:val="0"/>
                <w:sz w:val="22"/>
                <w:highlight w:val="none"/>
              </w:rPr>
              <w:t>及时率</w:t>
            </w:r>
          </w:p>
        </w:tc>
        <w:tc>
          <w:tcPr>
            <w:tcW w:w="2794" w:type="dxa"/>
            <w:tcBorders>
              <w:tl2br w:val="nil"/>
              <w:tr2bl w:val="nil"/>
            </w:tcBorders>
            <w:shd w:val="clear" w:color="000000" w:fill="FFFFFF"/>
            <w:vAlign w:val="center"/>
          </w:tcPr>
          <w:p w14:paraId="73BDB141">
            <w:pPr>
              <w:pageBreakBefore w:val="0"/>
              <w:widowControl/>
              <w:kinsoku/>
              <w:wordWrap/>
              <w:overflowPunct/>
              <w:topLinePunct w:val="0"/>
              <w:autoSpaceDN/>
              <w:bidi w:val="0"/>
              <w:adjustRightInd/>
              <w:snapToGrid/>
              <w:spacing w:line="560" w:lineRule="exact"/>
              <w:ind w:firstLine="0" w:firstLineChars="0"/>
              <w:textAlignment w:val="auto"/>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项目实际完成时间与计划完成时间的比较，用以反映和考核项目产出时效目标的实现程度。</w:t>
            </w:r>
          </w:p>
        </w:tc>
        <w:tc>
          <w:tcPr>
            <w:tcW w:w="7354" w:type="dxa"/>
            <w:tcBorders>
              <w:tl2br w:val="nil"/>
              <w:tr2bl w:val="nil"/>
            </w:tcBorders>
            <w:shd w:val="clear" w:color="000000" w:fill="FFFFFF"/>
            <w:vAlign w:val="center"/>
          </w:tcPr>
          <w:p w14:paraId="1ED6CE7A">
            <w:pPr>
              <w:pageBreakBefore w:val="0"/>
              <w:widowControl/>
              <w:kinsoku/>
              <w:wordWrap/>
              <w:overflowPunct/>
              <w:topLinePunct w:val="0"/>
              <w:autoSpaceDN/>
              <w:bidi w:val="0"/>
              <w:adjustRightInd/>
              <w:snapToGrid/>
              <w:spacing w:line="560" w:lineRule="exact"/>
              <w:ind w:firstLine="0" w:firstLineChars="0"/>
              <w:textAlignment w:val="auto"/>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实际完成时间：项目实施单位完成该项目实际所耗用的时间。</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计划完成时间：按照项目实施计划或相关规定完成该项目所需的时间。</w:t>
            </w:r>
          </w:p>
        </w:tc>
      </w:tr>
      <w:tr w14:paraId="0FD8A0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97" w:hRule="atLeast"/>
          <w:jc w:val="center"/>
        </w:trPr>
        <w:tc>
          <w:tcPr>
            <w:tcW w:w="1157" w:type="dxa"/>
            <w:vMerge w:val="continue"/>
            <w:tcBorders>
              <w:tl2br w:val="nil"/>
              <w:tr2bl w:val="nil"/>
            </w:tcBorders>
            <w:shd w:val="clear" w:color="auto" w:fill="FFFFFF"/>
            <w:vAlign w:val="center"/>
          </w:tcPr>
          <w:p w14:paraId="72B61D3F">
            <w:pPr>
              <w:pageBreakBefore w:val="0"/>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highlight w:val="none"/>
              </w:rPr>
            </w:pPr>
          </w:p>
        </w:tc>
        <w:tc>
          <w:tcPr>
            <w:tcW w:w="1201" w:type="dxa"/>
            <w:vMerge w:val="restart"/>
            <w:tcBorders>
              <w:tl2br w:val="nil"/>
              <w:tr2bl w:val="nil"/>
            </w:tcBorders>
            <w:shd w:val="clear" w:color="auto" w:fill="FFFFFF"/>
            <w:vAlign w:val="center"/>
          </w:tcPr>
          <w:p w14:paraId="6CC18A29">
            <w:pPr>
              <w:pageBreakBefore w:val="0"/>
              <w:kinsoku/>
              <w:wordWrap/>
              <w:overflowPunct/>
              <w:topLinePunct w:val="0"/>
              <w:autoSpaceDN/>
              <w:bidi w:val="0"/>
              <w:adjustRightInd/>
              <w:snapToGrid/>
              <w:spacing w:line="560" w:lineRule="exact"/>
              <w:ind w:firstLine="0" w:firstLineChars="0"/>
              <w:jc w:val="center"/>
              <w:textAlignment w:val="auto"/>
              <w:rPr>
                <w:rFonts w:hint="default" w:ascii="宋体" w:hAnsi="宋体" w:eastAsia="宋体" w:cs="宋体"/>
                <w:color w:val="000000"/>
                <w:kern w:val="0"/>
                <w:sz w:val="22"/>
                <w:highlight w:val="none"/>
                <w:lang w:val="en-US" w:eastAsia="zh-CN"/>
              </w:rPr>
            </w:pPr>
            <w:r>
              <w:rPr>
                <w:rFonts w:hint="eastAsia" w:ascii="宋体" w:hAnsi="宋体" w:eastAsia="宋体" w:cs="宋体"/>
                <w:color w:val="000000"/>
                <w:kern w:val="0"/>
                <w:sz w:val="22"/>
                <w:highlight w:val="none"/>
                <w:lang w:val="en-US" w:eastAsia="zh-CN"/>
              </w:rPr>
              <w:t>产出成本</w:t>
            </w:r>
          </w:p>
        </w:tc>
        <w:tc>
          <w:tcPr>
            <w:tcW w:w="1413" w:type="dxa"/>
            <w:tcBorders>
              <w:tl2br w:val="nil"/>
              <w:tr2bl w:val="nil"/>
            </w:tcBorders>
            <w:shd w:val="clear" w:color="auto" w:fill="FFFFFF"/>
            <w:vAlign w:val="center"/>
          </w:tcPr>
          <w:p w14:paraId="1124DC18">
            <w:pPr>
              <w:pageBreakBefore w:val="0"/>
              <w:widowControl/>
              <w:kinsoku/>
              <w:wordWrap/>
              <w:overflowPunct/>
              <w:topLinePunct w:val="0"/>
              <w:autoSpaceDN/>
              <w:bidi w:val="0"/>
              <w:adjustRightInd/>
              <w:snapToGrid/>
              <w:spacing w:line="560" w:lineRule="exact"/>
              <w:ind w:firstLine="0" w:firstLineChars="0"/>
              <w:jc w:val="center"/>
              <w:textAlignment w:val="auto"/>
              <w:rPr>
                <w:rFonts w:hint="default" w:ascii="宋体" w:hAnsi="宋体" w:eastAsia="宋体" w:cs="宋体"/>
                <w:color w:val="000000"/>
                <w:kern w:val="0"/>
                <w:sz w:val="22"/>
                <w:highlight w:val="none"/>
                <w:lang w:val="en-US" w:eastAsia="zh-CN"/>
              </w:rPr>
            </w:pPr>
            <w:r>
              <w:rPr>
                <w:rFonts w:hint="eastAsia" w:ascii="宋体" w:hAnsi="宋体" w:eastAsia="宋体" w:cs="宋体"/>
                <w:color w:val="000000"/>
                <w:kern w:val="0"/>
                <w:sz w:val="22"/>
                <w:highlight w:val="none"/>
                <w:lang w:val="en-US" w:eastAsia="zh-CN"/>
              </w:rPr>
              <w:t>购买书架展示柜设计服务</w:t>
            </w:r>
          </w:p>
        </w:tc>
        <w:tc>
          <w:tcPr>
            <w:tcW w:w="2794" w:type="dxa"/>
            <w:vMerge w:val="restart"/>
            <w:tcBorders>
              <w:tl2br w:val="nil"/>
              <w:tr2bl w:val="nil"/>
            </w:tcBorders>
            <w:shd w:val="clear" w:color="000000" w:fill="FFFFFF"/>
            <w:vAlign w:val="center"/>
          </w:tcPr>
          <w:p w14:paraId="124F6F72">
            <w:pPr>
              <w:pageBreakBefore w:val="0"/>
              <w:widowControl/>
              <w:kinsoku/>
              <w:wordWrap/>
              <w:overflowPunct/>
              <w:topLinePunct w:val="0"/>
              <w:autoSpaceDN/>
              <w:bidi w:val="0"/>
              <w:adjustRightInd/>
              <w:snapToGrid/>
              <w:spacing w:line="560" w:lineRule="exact"/>
              <w:ind w:firstLine="0" w:firstLineChars="0"/>
              <w:textAlignment w:val="auto"/>
              <w:rPr>
                <w:rFonts w:hint="eastAsia" w:ascii="宋体" w:hAnsi="宋体" w:eastAsia="宋体" w:cs="宋体"/>
                <w:color w:val="000000"/>
                <w:kern w:val="0"/>
                <w:sz w:val="22"/>
                <w:highlight w:val="none"/>
              </w:rPr>
            </w:pPr>
            <w:r>
              <w:rPr>
                <w:rFonts w:hint="eastAsia" w:ascii="宋体" w:hAnsi="宋体" w:eastAsia="宋体" w:cs="宋体"/>
                <w:color w:val="000000"/>
                <w:kern w:val="0"/>
                <w:sz w:val="22"/>
              </w:rPr>
              <w:t>完成项目计划工作目标的实际节约成本与计划成本的比率，用以反映和考核项目的成本节约程度。</w:t>
            </w:r>
          </w:p>
        </w:tc>
        <w:tc>
          <w:tcPr>
            <w:tcW w:w="7354" w:type="dxa"/>
            <w:vMerge w:val="restart"/>
            <w:tcBorders>
              <w:tl2br w:val="nil"/>
              <w:tr2bl w:val="nil"/>
            </w:tcBorders>
            <w:shd w:val="clear" w:color="000000" w:fill="FFFFFF"/>
            <w:vAlign w:val="center"/>
          </w:tcPr>
          <w:p w14:paraId="19D24737">
            <w:pPr>
              <w:pageBreakBefore w:val="0"/>
              <w:widowControl/>
              <w:kinsoku/>
              <w:wordWrap/>
              <w:overflowPunct/>
              <w:topLinePunct w:val="0"/>
              <w:autoSpaceDN/>
              <w:bidi w:val="0"/>
              <w:adjustRightInd/>
              <w:snapToGrid/>
              <w:spacing w:line="560" w:lineRule="exact"/>
              <w:ind w:firstLine="0" w:firstLineChars="0"/>
              <w:textAlignment w:val="auto"/>
              <w:rPr>
                <w:rFonts w:hint="eastAsia" w:ascii="宋体" w:hAnsi="宋体" w:eastAsia="宋体" w:cs="宋体"/>
                <w:color w:val="000000"/>
                <w:kern w:val="0"/>
                <w:sz w:val="22"/>
                <w:highlight w:val="none"/>
              </w:rPr>
            </w:pPr>
            <w:r>
              <w:rPr>
                <w:rFonts w:hint="eastAsia" w:ascii="宋体" w:hAnsi="宋体" w:eastAsia="宋体" w:cs="宋体"/>
                <w:color w:val="000000"/>
                <w:kern w:val="0"/>
                <w:sz w:val="22"/>
              </w:rPr>
              <w:t>成本节约率=[（计划成本-实际成本）/计划成本]×100%。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实际成本：项目实施单位如期、保质、保量完成既定工作目标实际所耗费的支出。</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计划成本：项目实施单位为完成工作目标计划安排的支出，一般以项目预算为参考。</w:t>
            </w:r>
          </w:p>
        </w:tc>
      </w:tr>
      <w:tr w14:paraId="3DCBAD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9" w:hRule="atLeast"/>
          <w:jc w:val="center"/>
        </w:trPr>
        <w:tc>
          <w:tcPr>
            <w:tcW w:w="1157" w:type="dxa"/>
            <w:vMerge w:val="continue"/>
            <w:tcBorders>
              <w:tl2br w:val="nil"/>
              <w:tr2bl w:val="nil"/>
            </w:tcBorders>
            <w:shd w:val="clear" w:color="auto" w:fill="FFFFFF"/>
            <w:vAlign w:val="center"/>
          </w:tcPr>
          <w:p w14:paraId="45E73882">
            <w:pPr>
              <w:pageBreakBefore w:val="0"/>
              <w:widowControl/>
              <w:kinsoku/>
              <w:wordWrap/>
              <w:overflowPunct/>
              <w:topLinePunct w:val="0"/>
              <w:autoSpaceDN/>
              <w:bidi w:val="0"/>
              <w:adjustRightInd/>
              <w:snapToGrid/>
              <w:spacing w:line="560" w:lineRule="exact"/>
              <w:ind w:firstLine="0" w:firstLineChars="0"/>
              <w:jc w:val="center"/>
              <w:textAlignment w:val="auto"/>
            </w:pPr>
          </w:p>
        </w:tc>
        <w:tc>
          <w:tcPr>
            <w:tcW w:w="1201" w:type="dxa"/>
            <w:vMerge w:val="continue"/>
            <w:tcBorders>
              <w:tl2br w:val="nil"/>
              <w:tr2bl w:val="nil"/>
            </w:tcBorders>
            <w:shd w:val="clear" w:color="auto" w:fill="FFFFFF"/>
            <w:vAlign w:val="center"/>
          </w:tcPr>
          <w:p w14:paraId="5984F4E4">
            <w:pPr>
              <w:pageBreakBefore w:val="0"/>
              <w:widowControl/>
              <w:kinsoku/>
              <w:wordWrap/>
              <w:overflowPunct/>
              <w:topLinePunct w:val="0"/>
              <w:autoSpaceDN/>
              <w:bidi w:val="0"/>
              <w:adjustRightInd/>
              <w:snapToGrid/>
              <w:spacing w:line="560" w:lineRule="exact"/>
              <w:ind w:firstLine="0" w:firstLineChars="0"/>
              <w:jc w:val="center"/>
              <w:textAlignment w:val="auto"/>
            </w:pPr>
          </w:p>
        </w:tc>
        <w:tc>
          <w:tcPr>
            <w:tcW w:w="1413" w:type="dxa"/>
            <w:tcBorders>
              <w:tl2br w:val="nil"/>
              <w:tr2bl w:val="nil"/>
            </w:tcBorders>
            <w:shd w:val="clear" w:color="auto" w:fill="FFFFFF"/>
            <w:vAlign w:val="center"/>
          </w:tcPr>
          <w:p w14:paraId="031BCEE2">
            <w:pPr>
              <w:pageBreakBefore w:val="0"/>
              <w:widowControl/>
              <w:kinsoku/>
              <w:wordWrap/>
              <w:overflowPunct/>
              <w:topLinePunct w:val="0"/>
              <w:autoSpaceDN/>
              <w:bidi w:val="0"/>
              <w:adjustRightInd/>
              <w:snapToGrid/>
              <w:spacing w:line="560" w:lineRule="exact"/>
              <w:ind w:firstLine="0" w:firstLineChars="0"/>
              <w:jc w:val="center"/>
              <w:textAlignment w:val="auto"/>
              <w:rPr>
                <w:rFonts w:hint="default" w:ascii="宋体" w:hAnsi="宋体" w:eastAsia="宋体" w:cs="宋体"/>
                <w:color w:val="000000"/>
                <w:kern w:val="0"/>
                <w:sz w:val="22"/>
                <w:highlight w:val="none"/>
                <w:lang w:val="en-US" w:eastAsia="zh-CN"/>
              </w:rPr>
            </w:pPr>
            <w:r>
              <w:rPr>
                <w:rFonts w:hint="eastAsia" w:ascii="宋体" w:hAnsi="宋体" w:eastAsia="宋体" w:cs="宋体"/>
                <w:color w:val="000000"/>
                <w:kern w:val="0"/>
                <w:sz w:val="22"/>
                <w:highlight w:val="none"/>
                <w:lang w:val="en-US" w:eastAsia="zh-CN"/>
              </w:rPr>
              <w:t>购买投影仪等配套设备</w:t>
            </w:r>
          </w:p>
        </w:tc>
        <w:tc>
          <w:tcPr>
            <w:tcW w:w="2794" w:type="dxa"/>
            <w:vMerge w:val="continue"/>
            <w:tcBorders>
              <w:tl2br w:val="nil"/>
              <w:tr2bl w:val="nil"/>
            </w:tcBorders>
            <w:shd w:val="clear" w:color="000000" w:fill="FFFFFF"/>
            <w:vAlign w:val="center"/>
          </w:tcPr>
          <w:p w14:paraId="4ADF0869">
            <w:pPr>
              <w:pageBreakBefore w:val="0"/>
              <w:widowControl/>
              <w:kinsoku/>
              <w:wordWrap/>
              <w:overflowPunct/>
              <w:topLinePunct w:val="0"/>
              <w:autoSpaceDN/>
              <w:bidi w:val="0"/>
              <w:adjustRightInd/>
              <w:snapToGrid/>
              <w:spacing w:line="560" w:lineRule="exact"/>
              <w:ind w:firstLine="0" w:firstLineChars="0"/>
              <w:jc w:val="center"/>
              <w:textAlignment w:val="auto"/>
              <w:rPr>
                <w:rFonts w:hint="eastAsia" w:ascii="宋体" w:hAnsi="宋体" w:eastAsia="宋体" w:cs="宋体"/>
                <w:color w:val="000000"/>
                <w:kern w:val="0"/>
                <w:sz w:val="22"/>
                <w:highlight w:val="none"/>
                <w:lang w:val="en-US" w:eastAsia="zh-CN"/>
              </w:rPr>
            </w:pPr>
          </w:p>
        </w:tc>
        <w:tc>
          <w:tcPr>
            <w:tcW w:w="7354" w:type="dxa"/>
            <w:vMerge w:val="continue"/>
            <w:tcBorders>
              <w:tl2br w:val="nil"/>
              <w:tr2bl w:val="nil"/>
            </w:tcBorders>
            <w:shd w:val="clear" w:color="000000" w:fill="FFFFFF"/>
            <w:vAlign w:val="center"/>
          </w:tcPr>
          <w:p w14:paraId="68FF0FA6">
            <w:pPr>
              <w:pageBreakBefore w:val="0"/>
              <w:widowControl/>
              <w:kinsoku/>
              <w:wordWrap/>
              <w:overflowPunct/>
              <w:topLinePunct w:val="0"/>
              <w:autoSpaceDN/>
              <w:bidi w:val="0"/>
              <w:adjustRightInd/>
              <w:snapToGrid/>
              <w:spacing w:line="560" w:lineRule="exact"/>
              <w:ind w:firstLine="0" w:firstLineChars="0"/>
              <w:jc w:val="center"/>
              <w:textAlignment w:val="auto"/>
              <w:rPr>
                <w:rFonts w:hint="eastAsia" w:ascii="宋体" w:hAnsi="宋体" w:eastAsia="宋体" w:cs="宋体"/>
                <w:color w:val="000000"/>
                <w:kern w:val="0"/>
                <w:sz w:val="22"/>
                <w:highlight w:val="none"/>
                <w:lang w:val="en-US" w:eastAsia="zh-CN"/>
              </w:rPr>
            </w:pPr>
          </w:p>
        </w:tc>
      </w:tr>
      <w:tr w14:paraId="0D6F7D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71" w:hRule="atLeast"/>
          <w:jc w:val="center"/>
        </w:trPr>
        <w:tc>
          <w:tcPr>
            <w:tcW w:w="1157" w:type="dxa"/>
            <w:vMerge w:val="continue"/>
            <w:tcBorders>
              <w:tl2br w:val="nil"/>
              <w:tr2bl w:val="nil"/>
            </w:tcBorders>
            <w:shd w:val="clear" w:color="auto" w:fill="FFFFFF"/>
            <w:vAlign w:val="center"/>
          </w:tcPr>
          <w:p w14:paraId="2EF4FD28">
            <w:pPr>
              <w:pageBreakBefore w:val="0"/>
              <w:widowControl/>
              <w:kinsoku/>
              <w:wordWrap/>
              <w:overflowPunct/>
              <w:topLinePunct w:val="0"/>
              <w:autoSpaceDN/>
              <w:bidi w:val="0"/>
              <w:adjustRightInd/>
              <w:snapToGrid/>
              <w:spacing w:line="560" w:lineRule="exact"/>
              <w:ind w:firstLine="0" w:firstLineChars="0"/>
              <w:jc w:val="center"/>
              <w:textAlignment w:val="auto"/>
              <w:rPr>
                <w:rFonts w:hint="eastAsia" w:ascii="宋体" w:hAnsi="宋体" w:eastAsia="宋体" w:cs="宋体"/>
                <w:color w:val="000000"/>
                <w:kern w:val="0"/>
                <w:sz w:val="22"/>
                <w:highlight w:val="none"/>
                <w:lang w:val="en-US" w:eastAsia="zh-CN"/>
              </w:rPr>
            </w:pPr>
          </w:p>
        </w:tc>
        <w:tc>
          <w:tcPr>
            <w:tcW w:w="1201" w:type="dxa"/>
            <w:vMerge w:val="continue"/>
            <w:tcBorders>
              <w:tl2br w:val="nil"/>
              <w:tr2bl w:val="nil"/>
            </w:tcBorders>
            <w:shd w:val="clear" w:color="auto" w:fill="FFFFFF"/>
            <w:vAlign w:val="center"/>
          </w:tcPr>
          <w:p w14:paraId="5D5A06AF">
            <w:pPr>
              <w:pageBreakBefore w:val="0"/>
              <w:widowControl/>
              <w:kinsoku/>
              <w:wordWrap/>
              <w:overflowPunct/>
              <w:topLinePunct w:val="0"/>
              <w:autoSpaceDN/>
              <w:bidi w:val="0"/>
              <w:adjustRightInd/>
              <w:snapToGrid/>
              <w:spacing w:line="560" w:lineRule="exact"/>
              <w:ind w:firstLine="0" w:firstLineChars="0"/>
              <w:jc w:val="center"/>
              <w:textAlignment w:val="auto"/>
              <w:rPr>
                <w:rFonts w:hint="eastAsia" w:ascii="宋体" w:hAnsi="宋体" w:eastAsia="宋体" w:cs="宋体"/>
                <w:color w:val="000000"/>
                <w:kern w:val="0"/>
                <w:sz w:val="22"/>
                <w:highlight w:val="none"/>
                <w:lang w:val="en-US" w:eastAsia="zh-CN"/>
              </w:rPr>
            </w:pPr>
          </w:p>
        </w:tc>
        <w:tc>
          <w:tcPr>
            <w:tcW w:w="1413" w:type="dxa"/>
            <w:tcBorders>
              <w:tl2br w:val="nil"/>
              <w:tr2bl w:val="nil"/>
            </w:tcBorders>
            <w:shd w:val="clear" w:color="auto" w:fill="FFFFFF"/>
            <w:vAlign w:val="center"/>
          </w:tcPr>
          <w:p w14:paraId="7CFDE81B">
            <w:pPr>
              <w:pageBreakBefore w:val="0"/>
              <w:widowControl/>
              <w:kinsoku/>
              <w:wordWrap/>
              <w:overflowPunct/>
              <w:topLinePunct w:val="0"/>
              <w:autoSpaceDN/>
              <w:bidi w:val="0"/>
              <w:adjustRightInd/>
              <w:snapToGrid/>
              <w:spacing w:line="560" w:lineRule="exact"/>
              <w:ind w:firstLine="0" w:firstLineChars="0"/>
              <w:jc w:val="center"/>
              <w:textAlignment w:val="auto"/>
              <w:rPr>
                <w:rFonts w:hint="default" w:ascii="宋体" w:hAnsi="宋体" w:eastAsia="宋体" w:cs="宋体"/>
                <w:color w:val="000000"/>
                <w:kern w:val="0"/>
                <w:sz w:val="22"/>
                <w:highlight w:val="none"/>
                <w:lang w:val="en-US" w:eastAsia="zh-CN"/>
              </w:rPr>
            </w:pPr>
            <w:r>
              <w:rPr>
                <w:rFonts w:hint="eastAsia" w:ascii="宋体" w:hAnsi="宋体" w:eastAsia="宋体" w:cs="宋体"/>
                <w:color w:val="000000"/>
                <w:kern w:val="0"/>
                <w:sz w:val="22"/>
                <w:highlight w:val="none"/>
                <w:lang w:val="en-US" w:eastAsia="zh-CN"/>
              </w:rPr>
              <w:t>购买办公家具</w:t>
            </w:r>
          </w:p>
        </w:tc>
        <w:tc>
          <w:tcPr>
            <w:tcW w:w="2794" w:type="dxa"/>
            <w:vMerge w:val="continue"/>
            <w:tcBorders>
              <w:tl2br w:val="nil"/>
              <w:tr2bl w:val="nil"/>
            </w:tcBorders>
            <w:shd w:val="clear" w:color="000000" w:fill="FFFFFF"/>
            <w:vAlign w:val="center"/>
          </w:tcPr>
          <w:p w14:paraId="7C2C4264">
            <w:pPr>
              <w:pageBreakBefore w:val="0"/>
              <w:widowControl/>
              <w:kinsoku/>
              <w:wordWrap/>
              <w:overflowPunct/>
              <w:topLinePunct w:val="0"/>
              <w:autoSpaceDN/>
              <w:bidi w:val="0"/>
              <w:adjustRightInd/>
              <w:snapToGrid/>
              <w:spacing w:line="560" w:lineRule="exact"/>
              <w:ind w:firstLine="0" w:firstLineChars="0"/>
              <w:jc w:val="center"/>
              <w:textAlignment w:val="auto"/>
              <w:rPr>
                <w:rFonts w:hint="eastAsia" w:ascii="宋体" w:hAnsi="宋体" w:eastAsia="宋体" w:cs="宋体"/>
                <w:color w:val="000000"/>
                <w:kern w:val="0"/>
                <w:sz w:val="22"/>
                <w:highlight w:val="none"/>
                <w:lang w:val="en-US" w:eastAsia="zh-CN"/>
              </w:rPr>
            </w:pPr>
          </w:p>
        </w:tc>
        <w:tc>
          <w:tcPr>
            <w:tcW w:w="7354" w:type="dxa"/>
            <w:vMerge w:val="continue"/>
            <w:tcBorders>
              <w:tl2br w:val="nil"/>
              <w:tr2bl w:val="nil"/>
            </w:tcBorders>
            <w:shd w:val="clear" w:color="000000" w:fill="FFFFFF"/>
            <w:vAlign w:val="center"/>
          </w:tcPr>
          <w:p w14:paraId="62B7C18A">
            <w:pPr>
              <w:pageBreakBefore w:val="0"/>
              <w:widowControl/>
              <w:kinsoku/>
              <w:wordWrap/>
              <w:overflowPunct/>
              <w:topLinePunct w:val="0"/>
              <w:autoSpaceDN/>
              <w:bidi w:val="0"/>
              <w:adjustRightInd/>
              <w:snapToGrid/>
              <w:spacing w:line="560" w:lineRule="exact"/>
              <w:ind w:firstLine="0" w:firstLineChars="0"/>
              <w:jc w:val="center"/>
              <w:textAlignment w:val="auto"/>
              <w:rPr>
                <w:rFonts w:hint="eastAsia" w:ascii="宋体" w:hAnsi="宋体" w:eastAsia="宋体" w:cs="宋体"/>
                <w:color w:val="000000"/>
                <w:kern w:val="0"/>
                <w:sz w:val="22"/>
                <w:highlight w:val="none"/>
                <w:lang w:val="en-US" w:eastAsia="zh-CN"/>
              </w:rPr>
            </w:pPr>
          </w:p>
        </w:tc>
      </w:tr>
      <w:tr w14:paraId="0AC111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97" w:hRule="atLeast"/>
          <w:jc w:val="center"/>
        </w:trPr>
        <w:tc>
          <w:tcPr>
            <w:tcW w:w="1157" w:type="dxa"/>
            <w:tcBorders>
              <w:tl2br w:val="nil"/>
              <w:tr2bl w:val="nil"/>
            </w:tcBorders>
            <w:shd w:val="clear" w:color="auto" w:fill="FFFFFF"/>
            <w:vAlign w:val="center"/>
          </w:tcPr>
          <w:p w14:paraId="66109D0F">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效益</w:t>
            </w:r>
          </w:p>
        </w:tc>
        <w:tc>
          <w:tcPr>
            <w:tcW w:w="1201" w:type="dxa"/>
            <w:tcBorders>
              <w:tl2br w:val="nil"/>
              <w:tr2bl w:val="nil"/>
            </w:tcBorders>
            <w:shd w:val="clear" w:color="auto" w:fill="FFFFFF"/>
            <w:vAlign w:val="center"/>
          </w:tcPr>
          <w:p w14:paraId="531D82CE">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社会效益指标</w:t>
            </w:r>
          </w:p>
        </w:tc>
        <w:tc>
          <w:tcPr>
            <w:tcW w:w="1413" w:type="dxa"/>
            <w:tcBorders>
              <w:tl2br w:val="nil"/>
              <w:tr2bl w:val="nil"/>
            </w:tcBorders>
            <w:shd w:val="clear" w:color="auto" w:fill="FFFFFF"/>
            <w:vAlign w:val="center"/>
          </w:tcPr>
          <w:p w14:paraId="329FDBAC">
            <w:pPr>
              <w:pageBreakBefore w:val="0"/>
              <w:widowControl/>
              <w:kinsoku/>
              <w:wordWrap/>
              <w:overflowPunct/>
              <w:topLinePunct w:val="0"/>
              <w:autoSpaceDN/>
              <w:bidi w:val="0"/>
              <w:adjustRightInd/>
              <w:snapToGrid/>
              <w:spacing w:line="560" w:lineRule="exact"/>
              <w:ind w:firstLine="0" w:firstLineChars="0"/>
              <w:jc w:val="center"/>
              <w:textAlignment w:val="auto"/>
              <w:rPr>
                <w:rFonts w:hint="default" w:ascii="宋体" w:hAnsi="宋体" w:eastAsia="宋体" w:cs="宋体"/>
                <w:color w:val="000000"/>
                <w:kern w:val="0"/>
                <w:sz w:val="22"/>
                <w:highlight w:val="none"/>
                <w:lang w:val="en-US" w:eastAsia="zh-CN"/>
              </w:rPr>
            </w:pPr>
            <w:r>
              <w:rPr>
                <w:rFonts w:hint="eastAsia" w:ascii="宋体" w:hAnsi="宋体" w:eastAsia="宋体" w:cs="宋体"/>
                <w:color w:val="000000"/>
                <w:kern w:val="0"/>
                <w:sz w:val="22"/>
                <w:highlight w:val="none"/>
                <w:lang w:val="en-US" w:eastAsia="zh-CN"/>
              </w:rPr>
              <w:t>增强与归侨侨眷的紧密联系</w:t>
            </w:r>
          </w:p>
        </w:tc>
        <w:tc>
          <w:tcPr>
            <w:tcW w:w="2794" w:type="dxa"/>
            <w:tcBorders>
              <w:tl2br w:val="nil"/>
              <w:tr2bl w:val="nil"/>
            </w:tcBorders>
            <w:shd w:val="clear" w:color="auto" w:fill="FFFFFF"/>
            <w:vAlign w:val="center"/>
          </w:tcPr>
          <w:p w14:paraId="15128556">
            <w:pPr>
              <w:pageBreakBefore w:val="0"/>
              <w:widowControl/>
              <w:kinsoku/>
              <w:wordWrap/>
              <w:overflowPunct/>
              <w:topLinePunct w:val="0"/>
              <w:autoSpaceDN/>
              <w:bidi w:val="0"/>
              <w:adjustRightInd/>
              <w:snapToGrid/>
              <w:spacing w:line="560" w:lineRule="exact"/>
              <w:ind w:firstLine="0" w:firstLineChars="0"/>
              <w:jc w:val="left"/>
              <w:textAlignment w:val="auto"/>
              <w:rPr>
                <w:rFonts w:ascii="宋体" w:hAnsi="宋体" w:eastAsia="宋体" w:cs="宋体"/>
                <w:color w:val="000000"/>
                <w:kern w:val="0"/>
                <w:sz w:val="22"/>
              </w:rPr>
            </w:pPr>
            <w:r>
              <w:rPr>
                <w:rFonts w:hint="eastAsia" w:ascii="宋体" w:hAnsi="宋体" w:eastAsia="宋体" w:cs="宋体"/>
                <w:color w:val="000000"/>
                <w:kern w:val="0"/>
                <w:sz w:val="22"/>
              </w:rPr>
              <w:t>项目实施所产生的效益。</w:t>
            </w:r>
          </w:p>
        </w:tc>
        <w:tc>
          <w:tcPr>
            <w:tcW w:w="7354" w:type="dxa"/>
            <w:tcBorders>
              <w:tl2br w:val="nil"/>
              <w:tr2bl w:val="nil"/>
            </w:tcBorders>
            <w:shd w:val="clear" w:color="auto" w:fill="FFFFFF"/>
            <w:vAlign w:val="center"/>
          </w:tcPr>
          <w:p w14:paraId="11B3DCDA">
            <w:pPr>
              <w:pageBreakBefore w:val="0"/>
              <w:widowControl/>
              <w:kinsoku/>
              <w:wordWrap/>
              <w:overflowPunct/>
              <w:topLinePunct w:val="0"/>
              <w:autoSpaceDN/>
              <w:bidi w:val="0"/>
              <w:adjustRightInd/>
              <w:snapToGrid/>
              <w:spacing w:line="560" w:lineRule="exact"/>
              <w:ind w:firstLine="0" w:firstLineChars="0"/>
              <w:textAlignment w:val="auto"/>
              <w:rPr>
                <w:rFonts w:ascii="宋体" w:hAnsi="宋体" w:eastAsia="宋体" w:cs="宋体"/>
                <w:color w:val="000000"/>
                <w:kern w:val="0"/>
                <w:sz w:val="22"/>
              </w:rPr>
            </w:pPr>
            <w:r>
              <w:rPr>
                <w:rFonts w:hint="eastAsia" w:ascii="宋体" w:hAnsi="宋体" w:eastAsia="宋体" w:cs="宋体"/>
                <w:color w:val="000000"/>
                <w:kern w:val="0"/>
                <w:sz w:val="22"/>
              </w:rPr>
              <w:t>项目实施所产生的社会效益、经济效益、生态效益、可持续影响等。可根据项目实际情况有选择地设置和细化。</w:t>
            </w:r>
          </w:p>
        </w:tc>
      </w:tr>
      <w:tr w14:paraId="790B46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16" w:hRule="atLeast"/>
          <w:jc w:val="center"/>
        </w:trPr>
        <w:tc>
          <w:tcPr>
            <w:tcW w:w="1157" w:type="dxa"/>
            <w:tcBorders>
              <w:tl2br w:val="nil"/>
              <w:tr2bl w:val="nil"/>
            </w:tcBorders>
            <w:shd w:val="clear" w:color="auto" w:fill="FFFFFF"/>
            <w:vAlign w:val="center"/>
          </w:tcPr>
          <w:p w14:paraId="3DAB38D1">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highlight w:val="none"/>
              </w:rPr>
            </w:pPr>
            <w:r>
              <w:rPr>
                <w:rFonts w:ascii="宋体" w:hAnsi="宋体" w:eastAsia="宋体" w:cs="宋体"/>
                <w:color w:val="000000"/>
                <w:kern w:val="0"/>
                <w:sz w:val="22"/>
                <w:highlight w:val="none"/>
              </w:rPr>
              <w:t>满意度指标完成情况分析</w:t>
            </w:r>
          </w:p>
        </w:tc>
        <w:tc>
          <w:tcPr>
            <w:tcW w:w="1201" w:type="dxa"/>
            <w:tcBorders>
              <w:tl2br w:val="nil"/>
              <w:tr2bl w:val="nil"/>
            </w:tcBorders>
            <w:shd w:val="clear" w:color="auto" w:fill="FFFFFF"/>
            <w:vAlign w:val="center"/>
          </w:tcPr>
          <w:p w14:paraId="53E50A54">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满意度指标</w:t>
            </w:r>
          </w:p>
        </w:tc>
        <w:tc>
          <w:tcPr>
            <w:tcW w:w="1413" w:type="dxa"/>
            <w:tcBorders>
              <w:tl2br w:val="nil"/>
              <w:tr2bl w:val="nil"/>
            </w:tcBorders>
            <w:shd w:val="clear" w:color="auto" w:fill="FFFFFF"/>
            <w:vAlign w:val="center"/>
          </w:tcPr>
          <w:p w14:paraId="2BCDA4D6">
            <w:pPr>
              <w:pageBreakBefore w:val="0"/>
              <w:widowControl/>
              <w:kinsoku/>
              <w:wordWrap/>
              <w:overflowPunct/>
              <w:topLinePunct w:val="0"/>
              <w:autoSpaceDN/>
              <w:bidi w:val="0"/>
              <w:adjustRightInd/>
              <w:snapToGrid/>
              <w:spacing w:line="560" w:lineRule="exact"/>
              <w:ind w:firstLine="0" w:firstLineChars="0"/>
              <w:jc w:val="center"/>
              <w:textAlignment w:val="auto"/>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lang w:val="en-US" w:eastAsia="zh-CN"/>
              </w:rPr>
              <w:t>归侨侨眷</w:t>
            </w:r>
            <w:r>
              <w:rPr>
                <w:rFonts w:hint="eastAsia" w:ascii="宋体" w:hAnsi="宋体" w:eastAsia="宋体" w:cs="宋体"/>
                <w:color w:val="000000"/>
                <w:kern w:val="0"/>
                <w:sz w:val="22"/>
                <w:highlight w:val="none"/>
              </w:rPr>
              <w:t>满意度</w:t>
            </w:r>
          </w:p>
        </w:tc>
        <w:tc>
          <w:tcPr>
            <w:tcW w:w="2794" w:type="dxa"/>
            <w:tcBorders>
              <w:tl2br w:val="nil"/>
              <w:tr2bl w:val="nil"/>
            </w:tcBorders>
            <w:shd w:val="clear" w:color="000000" w:fill="FFFFFF"/>
            <w:vAlign w:val="center"/>
          </w:tcPr>
          <w:p w14:paraId="5C14AACE">
            <w:pPr>
              <w:pageBreakBefore w:val="0"/>
              <w:widowControl/>
              <w:kinsoku/>
              <w:wordWrap/>
              <w:overflowPunct/>
              <w:topLinePunct w:val="0"/>
              <w:autoSpaceDN/>
              <w:bidi w:val="0"/>
              <w:adjustRightInd/>
              <w:snapToGrid/>
              <w:spacing w:line="560" w:lineRule="exact"/>
              <w:ind w:firstLine="0" w:firstLineChars="0"/>
              <w:textAlignment w:val="auto"/>
              <w:rPr>
                <w:rFonts w:ascii="宋体" w:hAnsi="宋体" w:eastAsia="宋体" w:cs="宋体"/>
                <w:color w:val="000000"/>
                <w:kern w:val="0"/>
                <w:sz w:val="22"/>
              </w:rPr>
            </w:pPr>
            <w:r>
              <w:rPr>
                <w:rFonts w:hint="eastAsia" w:ascii="宋体" w:hAnsi="宋体" w:eastAsia="宋体" w:cs="宋体"/>
                <w:color w:val="000000"/>
                <w:kern w:val="0"/>
                <w:sz w:val="22"/>
              </w:rPr>
              <w:t>社会公众或服务对象对项目实施效果的满意程度。</w:t>
            </w:r>
          </w:p>
        </w:tc>
        <w:tc>
          <w:tcPr>
            <w:tcW w:w="7354" w:type="dxa"/>
            <w:tcBorders>
              <w:tl2br w:val="nil"/>
              <w:tr2bl w:val="nil"/>
            </w:tcBorders>
            <w:shd w:val="clear" w:color="000000" w:fill="FFFFFF"/>
            <w:vAlign w:val="center"/>
          </w:tcPr>
          <w:p w14:paraId="217AFA42">
            <w:pPr>
              <w:pageBreakBefore w:val="0"/>
              <w:widowControl/>
              <w:kinsoku/>
              <w:wordWrap/>
              <w:overflowPunct/>
              <w:topLinePunct w:val="0"/>
              <w:autoSpaceDN/>
              <w:bidi w:val="0"/>
              <w:adjustRightInd/>
              <w:snapToGrid/>
              <w:spacing w:line="560" w:lineRule="exact"/>
              <w:ind w:firstLine="0" w:firstLineChars="0"/>
              <w:textAlignment w:val="auto"/>
              <w:rPr>
                <w:rFonts w:ascii="宋体" w:hAnsi="宋体" w:eastAsia="宋体" w:cs="宋体"/>
                <w:color w:val="000000"/>
                <w:kern w:val="0"/>
                <w:sz w:val="22"/>
              </w:rPr>
            </w:pPr>
            <w:r>
              <w:rPr>
                <w:rFonts w:hint="eastAsia" w:ascii="宋体" w:hAnsi="宋体" w:eastAsia="宋体" w:cs="宋体"/>
                <w:color w:val="000000"/>
                <w:kern w:val="0"/>
                <w:sz w:val="22"/>
              </w:rPr>
              <w:t>社会公众或服务对象是指因该项目实施而受到影响的部门（单位）、群体或个人。一般采取社会调查的方式。</w:t>
            </w:r>
          </w:p>
        </w:tc>
      </w:tr>
    </w:tbl>
    <w:p w14:paraId="0467BA71">
      <w:pPr>
        <w:pageBreakBefore w:val="0"/>
        <w:kinsoku/>
        <w:wordWrap/>
        <w:overflowPunct/>
        <w:topLinePunct w:val="0"/>
        <w:autoSpaceDN/>
        <w:bidi w:val="0"/>
        <w:adjustRightInd/>
        <w:snapToGrid/>
        <w:spacing w:line="560" w:lineRule="exact"/>
        <w:ind w:firstLine="0" w:firstLineChars="0"/>
        <w:jc w:val="center"/>
        <w:textAlignment w:val="auto"/>
        <w:rPr>
          <w:rFonts w:ascii="仿宋_GB2312"/>
        </w:rPr>
      </w:pPr>
    </w:p>
    <w:p w14:paraId="1CB148F6">
      <w:pPr>
        <w:pageBreakBefore w:val="0"/>
        <w:kinsoku/>
        <w:wordWrap/>
        <w:overflowPunct/>
        <w:topLinePunct w:val="0"/>
        <w:autoSpaceDN/>
        <w:bidi w:val="0"/>
        <w:adjustRightInd/>
        <w:snapToGrid/>
        <w:spacing w:line="560" w:lineRule="exact"/>
        <w:ind w:firstLine="0" w:firstLineChars="0"/>
        <w:jc w:val="center"/>
        <w:textAlignment w:val="auto"/>
        <w:rPr>
          <w:rFonts w:ascii="仿宋_GB2312"/>
        </w:rPr>
      </w:pPr>
    </w:p>
    <w:p w14:paraId="5238A24A">
      <w:pPr>
        <w:pageBreakBefore w:val="0"/>
        <w:kinsoku/>
        <w:wordWrap/>
        <w:overflowPunct/>
        <w:topLinePunct w:val="0"/>
        <w:autoSpaceDN/>
        <w:bidi w:val="0"/>
        <w:adjustRightInd/>
        <w:snapToGrid/>
        <w:spacing w:line="560" w:lineRule="exact"/>
        <w:ind w:firstLine="0" w:firstLineChars="0"/>
        <w:jc w:val="center"/>
        <w:textAlignment w:val="auto"/>
        <w:rPr>
          <w:rFonts w:ascii="仿宋_GB2312"/>
        </w:rPr>
      </w:pPr>
    </w:p>
    <w:p w14:paraId="53CACA31">
      <w:pPr>
        <w:pageBreakBefore w:val="0"/>
        <w:kinsoku/>
        <w:wordWrap/>
        <w:overflowPunct/>
        <w:topLinePunct w:val="0"/>
        <w:autoSpaceDN/>
        <w:bidi w:val="0"/>
        <w:adjustRightInd/>
        <w:snapToGrid/>
        <w:spacing w:line="560" w:lineRule="exact"/>
        <w:ind w:firstLine="0" w:firstLineChars="0"/>
        <w:jc w:val="center"/>
        <w:textAlignment w:val="auto"/>
        <w:rPr>
          <w:rFonts w:ascii="仿宋_GB2312"/>
        </w:rPr>
        <w:sectPr>
          <w:footnotePr>
            <w:numFmt w:val="decimalEnclosedCircleChinese"/>
          </w:footnotePr>
          <w:pgSz w:w="16838" w:h="11906" w:orient="landscape"/>
          <w:pgMar w:top="1800" w:right="1440" w:bottom="1800" w:left="1440" w:header="1276" w:footer="992" w:gutter="0"/>
          <w:pgNumType w:fmt="decimal"/>
          <w:cols w:space="425" w:num="1"/>
          <w:docGrid w:type="lines" w:linePitch="381" w:charSpace="0"/>
        </w:sectPr>
      </w:pPr>
    </w:p>
    <w:p w14:paraId="64221F65">
      <w:pPr>
        <w:pStyle w:val="4"/>
        <w:pageBreakBefore w:val="0"/>
        <w:kinsoku/>
        <w:wordWrap/>
        <w:overflowPunct/>
        <w:topLinePunct w:val="0"/>
        <w:autoSpaceDN/>
        <w:bidi w:val="0"/>
        <w:adjustRightInd/>
        <w:snapToGrid/>
        <w:spacing w:line="560" w:lineRule="exact"/>
        <w:ind w:firstLine="643"/>
        <w:textAlignment w:val="auto"/>
      </w:pPr>
      <w:bookmarkStart w:id="25" w:name="_Toc29542"/>
      <w:bookmarkStart w:id="26" w:name="_Hlk67586038"/>
      <w:r>
        <w:t>3.</w:t>
      </w:r>
      <w:r>
        <w:rPr>
          <w:rFonts w:hint="eastAsia"/>
        </w:rPr>
        <w:t>评价方法</w:t>
      </w:r>
      <w:bookmarkEnd w:id="25"/>
    </w:p>
    <w:bookmarkEnd w:id="26"/>
    <w:p w14:paraId="2388E7E1">
      <w:pPr>
        <w:bidi w:val="0"/>
      </w:pPr>
      <w:r>
        <w:rPr>
          <w:rFonts w:hint="eastAsia"/>
        </w:rPr>
        <w:t>《关于印发&lt;项目支出绩效评价管理办法&gt;的通知》（财预〔2020〕10号）文件指出部门评价的方法主要包括成本效益分析法、比较法、因素分析法、最低成本法、公众评判法、标杆管理法等。</w:t>
      </w:r>
    </w:p>
    <w:p w14:paraId="3362FA9A">
      <w:pPr>
        <w:bidi w:val="0"/>
      </w:pPr>
      <w:r>
        <w:rPr>
          <w:rFonts w:hint="eastAsia"/>
        </w:rPr>
        <w:t>（1）成本效益分析法。是指将投入与产出、效益进行关联性分析的方法。</w:t>
      </w:r>
    </w:p>
    <w:p w14:paraId="3BC74A48">
      <w:pPr>
        <w:bidi w:val="0"/>
      </w:pPr>
      <w:r>
        <w:rPr>
          <w:rFonts w:hint="eastAsia"/>
        </w:rPr>
        <w:t>（2）比较法。是指将实施情况与绩效目标、历史情况、不同部门和地区同类支出情况进行比较的方法。</w:t>
      </w:r>
    </w:p>
    <w:p w14:paraId="408D392D">
      <w:pPr>
        <w:bidi w:val="0"/>
      </w:pPr>
      <w:r>
        <w:rPr>
          <w:rFonts w:hint="eastAsia"/>
        </w:rPr>
        <w:t>（3）因素分析法。是指综合分析影响绩效目标实现、实施效果的内外部因素的方法。</w:t>
      </w:r>
    </w:p>
    <w:p w14:paraId="1D3A2518">
      <w:pPr>
        <w:bidi w:val="0"/>
      </w:pPr>
      <w:r>
        <w:rPr>
          <w:rFonts w:hint="eastAsia"/>
        </w:rPr>
        <w:t>（4）最低成本法。是指在绩效目标确定的前提下，成本最小者为优的方法。</w:t>
      </w:r>
    </w:p>
    <w:p w14:paraId="660F8D69">
      <w:pPr>
        <w:bidi w:val="0"/>
      </w:pPr>
      <w:r>
        <w:rPr>
          <w:rFonts w:hint="eastAsia"/>
        </w:rPr>
        <w:t>（5）公众评判法。是指通过专家评估、公众问卷及抽样调查等方式进行评判的方法。</w:t>
      </w:r>
    </w:p>
    <w:p w14:paraId="1452FF8D">
      <w:pPr>
        <w:bidi w:val="0"/>
      </w:pPr>
      <w:r>
        <w:rPr>
          <w:rFonts w:hint="eastAsia"/>
        </w:rPr>
        <w:t>（6）标杆管理法。是指以国内外同行业中较高的绩效水平为标杆进行评判的方法。</w:t>
      </w:r>
    </w:p>
    <w:p w14:paraId="2BF9159E">
      <w:pPr>
        <w:bidi w:val="0"/>
      </w:pPr>
      <w:r>
        <w:rPr>
          <w:rFonts w:hint="eastAsia"/>
        </w:rPr>
        <w:t>（7）其他评价方法。</w:t>
      </w:r>
    </w:p>
    <w:p w14:paraId="63836D2B">
      <w:pPr>
        <w:bidi w:val="0"/>
      </w:pPr>
      <w:r>
        <w:rPr>
          <w:rFonts w:hint="eastAsia"/>
        </w:rPr>
        <w:t>根据本项目（</w:t>
      </w:r>
      <w:r>
        <w:rPr>
          <w:rFonts w:hint="eastAsia"/>
          <w:lang w:eastAsia="zh-CN"/>
        </w:rPr>
        <w:t>“</w:t>
      </w:r>
      <w:r>
        <w:rPr>
          <w:rFonts w:hint="eastAsia"/>
          <w:lang w:val="en-US" w:eastAsia="zh-CN"/>
        </w:rPr>
        <w:t>侨胞之家”采购室内设施</w:t>
      </w:r>
      <w:r>
        <w:rPr>
          <w:rFonts w:hint="eastAsia"/>
        </w:rPr>
        <w:t>项目）的特点，本次评价主要采用比较法和公众评判法，对项目总预算和明细预算的内容、标准、计划是否经济合理进行深入分析，以考察实际产出和效益是否达到预期。</w:t>
      </w:r>
    </w:p>
    <w:p w14:paraId="007EA600">
      <w:pPr>
        <w:pStyle w:val="4"/>
        <w:pageBreakBefore w:val="0"/>
        <w:kinsoku/>
        <w:wordWrap/>
        <w:overflowPunct/>
        <w:topLinePunct w:val="0"/>
        <w:autoSpaceDN/>
        <w:bidi w:val="0"/>
        <w:adjustRightInd/>
        <w:snapToGrid/>
        <w:spacing w:line="560" w:lineRule="exact"/>
        <w:ind w:firstLine="643"/>
        <w:textAlignment w:val="auto"/>
      </w:pPr>
      <w:bookmarkStart w:id="27" w:name="_Toc26899"/>
      <w:r>
        <w:t>4.</w:t>
      </w:r>
      <w:r>
        <w:rPr>
          <w:rFonts w:hint="eastAsia"/>
        </w:rPr>
        <w:t>评价标准</w:t>
      </w:r>
      <w:bookmarkEnd w:id="27"/>
    </w:p>
    <w:p w14:paraId="168EB820">
      <w:pPr>
        <w:bidi w:val="0"/>
      </w:pPr>
      <w:r>
        <w:rPr>
          <w:rFonts w:hint="eastAsia"/>
        </w:rPr>
        <w:t>绩效评价标准主要包括计划标准、行业标准、历史标准等，用于对绩效指标完成情况进行比较。</w:t>
      </w:r>
    </w:p>
    <w:p w14:paraId="2B32F2F6">
      <w:pPr>
        <w:bidi w:val="0"/>
      </w:pPr>
      <w:r>
        <w:rPr>
          <w:rFonts w:hint="eastAsia"/>
        </w:rPr>
        <w:t>（1）计划标准。指以预先制定的目标、计划、预算、定额等作为评价标准。</w:t>
      </w:r>
    </w:p>
    <w:p w14:paraId="1F44A579">
      <w:pPr>
        <w:bidi w:val="0"/>
      </w:pPr>
      <w:r>
        <w:rPr>
          <w:rFonts w:hint="eastAsia"/>
        </w:rPr>
        <w:t>（2）行业标准。指参照国家公布的行业指标数据制定的评价标准。</w:t>
      </w:r>
    </w:p>
    <w:p w14:paraId="7924BEEA">
      <w:pPr>
        <w:bidi w:val="0"/>
      </w:pPr>
      <w:r>
        <w:rPr>
          <w:rFonts w:hint="eastAsia"/>
        </w:rPr>
        <w:t>（3）历史标准。指参照历史数据制定的评价标准，为体现绩效改进的原则，在可实现的条件下应当确定相对较高的评价标准。</w:t>
      </w:r>
    </w:p>
    <w:p w14:paraId="70E46B3A">
      <w:pPr>
        <w:bidi w:val="0"/>
      </w:pPr>
      <w:r>
        <w:rPr>
          <w:rFonts w:hint="eastAsia"/>
        </w:rPr>
        <w:t>在上述评价标准的基础上，本次评价依据以下文件为重要指导和准绳：</w:t>
      </w:r>
    </w:p>
    <w:p w14:paraId="0C4D7D0D">
      <w:pPr>
        <w:bidi w:val="0"/>
      </w:pPr>
      <w:r>
        <w:rPr>
          <w:rFonts w:hint="eastAsia"/>
        </w:rPr>
        <w:t>·《中共中央</w:t>
      </w:r>
      <w:r>
        <w:rPr>
          <w:rFonts w:hint="eastAsia"/>
          <w:lang w:val="en-US" w:eastAsia="zh-CN"/>
        </w:rPr>
        <w:t xml:space="preserve"> </w:t>
      </w:r>
      <w:r>
        <w:rPr>
          <w:rFonts w:hint="eastAsia"/>
        </w:rPr>
        <w:t>国务院关于全面实施预算绩效管理的意见》（中发〔2018〕34号）</w:t>
      </w:r>
    </w:p>
    <w:p w14:paraId="0D8D1A87">
      <w:pPr>
        <w:bidi w:val="0"/>
      </w:pPr>
      <w:r>
        <w:rPr>
          <w:rFonts w:hint="eastAsia"/>
        </w:rPr>
        <w:t>·《关于印发&lt;乌鲁木齐市本级部门预算绩效目标管理暂行办法&gt;的通知》（乌财预〔2018〕56号）</w:t>
      </w:r>
    </w:p>
    <w:p w14:paraId="3E3FC273">
      <w:pPr>
        <w:bidi w:val="0"/>
      </w:pPr>
      <w:r>
        <w:rPr>
          <w:rFonts w:hint="eastAsia"/>
        </w:rPr>
        <w:t>·《关于做好2019年部门预算项目支出绩效目标管理有关事宜的通知》（乌财预〔2018〕76号）</w:t>
      </w:r>
    </w:p>
    <w:p w14:paraId="7C52E296">
      <w:pPr>
        <w:bidi w:val="0"/>
        <w:rPr>
          <w:rFonts w:hint="eastAsia"/>
        </w:rPr>
      </w:pPr>
      <w:r>
        <w:rPr>
          <w:rFonts w:hint="eastAsia"/>
        </w:rPr>
        <w:t>·《项目支出绩效评价管理办法》（财预〔2020〕10号）</w:t>
      </w:r>
    </w:p>
    <w:p w14:paraId="521AA68F">
      <w:pPr>
        <w:bidi w:val="0"/>
        <w:rPr>
          <w:rFonts w:hint="eastAsia"/>
          <w:highlight w:val="none"/>
        </w:rPr>
      </w:pPr>
      <w:r>
        <w:rPr>
          <w:rFonts w:hint="eastAsia"/>
          <w:highlight w:val="none"/>
        </w:rPr>
        <w:t>·《</w:t>
      </w:r>
      <w:r>
        <w:rPr>
          <w:rFonts w:hint="eastAsia"/>
          <w:highlight w:val="none"/>
          <w:lang w:val="en-US" w:eastAsia="zh-CN"/>
        </w:rPr>
        <w:t>乌鲁木齐市侨联项目管理制度</w:t>
      </w:r>
      <w:r>
        <w:rPr>
          <w:rFonts w:hint="eastAsia"/>
          <w:highlight w:val="none"/>
        </w:rPr>
        <w:t>》</w:t>
      </w:r>
    </w:p>
    <w:p w14:paraId="5606F8BE">
      <w:pPr>
        <w:bidi w:val="0"/>
        <w:rPr>
          <w:rFonts w:hint="eastAsia"/>
          <w:highlight w:val="none"/>
          <w:lang w:val="en-US" w:eastAsia="zh-CN"/>
        </w:rPr>
      </w:pPr>
      <w:r>
        <w:rPr>
          <w:rFonts w:hint="eastAsia"/>
          <w:highlight w:val="none"/>
        </w:rPr>
        <w:t>·《</w:t>
      </w:r>
      <w:r>
        <w:rPr>
          <w:rFonts w:hint="eastAsia"/>
          <w:highlight w:val="none"/>
          <w:lang w:val="en-US" w:eastAsia="zh-CN"/>
        </w:rPr>
        <w:t>乌鲁木齐市侨联财务管理制度</w:t>
      </w:r>
      <w:r>
        <w:rPr>
          <w:rFonts w:hint="eastAsia"/>
          <w:highlight w:val="none"/>
        </w:rPr>
        <w:t>》</w:t>
      </w:r>
    </w:p>
    <w:p w14:paraId="0140F5B5">
      <w:pPr>
        <w:bidi w:val="0"/>
        <w:rPr>
          <w:rFonts w:hint="eastAsia"/>
          <w:highlight w:val="none"/>
        </w:rPr>
      </w:pPr>
      <w:r>
        <w:rPr>
          <w:rFonts w:hint="eastAsia"/>
          <w:highlight w:val="none"/>
        </w:rPr>
        <w:t>·《关于印发</w:t>
      </w:r>
      <w:r>
        <w:rPr>
          <w:rFonts w:hint="eastAsia"/>
          <w:highlight w:val="none"/>
          <w:lang w:val="en-US" w:eastAsia="zh-CN"/>
        </w:rPr>
        <w:t>&lt;</w:t>
      </w:r>
      <w:r>
        <w:rPr>
          <w:rFonts w:hint="eastAsia"/>
          <w:highlight w:val="none"/>
        </w:rPr>
        <w:t>基层侨联组织工作条例（试行）</w:t>
      </w:r>
      <w:r>
        <w:rPr>
          <w:rFonts w:hint="eastAsia"/>
          <w:highlight w:val="none"/>
          <w:lang w:val="en-US" w:eastAsia="zh-CN"/>
        </w:rPr>
        <w:t>&gt;</w:t>
      </w:r>
      <w:r>
        <w:rPr>
          <w:rFonts w:hint="eastAsia"/>
          <w:highlight w:val="none"/>
        </w:rPr>
        <w:t>的通知》（</w:t>
      </w:r>
      <w:r>
        <w:rPr>
          <w:rFonts w:hint="eastAsia"/>
          <w:highlight w:val="none"/>
          <w:lang w:val="en-US" w:eastAsia="zh-CN"/>
        </w:rPr>
        <w:t>中侨发</w:t>
      </w:r>
      <w:r>
        <w:rPr>
          <w:rFonts w:hint="eastAsia"/>
          <w:highlight w:val="none"/>
        </w:rPr>
        <w:t>〔20</w:t>
      </w:r>
      <w:r>
        <w:rPr>
          <w:rFonts w:hint="eastAsia"/>
          <w:highlight w:val="none"/>
          <w:lang w:val="en-US" w:eastAsia="zh-CN"/>
        </w:rPr>
        <w:t>18</w:t>
      </w:r>
      <w:r>
        <w:rPr>
          <w:rFonts w:hint="eastAsia"/>
          <w:highlight w:val="none"/>
        </w:rPr>
        <w:t>〕</w:t>
      </w:r>
      <w:r>
        <w:rPr>
          <w:rFonts w:hint="eastAsia"/>
          <w:highlight w:val="none"/>
          <w:lang w:val="en-US" w:eastAsia="zh-CN"/>
        </w:rPr>
        <w:t>8</w:t>
      </w:r>
      <w:r>
        <w:rPr>
          <w:rFonts w:hint="eastAsia"/>
          <w:highlight w:val="none"/>
        </w:rPr>
        <w:t>号）</w:t>
      </w:r>
    </w:p>
    <w:p w14:paraId="61FE5A59">
      <w:pPr>
        <w:pStyle w:val="3"/>
        <w:pageBreakBefore w:val="0"/>
        <w:kinsoku/>
        <w:wordWrap/>
        <w:overflowPunct/>
        <w:topLinePunct w:val="0"/>
        <w:autoSpaceDN/>
        <w:bidi w:val="0"/>
        <w:adjustRightInd/>
        <w:snapToGrid/>
        <w:spacing w:line="560" w:lineRule="exact"/>
        <w:ind w:firstLine="643"/>
        <w:textAlignment w:val="auto"/>
        <w:rPr>
          <w:rFonts w:ascii="仿宋" w:hAnsi="仿宋" w:eastAsia="仿宋"/>
          <w:lang w:bidi="en-US"/>
        </w:rPr>
      </w:pPr>
      <w:bookmarkStart w:id="28" w:name="_Toc67911607"/>
      <w:bookmarkStart w:id="29" w:name="_Toc28050"/>
      <w:r>
        <w:rPr>
          <w:rFonts w:hint="eastAsia" w:ascii="仿宋" w:hAnsi="仿宋" w:eastAsia="仿宋"/>
          <w:lang w:bidi="en-US"/>
        </w:rPr>
        <w:t>（三）绩效评价工作过程</w:t>
      </w:r>
      <w:bookmarkEnd w:id="28"/>
      <w:bookmarkEnd w:id="29"/>
    </w:p>
    <w:p w14:paraId="1CA59070">
      <w:pPr>
        <w:bidi w:val="0"/>
      </w:pPr>
      <w:r>
        <w:rPr>
          <w:rFonts w:hint="eastAsia"/>
          <w:lang w:val="en-US" w:eastAsia="zh-CN"/>
        </w:rPr>
        <w:t>本次评价</w:t>
      </w:r>
      <w:r>
        <w:rPr>
          <w:rFonts w:hint="eastAsia"/>
        </w:rPr>
        <w:t>根据项目绩效目标，查阅有关佐证资料，结合现场抽样调查及延伸评价等方式开展，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2"/>
          <w:rFonts w:ascii="仿宋_GB2312"/>
        </w:rPr>
        <w:footnoteReference w:id="0"/>
      </w:r>
      <w:r>
        <w:rPr>
          <w:rFonts w:hint="eastAsia"/>
        </w:rPr>
        <w:t>、材料审核分析、现场核查评价、综合分析评价及报告撰写，评价项目实施情况，展现资金使用效益。</w:t>
      </w:r>
    </w:p>
    <w:p w14:paraId="6C0DA038">
      <w:pPr>
        <w:pStyle w:val="2"/>
        <w:pageBreakBefore w:val="0"/>
        <w:kinsoku/>
        <w:wordWrap/>
        <w:overflowPunct/>
        <w:topLinePunct w:val="0"/>
        <w:autoSpaceDN/>
        <w:bidi w:val="0"/>
        <w:adjustRightInd/>
        <w:snapToGrid/>
        <w:spacing w:line="560" w:lineRule="exact"/>
        <w:ind w:firstLine="0" w:firstLineChars="0"/>
        <w:jc w:val="left"/>
        <w:textAlignment w:val="auto"/>
        <w:rPr>
          <w:rFonts w:ascii="仿宋" w:hAnsi="仿宋" w:eastAsia="仿宋"/>
          <w:sz w:val="36"/>
          <w:szCs w:val="36"/>
          <w:lang w:bidi="en-US"/>
        </w:rPr>
      </w:pPr>
      <w:bookmarkStart w:id="30" w:name="_Toc2928"/>
      <w:bookmarkStart w:id="31" w:name="_Toc29917"/>
      <w:bookmarkStart w:id="32" w:name="_Toc67911608"/>
      <w:r>
        <w:rPr>
          <w:rFonts w:hint="eastAsia" w:ascii="仿宋" w:hAnsi="仿宋" w:eastAsia="仿宋"/>
          <w:sz w:val="36"/>
          <w:szCs w:val="36"/>
          <w:lang w:bidi="en-US"/>
        </w:rPr>
        <w:t>三、综合评价情况及评价结论</w:t>
      </w:r>
      <w:bookmarkEnd w:id="30"/>
      <w:bookmarkEnd w:id="31"/>
      <w:bookmarkEnd w:id="32"/>
    </w:p>
    <w:p w14:paraId="7A3FDA14">
      <w:pPr>
        <w:pStyle w:val="3"/>
        <w:pageBreakBefore w:val="0"/>
        <w:kinsoku/>
        <w:wordWrap/>
        <w:overflowPunct/>
        <w:topLinePunct w:val="0"/>
        <w:autoSpaceDN/>
        <w:bidi w:val="0"/>
        <w:adjustRightInd/>
        <w:snapToGrid/>
        <w:spacing w:line="560" w:lineRule="exact"/>
        <w:ind w:firstLine="643"/>
        <w:textAlignment w:val="auto"/>
        <w:rPr>
          <w:rFonts w:ascii="仿宋" w:hAnsi="仿宋" w:eastAsia="仿宋"/>
          <w:lang w:bidi="en-US"/>
        </w:rPr>
      </w:pPr>
      <w:bookmarkStart w:id="33" w:name="_Toc67911609"/>
      <w:bookmarkStart w:id="34" w:name="_Toc23534"/>
      <w:r>
        <w:rPr>
          <w:rFonts w:hint="eastAsia" w:ascii="仿宋" w:hAnsi="仿宋" w:eastAsia="仿宋"/>
          <w:lang w:bidi="en-US"/>
        </w:rPr>
        <w:t>（一）评价结论</w:t>
      </w:r>
      <w:bookmarkEnd w:id="33"/>
      <w:bookmarkEnd w:id="34"/>
    </w:p>
    <w:p w14:paraId="409F982A">
      <w:pPr>
        <w:bidi w:val="0"/>
      </w:pPr>
      <w:r>
        <w:rPr>
          <w:rFonts w:hint="eastAsia"/>
        </w:rPr>
        <w:t>结合项目特点，制定符合项目实际的绩效评价指标体系及评分标准，通过数据采集、问卷调查及访谈等形式，对2</w:t>
      </w:r>
      <w:r>
        <w:t>023</w:t>
      </w:r>
      <w:r>
        <w:rPr>
          <w:rFonts w:hint="eastAsia"/>
        </w:rPr>
        <w:t>年</w:t>
      </w:r>
      <w:r>
        <w:rPr>
          <w:rFonts w:hint="eastAsia"/>
          <w:lang w:eastAsia="zh-CN"/>
        </w:rPr>
        <w:t>“</w:t>
      </w:r>
      <w:r>
        <w:rPr>
          <w:rFonts w:hint="eastAsia"/>
          <w:lang w:val="en-US" w:eastAsia="zh-CN"/>
        </w:rPr>
        <w:t>侨胞之家”采购室内设施</w:t>
      </w:r>
      <w:r>
        <w:rPr>
          <w:rFonts w:hint="eastAsia"/>
        </w:rPr>
        <w:t>项目进行客观评价，最终评分结果为：总分为</w:t>
      </w:r>
      <w:r>
        <w:rPr>
          <w:rFonts w:hint="eastAsia"/>
          <w:lang w:val="en-US" w:eastAsia="zh-CN"/>
        </w:rPr>
        <w:t>100</w:t>
      </w:r>
      <w:r>
        <w:rPr>
          <w:rFonts w:hint="eastAsia"/>
        </w:rPr>
        <w:t>分，绩效评级为“</w:t>
      </w:r>
      <w:r>
        <w:rPr>
          <w:rFonts w:hint="eastAsia"/>
          <w:lang w:val="en-US" w:eastAsia="zh-CN"/>
        </w:rPr>
        <w:t>优</w:t>
      </w:r>
      <w:r>
        <w:rPr>
          <w:rFonts w:hint="eastAsia"/>
        </w:rPr>
        <w:t>”</w:t>
      </w:r>
      <w:r>
        <w:rPr>
          <w:rStyle w:val="22"/>
          <w:rFonts w:ascii="仿宋_GB2312"/>
          <w:szCs w:val="28"/>
        </w:rPr>
        <w:footnoteReference w:id="1"/>
      </w:r>
      <w:r>
        <w:rPr>
          <w:rFonts w:hint="eastAsia"/>
        </w:rPr>
        <w:t>。</w:t>
      </w:r>
    </w:p>
    <w:p w14:paraId="14C090D6">
      <w:pPr>
        <w:pageBreakBefore w:val="0"/>
        <w:kinsoku/>
        <w:wordWrap/>
        <w:overflowPunct/>
        <w:topLinePunct w:val="0"/>
        <w:autoSpaceDN/>
        <w:bidi w:val="0"/>
        <w:adjustRightInd/>
        <w:snapToGrid/>
        <w:spacing w:line="560" w:lineRule="exact"/>
        <w:ind w:firstLine="560"/>
        <w:textAlignment w:val="auto"/>
        <w:rPr>
          <w:rFonts w:hint="eastAsia" w:ascii="仿宋_GB2312"/>
          <w:szCs w:val="28"/>
          <w:highlight w:val="yellow"/>
        </w:rPr>
      </w:pPr>
    </w:p>
    <w:p w14:paraId="0F360491">
      <w:pPr>
        <w:pageBreakBefore w:val="0"/>
        <w:kinsoku/>
        <w:wordWrap/>
        <w:overflowPunct/>
        <w:topLinePunct w:val="0"/>
        <w:autoSpaceDN/>
        <w:bidi w:val="0"/>
        <w:adjustRightInd/>
        <w:snapToGrid/>
        <w:spacing w:line="560" w:lineRule="exact"/>
        <w:ind w:firstLine="560"/>
        <w:textAlignment w:val="auto"/>
        <w:rPr>
          <w:rFonts w:hint="eastAsia" w:ascii="仿宋_GB2312"/>
          <w:szCs w:val="28"/>
          <w:highlight w:val="yellow"/>
        </w:rPr>
      </w:pPr>
    </w:p>
    <w:p w14:paraId="6CED9898">
      <w:pPr>
        <w:pageBreakBefore w:val="0"/>
        <w:kinsoku/>
        <w:wordWrap/>
        <w:overflowPunct/>
        <w:topLinePunct w:val="0"/>
        <w:autoSpaceDN/>
        <w:bidi w:val="0"/>
        <w:adjustRightInd/>
        <w:snapToGrid/>
        <w:spacing w:line="560" w:lineRule="exact"/>
        <w:ind w:firstLine="560"/>
        <w:textAlignment w:val="auto"/>
        <w:rPr>
          <w:rFonts w:ascii="仿宋_GB2312"/>
          <w:szCs w:val="28"/>
          <w:highlight w:val="none"/>
        </w:rPr>
      </w:pPr>
      <w:r>
        <w:rPr>
          <w:rFonts w:hint="eastAsia" w:ascii="仿宋_GB2312"/>
          <w:lang w:eastAsia="zh-CN"/>
        </w:rPr>
        <w:t>“</w:t>
      </w:r>
      <w:r>
        <w:rPr>
          <w:rFonts w:hint="eastAsia" w:ascii="仿宋_GB2312"/>
          <w:lang w:val="en-US" w:eastAsia="zh-CN"/>
        </w:rPr>
        <w:t>侨胞之家”采购室内设施</w:t>
      </w:r>
      <w:r>
        <w:rPr>
          <w:rFonts w:hint="eastAsia" w:ascii="仿宋_GB2312"/>
          <w:szCs w:val="28"/>
          <w:highlight w:val="none"/>
        </w:rPr>
        <w:t>项目各部分权重和绩效分值如附表所示：</w:t>
      </w:r>
    </w:p>
    <w:p w14:paraId="085A8E21">
      <w:pPr>
        <w:pageBreakBefore w:val="0"/>
        <w:kinsoku/>
        <w:wordWrap/>
        <w:overflowPunct/>
        <w:topLinePunct w:val="0"/>
        <w:autoSpaceDN/>
        <w:bidi w:val="0"/>
        <w:adjustRightInd/>
        <w:snapToGrid/>
        <w:spacing w:line="560" w:lineRule="exact"/>
        <w:ind w:firstLine="0" w:firstLineChars="0"/>
        <w:jc w:val="center"/>
        <w:textAlignment w:val="auto"/>
        <w:rPr>
          <w:rFonts w:ascii="仿宋_GB2312"/>
          <w:b/>
          <w:bCs/>
          <w:szCs w:val="28"/>
        </w:rPr>
      </w:pPr>
      <w:r>
        <w:rPr>
          <w:rFonts w:ascii="仿宋_GB2312"/>
          <w:b/>
          <w:bCs/>
          <w:szCs w:val="28"/>
        </w:rPr>
        <w:t xml:space="preserve">  </w:t>
      </w:r>
      <w:r>
        <w:rPr>
          <w:rFonts w:hint="eastAsia" w:ascii="仿宋_GB2312"/>
          <w:b/>
          <w:bCs/>
          <w:szCs w:val="28"/>
        </w:rPr>
        <w:t>项目各部分权重和绩效分值</w:t>
      </w:r>
    </w:p>
    <w:tbl>
      <w:tblPr>
        <w:tblStyle w:val="17"/>
        <w:tblW w:w="9058"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04"/>
        <w:gridCol w:w="1422"/>
        <w:gridCol w:w="3100"/>
        <w:gridCol w:w="897"/>
        <w:gridCol w:w="897"/>
        <w:gridCol w:w="1038"/>
      </w:tblGrid>
      <w:tr w14:paraId="385CB2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1" w:hRule="atLeast"/>
          <w:tblHeader/>
          <w:jc w:val="center"/>
        </w:trPr>
        <w:tc>
          <w:tcPr>
            <w:tcW w:w="1704" w:type="dxa"/>
            <w:tcBorders>
              <w:tl2br w:val="nil"/>
              <w:tr2bl w:val="nil"/>
            </w:tcBorders>
            <w:shd w:val="clear" w:color="auto" w:fill="D0CECE" w:themeFill="background2" w:themeFillShade="E6"/>
            <w:vAlign w:val="center"/>
          </w:tcPr>
          <w:p w14:paraId="78B97FA6">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b/>
                <w:bCs/>
                <w:kern w:val="0"/>
                <w:sz w:val="24"/>
                <w:szCs w:val="24"/>
              </w:rPr>
            </w:pPr>
            <w:r>
              <w:rPr>
                <w:rFonts w:hint="eastAsia" w:ascii="仿宋_GB2312" w:hAnsi="宋体" w:cs="宋体"/>
                <w:b/>
                <w:bCs/>
                <w:kern w:val="0"/>
                <w:sz w:val="24"/>
                <w:szCs w:val="24"/>
              </w:rPr>
              <w:t>一级指标</w:t>
            </w:r>
          </w:p>
        </w:tc>
        <w:tc>
          <w:tcPr>
            <w:tcW w:w="1422" w:type="dxa"/>
            <w:tcBorders>
              <w:tl2br w:val="nil"/>
              <w:tr2bl w:val="nil"/>
            </w:tcBorders>
            <w:shd w:val="clear" w:color="auto" w:fill="D0CECE" w:themeFill="background2" w:themeFillShade="E6"/>
            <w:vAlign w:val="center"/>
          </w:tcPr>
          <w:p w14:paraId="5B10BDFF">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b/>
                <w:bCs/>
                <w:kern w:val="0"/>
                <w:sz w:val="24"/>
                <w:szCs w:val="24"/>
              </w:rPr>
            </w:pPr>
            <w:r>
              <w:rPr>
                <w:rFonts w:hint="eastAsia" w:ascii="仿宋_GB2312" w:hAnsi="宋体" w:cs="宋体"/>
                <w:b/>
                <w:bCs/>
                <w:kern w:val="0"/>
                <w:sz w:val="24"/>
                <w:szCs w:val="24"/>
              </w:rPr>
              <w:t>二级指标</w:t>
            </w:r>
          </w:p>
        </w:tc>
        <w:tc>
          <w:tcPr>
            <w:tcW w:w="3100" w:type="dxa"/>
            <w:tcBorders>
              <w:tl2br w:val="nil"/>
              <w:tr2bl w:val="nil"/>
            </w:tcBorders>
            <w:shd w:val="clear" w:color="auto" w:fill="D0CECE" w:themeFill="background2" w:themeFillShade="E6"/>
            <w:vAlign w:val="center"/>
          </w:tcPr>
          <w:p w14:paraId="76F3F438">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b/>
                <w:bCs/>
                <w:kern w:val="0"/>
                <w:sz w:val="24"/>
                <w:szCs w:val="24"/>
              </w:rPr>
            </w:pPr>
            <w:r>
              <w:rPr>
                <w:rFonts w:hint="eastAsia" w:ascii="仿宋_GB2312" w:hAnsi="宋体" w:cs="宋体"/>
                <w:b/>
                <w:bCs/>
                <w:kern w:val="0"/>
                <w:sz w:val="24"/>
                <w:szCs w:val="24"/>
              </w:rPr>
              <w:t>三级指标</w:t>
            </w:r>
          </w:p>
        </w:tc>
        <w:tc>
          <w:tcPr>
            <w:tcW w:w="897" w:type="dxa"/>
            <w:tcBorders>
              <w:tl2br w:val="nil"/>
              <w:tr2bl w:val="nil"/>
            </w:tcBorders>
            <w:shd w:val="clear" w:color="auto" w:fill="D0CECE" w:themeFill="background2" w:themeFillShade="E6"/>
            <w:vAlign w:val="center"/>
          </w:tcPr>
          <w:p w14:paraId="321D9DB4">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b/>
                <w:bCs/>
                <w:kern w:val="0"/>
                <w:sz w:val="24"/>
                <w:szCs w:val="24"/>
              </w:rPr>
            </w:pPr>
            <w:r>
              <w:rPr>
                <w:rFonts w:hint="eastAsia" w:ascii="仿宋_GB2312" w:hAnsi="宋体" w:cs="宋体"/>
                <w:b/>
                <w:bCs/>
                <w:kern w:val="0"/>
                <w:sz w:val="24"/>
                <w:szCs w:val="24"/>
              </w:rPr>
              <w:t>分值</w:t>
            </w:r>
          </w:p>
        </w:tc>
        <w:tc>
          <w:tcPr>
            <w:tcW w:w="897" w:type="dxa"/>
            <w:tcBorders>
              <w:tl2br w:val="nil"/>
              <w:tr2bl w:val="nil"/>
            </w:tcBorders>
            <w:shd w:val="clear" w:color="auto" w:fill="D0CECE" w:themeFill="background2" w:themeFillShade="E6"/>
            <w:vAlign w:val="center"/>
          </w:tcPr>
          <w:p w14:paraId="5D2E5673">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b/>
                <w:bCs/>
                <w:kern w:val="0"/>
                <w:sz w:val="24"/>
                <w:szCs w:val="24"/>
              </w:rPr>
            </w:pPr>
            <w:r>
              <w:rPr>
                <w:rFonts w:hint="eastAsia" w:ascii="仿宋_GB2312" w:hAnsi="宋体" w:cs="宋体"/>
                <w:b/>
                <w:bCs/>
                <w:kern w:val="0"/>
                <w:sz w:val="24"/>
                <w:szCs w:val="24"/>
              </w:rPr>
              <w:t>得分</w:t>
            </w:r>
          </w:p>
        </w:tc>
        <w:tc>
          <w:tcPr>
            <w:tcW w:w="1038" w:type="dxa"/>
            <w:tcBorders>
              <w:tl2br w:val="nil"/>
              <w:tr2bl w:val="nil"/>
            </w:tcBorders>
            <w:shd w:val="clear" w:color="auto" w:fill="D0CECE" w:themeFill="background2" w:themeFillShade="E6"/>
            <w:vAlign w:val="center"/>
          </w:tcPr>
          <w:p w14:paraId="6D9DF379">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Gungsuh" w:cs="宋体"/>
                <w:b/>
                <w:bCs/>
                <w:kern w:val="0"/>
                <w:sz w:val="24"/>
                <w:szCs w:val="24"/>
              </w:rPr>
            </w:pPr>
            <w:r>
              <w:rPr>
                <w:rFonts w:hint="eastAsia" w:ascii="仿宋_GB2312" w:hAnsi="Gungsuh" w:cs="宋体"/>
                <w:b/>
                <w:bCs/>
                <w:kern w:val="0"/>
                <w:sz w:val="24"/>
                <w:szCs w:val="24"/>
              </w:rPr>
              <w:t>得分率</w:t>
            </w:r>
          </w:p>
        </w:tc>
      </w:tr>
      <w:tr w14:paraId="09DDA6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1" w:hRule="atLeast"/>
          <w:jc w:val="center"/>
        </w:trPr>
        <w:tc>
          <w:tcPr>
            <w:tcW w:w="1704" w:type="dxa"/>
            <w:vMerge w:val="restart"/>
            <w:tcBorders>
              <w:tl2br w:val="nil"/>
              <w:tr2bl w:val="nil"/>
            </w:tcBorders>
            <w:shd w:val="clear" w:color="auto" w:fill="FFFFFF"/>
            <w:vAlign w:val="center"/>
          </w:tcPr>
          <w:p w14:paraId="403D077C">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rPr>
              <w:t>决策</w:t>
            </w:r>
          </w:p>
        </w:tc>
        <w:tc>
          <w:tcPr>
            <w:tcW w:w="1422" w:type="dxa"/>
            <w:vMerge w:val="restart"/>
            <w:tcBorders>
              <w:tl2br w:val="nil"/>
              <w:tr2bl w:val="nil"/>
            </w:tcBorders>
            <w:shd w:val="clear" w:color="auto" w:fill="FFFFFF"/>
            <w:vAlign w:val="center"/>
          </w:tcPr>
          <w:p w14:paraId="2624546E">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rPr>
              <w:t>项目立项</w:t>
            </w:r>
          </w:p>
        </w:tc>
        <w:tc>
          <w:tcPr>
            <w:tcW w:w="3100" w:type="dxa"/>
            <w:tcBorders>
              <w:tl2br w:val="nil"/>
              <w:tr2bl w:val="nil"/>
            </w:tcBorders>
            <w:shd w:val="clear" w:color="auto" w:fill="FFFFFF"/>
            <w:vAlign w:val="center"/>
          </w:tcPr>
          <w:p w14:paraId="13D1552C">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rPr>
              <w:t>立项依据充分性</w:t>
            </w:r>
          </w:p>
        </w:tc>
        <w:tc>
          <w:tcPr>
            <w:tcW w:w="897" w:type="dxa"/>
            <w:tcBorders>
              <w:tl2br w:val="nil"/>
              <w:tr2bl w:val="nil"/>
            </w:tcBorders>
            <w:shd w:val="clear" w:color="auto" w:fill="FFFFFF"/>
            <w:vAlign w:val="center"/>
          </w:tcPr>
          <w:p w14:paraId="79618FFD">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rPr>
              <w:t>4</w:t>
            </w:r>
          </w:p>
        </w:tc>
        <w:tc>
          <w:tcPr>
            <w:tcW w:w="897" w:type="dxa"/>
            <w:tcBorders>
              <w:tl2br w:val="nil"/>
              <w:tr2bl w:val="nil"/>
            </w:tcBorders>
            <w:shd w:val="clear" w:color="auto" w:fill="FFFFFF"/>
            <w:vAlign w:val="center"/>
          </w:tcPr>
          <w:p w14:paraId="17F1E24A">
            <w:pPr>
              <w:pageBreakBefore w:val="0"/>
              <w:widowControl/>
              <w:kinsoku/>
              <w:wordWrap/>
              <w:overflowPunct/>
              <w:topLinePunct w:val="0"/>
              <w:autoSpaceDN/>
              <w:bidi w:val="0"/>
              <w:adjustRightInd/>
              <w:snapToGrid/>
              <w:spacing w:line="560" w:lineRule="exact"/>
              <w:ind w:firstLine="0" w:firstLineChars="0"/>
              <w:jc w:val="center"/>
              <w:textAlignment w:val="auto"/>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4</w:t>
            </w:r>
          </w:p>
        </w:tc>
        <w:tc>
          <w:tcPr>
            <w:tcW w:w="1038" w:type="dxa"/>
            <w:tcBorders>
              <w:tl2br w:val="nil"/>
              <w:tr2bl w:val="nil"/>
            </w:tcBorders>
            <w:shd w:val="clear" w:color="auto" w:fill="FFFFFF"/>
            <w:vAlign w:val="center"/>
          </w:tcPr>
          <w:p w14:paraId="3E00610E">
            <w:pPr>
              <w:pageBreakBefore w:val="0"/>
              <w:widowControl/>
              <w:kinsoku/>
              <w:wordWrap/>
              <w:overflowPunct/>
              <w:topLinePunct w:val="0"/>
              <w:autoSpaceDN/>
              <w:bidi w:val="0"/>
              <w:adjustRightInd/>
              <w:snapToGrid/>
              <w:spacing w:line="560" w:lineRule="exact"/>
              <w:ind w:firstLine="0" w:firstLineChars="0"/>
              <w:jc w:val="center"/>
              <w:textAlignment w:val="auto"/>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100%</w:t>
            </w:r>
          </w:p>
        </w:tc>
      </w:tr>
      <w:tr w14:paraId="53E1A0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1" w:hRule="atLeast"/>
          <w:jc w:val="center"/>
        </w:trPr>
        <w:tc>
          <w:tcPr>
            <w:tcW w:w="1704" w:type="dxa"/>
            <w:vMerge w:val="continue"/>
            <w:tcBorders>
              <w:tl2br w:val="nil"/>
              <w:tr2bl w:val="nil"/>
            </w:tcBorders>
            <w:shd w:val="clear" w:color="auto" w:fill="FFFFFF"/>
            <w:vAlign w:val="center"/>
          </w:tcPr>
          <w:p w14:paraId="18353330">
            <w:pPr>
              <w:pageBreakBefore w:val="0"/>
              <w:kinsoku/>
              <w:wordWrap/>
              <w:overflowPunct/>
              <w:topLinePunct w:val="0"/>
              <w:autoSpaceDN/>
              <w:bidi w:val="0"/>
              <w:adjustRightInd/>
              <w:snapToGrid/>
              <w:spacing w:line="560" w:lineRule="exact"/>
              <w:ind w:firstLine="480"/>
              <w:jc w:val="center"/>
              <w:textAlignment w:val="auto"/>
              <w:rPr>
                <w:rFonts w:ascii="仿宋_GB2312" w:hAnsi="宋体" w:cs="宋体"/>
                <w:kern w:val="0"/>
                <w:sz w:val="24"/>
                <w:szCs w:val="24"/>
              </w:rPr>
            </w:pPr>
          </w:p>
        </w:tc>
        <w:tc>
          <w:tcPr>
            <w:tcW w:w="1422" w:type="dxa"/>
            <w:vMerge w:val="continue"/>
            <w:tcBorders>
              <w:tl2br w:val="nil"/>
              <w:tr2bl w:val="nil"/>
            </w:tcBorders>
            <w:shd w:val="clear" w:color="auto" w:fill="FFFFFF"/>
            <w:vAlign w:val="center"/>
          </w:tcPr>
          <w:p w14:paraId="1472C05C">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p>
        </w:tc>
        <w:tc>
          <w:tcPr>
            <w:tcW w:w="3100" w:type="dxa"/>
            <w:tcBorders>
              <w:tl2br w:val="nil"/>
              <w:tr2bl w:val="nil"/>
            </w:tcBorders>
            <w:shd w:val="clear" w:color="auto" w:fill="FFFFFF"/>
            <w:vAlign w:val="center"/>
          </w:tcPr>
          <w:p w14:paraId="1408A93B">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rPr>
              <w:t>立项程序规范性</w:t>
            </w:r>
          </w:p>
        </w:tc>
        <w:tc>
          <w:tcPr>
            <w:tcW w:w="897" w:type="dxa"/>
            <w:tcBorders>
              <w:tl2br w:val="nil"/>
              <w:tr2bl w:val="nil"/>
            </w:tcBorders>
            <w:shd w:val="clear" w:color="auto" w:fill="FFFFFF"/>
            <w:vAlign w:val="center"/>
          </w:tcPr>
          <w:p w14:paraId="27A6B7B1">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rPr>
              <w:t>4</w:t>
            </w:r>
          </w:p>
        </w:tc>
        <w:tc>
          <w:tcPr>
            <w:tcW w:w="897" w:type="dxa"/>
            <w:tcBorders>
              <w:tl2br w:val="nil"/>
              <w:tr2bl w:val="nil"/>
            </w:tcBorders>
            <w:shd w:val="clear" w:color="auto" w:fill="FFFFFF"/>
            <w:vAlign w:val="center"/>
          </w:tcPr>
          <w:p w14:paraId="5A6C18C8">
            <w:pPr>
              <w:pageBreakBefore w:val="0"/>
              <w:widowControl/>
              <w:kinsoku/>
              <w:wordWrap/>
              <w:overflowPunct/>
              <w:topLinePunct w:val="0"/>
              <w:autoSpaceDN/>
              <w:bidi w:val="0"/>
              <w:adjustRightInd/>
              <w:snapToGrid/>
              <w:spacing w:line="560" w:lineRule="exact"/>
              <w:ind w:firstLine="0" w:firstLineChars="0"/>
              <w:jc w:val="center"/>
              <w:textAlignment w:val="auto"/>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4</w:t>
            </w:r>
          </w:p>
        </w:tc>
        <w:tc>
          <w:tcPr>
            <w:tcW w:w="1038" w:type="dxa"/>
            <w:tcBorders>
              <w:tl2br w:val="nil"/>
              <w:tr2bl w:val="nil"/>
            </w:tcBorders>
            <w:shd w:val="clear" w:color="auto" w:fill="FFFFFF"/>
            <w:vAlign w:val="center"/>
          </w:tcPr>
          <w:p w14:paraId="4AAACFA6">
            <w:pPr>
              <w:pageBreakBefore w:val="0"/>
              <w:widowControl/>
              <w:kinsoku/>
              <w:wordWrap/>
              <w:overflowPunct/>
              <w:topLinePunct w:val="0"/>
              <w:autoSpaceDN/>
              <w:bidi w:val="0"/>
              <w:adjustRightInd/>
              <w:snapToGrid/>
              <w:spacing w:line="560" w:lineRule="exact"/>
              <w:ind w:left="0" w:leftChars="0"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4A301F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1" w:hRule="atLeast"/>
          <w:jc w:val="center"/>
        </w:trPr>
        <w:tc>
          <w:tcPr>
            <w:tcW w:w="1704" w:type="dxa"/>
            <w:vMerge w:val="continue"/>
            <w:tcBorders>
              <w:tl2br w:val="nil"/>
              <w:tr2bl w:val="nil"/>
            </w:tcBorders>
            <w:shd w:val="clear" w:color="auto" w:fill="FFFFFF"/>
            <w:vAlign w:val="center"/>
          </w:tcPr>
          <w:p w14:paraId="23D18E4C">
            <w:pPr>
              <w:pageBreakBefore w:val="0"/>
              <w:kinsoku/>
              <w:wordWrap/>
              <w:overflowPunct/>
              <w:topLinePunct w:val="0"/>
              <w:autoSpaceDN/>
              <w:bidi w:val="0"/>
              <w:adjustRightInd/>
              <w:snapToGrid/>
              <w:spacing w:line="560" w:lineRule="exact"/>
              <w:ind w:firstLine="480"/>
              <w:jc w:val="center"/>
              <w:textAlignment w:val="auto"/>
              <w:rPr>
                <w:rFonts w:ascii="仿宋_GB2312" w:hAnsi="宋体" w:cs="宋体"/>
                <w:kern w:val="0"/>
                <w:sz w:val="24"/>
                <w:szCs w:val="24"/>
              </w:rPr>
            </w:pPr>
          </w:p>
        </w:tc>
        <w:tc>
          <w:tcPr>
            <w:tcW w:w="1422" w:type="dxa"/>
            <w:vMerge w:val="restart"/>
            <w:tcBorders>
              <w:tl2br w:val="nil"/>
              <w:tr2bl w:val="nil"/>
            </w:tcBorders>
            <w:shd w:val="clear" w:color="auto" w:fill="FFFFFF"/>
            <w:vAlign w:val="center"/>
          </w:tcPr>
          <w:p w14:paraId="069B578B">
            <w:pPr>
              <w:pageBreakBefore w:val="0"/>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rPr>
              <w:t>绩效目标</w:t>
            </w:r>
          </w:p>
        </w:tc>
        <w:tc>
          <w:tcPr>
            <w:tcW w:w="3100" w:type="dxa"/>
            <w:tcBorders>
              <w:tl2br w:val="nil"/>
              <w:tr2bl w:val="nil"/>
            </w:tcBorders>
            <w:shd w:val="clear" w:color="auto" w:fill="FFFFFF"/>
            <w:vAlign w:val="center"/>
          </w:tcPr>
          <w:p w14:paraId="48671A1E">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rPr>
              <w:t>绩效目标合理性</w:t>
            </w:r>
          </w:p>
        </w:tc>
        <w:tc>
          <w:tcPr>
            <w:tcW w:w="897" w:type="dxa"/>
            <w:tcBorders>
              <w:tl2br w:val="nil"/>
              <w:tr2bl w:val="nil"/>
            </w:tcBorders>
            <w:shd w:val="clear" w:color="000000" w:fill="FFFFFF"/>
            <w:vAlign w:val="center"/>
          </w:tcPr>
          <w:p w14:paraId="48145566">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rPr>
              <w:t>3</w:t>
            </w:r>
          </w:p>
        </w:tc>
        <w:tc>
          <w:tcPr>
            <w:tcW w:w="897" w:type="dxa"/>
            <w:tcBorders>
              <w:tl2br w:val="nil"/>
              <w:tr2bl w:val="nil"/>
            </w:tcBorders>
            <w:shd w:val="clear" w:color="000000" w:fill="FFFFFF"/>
            <w:vAlign w:val="center"/>
          </w:tcPr>
          <w:p w14:paraId="4BF58B41">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3</w:t>
            </w:r>
          </w:p>
        </w:tc>
        <w:tc>
          <w:tcPr>
            <w:tcW w:w="1038" w:type="dxa"/>
            <w:tcBorders>
              <w:tl2br w:val="nil"/>
              <w:tr2bl w:val="nil"/>
            </w:tcBorders>
            <w:shd w:val="clear" w:color="000000" w:fill="FFFFFF"/>
            <w:vAlign w:val="center"/>
          </w:tcPr>
          <w:p w14:paraId="26484B0A">
            <w:pPr>
              <w:pageBreakBefore w:val="0"/>
              <w:widowControl/>
              <w:kinsoku/>
              <w:wordWrap/>
              <w:overflowPunct/>
              <w:topLinePunct w:val="0"/>
              <w:autoSpaceDN/>
              <w:bidi w:val="0"/>
              <w:adjustRightInd/>
              <w:snapToGrid/>
              <w:spacing w:line="560" w:lineRule="exact"/>
              <w:ind w:left="0" w:leftChars="0"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66BA9E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1" w:hRule="atLeast"/>
          <w:jc w:val="center"/>
        </w:trPr>
        <w:tc>
          <w:tcPr>
            <w:tcW w:w="1704" w:type="dxa"/>
            <w:vMerge w:val="continue"/>
            <w:tcBorders>
              <w:tl2br w:val="nil"/>
              <w:tr2bl w:val="nil"/>
            </w:tcBorders>
            <w:shd w:val="clear" w:color="auto" w:fill="FFFFFF"/>
            <w:vAlign w:val="center"/>
          </w:tcPr>
          <w:p w14:paraId="64B1FBF4">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p>
        </w:tc>
        <w:tc>
          <w:tcPr>
            <w:tcW w:w="1422" w:type="dxa"/>
            <w:vMerge w:val="continue"/>
            <w:tcBorders>
              <w:tl2br w:val="nil"/>
              <w:tr2bl w:val="nil"/>
            </w:tcBorders>
            <w:shd w:val="clear" w:color="auto" w:fill="FFFFFF"/>
            <w:vAlign w:val="center"/>
          </w:tcPr>
          <w:p w14:paraId="386B869B">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p>
        </w:tc>
        <w:tc>
          <w:tcPr>
            <w:tcW w:w="3100" w:type="dxa"/>
            <w:tcBorders>
              <w:tl2br w:val="nil"/>
              <w:tr2bl w:val="nil"/>
            </w:tcBorders>
            <w:shd w:val="clear" w:color="auto" w:fill="FFFFFF"/>
            <w:vAlign w:val="center"/>
          </w:tcPr>
          <w:p w14:paraId="7E3B4AD1">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rPr>
              <w:t>绩效指标明确性</w:t>
            </w:r>
          </w:p>
        </w:tc>
        <w:tc>
          <w:tcPr>
            <w:tcW w:w="897" w:type="dxa"/>
            <w:tcBorders>
              <w:tl2br w:val="nil"/>
              <w:tr2bl w:val="nil"/>
            </w:tcBorders>
            <w:shd w:val="clear" w:color="000000" w:fill="FFFFFF"/>
            <w:vAlign w:val="center"/>
          </w:tcPr>
          <w:p w14:paraId="4632EBCA">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rPr>
              <w:t>3</w:t>
            </w:r>
          </w:p>
        </w:tc>
        <w:tc>
          <w:tcPr>
            <w:tcW w:w="897" w:type="dxa"/>
            <w:tcBorders>
              <w:tl2br w:val="nil"/>
              <w:tr2bl w:val="nil"/>
            </w:tcBorders>
            <w:shd w:val="clear" w:color="000000" w:fill="FFFFFF"/>
            <w:vAlign w:val="center"/>
          </w:tcPr>
          <w:p w14:paraId="6171047F">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3</w:t>
            </w:r>
          </w:p>
        </w:tc>
        <w:tc>
          <w:tcPr>
            <w:tcW w:w="1038" w:type="dxa"/>
            <w:tcBorders>
              <w:tl2br w:val="nil"/>
              <w:tr2bl w:val="nil"/>
            </w:tcBorders>
            <w:shd w:val="clear" w:color="000000" w:fill="FFFFFF"/>
            <w:vAlign w:val="center"/>
          </w:tcPr>
          <w:p w14:paraId="2B5FFB7E">
            <w:pPr>
              <w:pageBreakBefore w:val="0"/>
              <w:widowControl/>
              <w:kinsoku/>
              <w:wordWrap/>
              <w:overflowPunct/>
              <w:topLinePunct w:val="0"/>
              <w:autoSpaceDN/>
              <w:bidi w:val="0"/>
              <w:adjustRightInd/>
              <w:snapToGrid/>
              <w:spacing w:line="560" w:lineRule="exact"/>
              <w:ind w:left="0" w:leftChars="0"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2ABA3D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1" w:hRule="atLeast"/>
          <w:jc w:val="center"/>
        </w:trPr>
        <w:tc>
          <w:tcPr>
            <w:tcW w:w="1704" w:type="dxa"/>
            <w:vMerge w:val="continue"/>
            <w:tcBorders>
              <w:tl2br w:val="nil"/>
              <w:tr2bl w:val="nil"/>
            </w:tcBorders>
            <w:shd w:val="clear" w:color="auto" w:fill="FFFFFF"/>
            <w:vAlign w:val="center"/>
          </w:tcPr>
          <w:p w14:paraId="79FBA958">
            <w:pPr>
              <w:pageBreakBefore w:val="0"/>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p>
        </w:tc>
        <w:tc>
          <w:tcPr>
            <w:tcW w:w="1422" w:type="dxa"/>
            <w:vMerge w:val="restart"/>
            <w:tcBorders>
              <w:tl2br w:val="nil"/>
              <w:tr2bl w:val="nil"/>
            </w:tcBorders>
            <w:shd w:val="clear" w:color="auto" w:fill="FFFFFF"/>
            <w:vAlign w:val="center"/>
          </w:tcPr>
          <w:p w14:paraId="4D08FD22">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rPr>
              <w:t>资金投入</w:t>
            </w:r>
          </w:p>
        </w:tc>
        <w:tc>
          <w:tcPr>
            <w:tcW w:w="3100" w:type="dxa"/>
            <w:tcBorders>
              <w:tl2br w:val="nil"/>
              <w:tr2bl w:val="nil"/>
            </w:tcBorders>
            <w:shd w:val="clear" w:color="auto" w:fill="FFFFFF"/>
            <w:vAlign w:val="center"/>
          </w:tcPr>
          <w:p w14:paraId="55BE5A69">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rPr>
              <w:t>预算编制科学性</w:t>
            </w:r>
          </w:p>
        </w:tc>
        <w:tc>
          <w:tcPr>
            <w:tcW w:w="897" w:type="dxa"/>
            <w:tcBorders>
              <w:tl2br w:val="nil"/>
              <w:tr2bl w:val="nil"/>
            </w:tcBorders>
            <w:shd w:val="clear" w:color="auto" w:fill="FFFFFF"/>
            <w:vAlign w:val="center"/>
          </w:tcPr>
          <w:p w14:paraId="5A73B2E1">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rPr>
              <w:t>3</w:t>
            </w:r>
          </w:p>
        </w:tc>
        <w:tc>
          <w:tcPr>
            <w:tcW w:w="897" w:type="dxa"/>
            <w:tcBorders>
              <w:tl2br w:val="nil"/>
              <w:tr2bl w:val="nil"/>
            </w:tcBorders>
            <w:shd w:val="clear" w:color="auto" w:fill="FFFFFF"/>
            <w:vAlign w:val="center"/>
          </w:tcPr>
          <w:p w14:paraId="34151225">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3</w:t>
            </w:r>
          </w:p>
        </w:tc>
        <w:tc>
          <w:tcPr>
            <w:tcW w:w="1038" w:type="dxa"/>
            <w:tcBorders>
              <w:tl2br w:val="nil"/>
              <w:tr2bl w:val="nil"/>
            </w:tcBorders>
            <w:shd w:val="clear" w:color="auto" w:fill="FFFFFF"/>
            <w:vAlign w:val="center"/>
          </w:tcPr>
          <w:p w14:paraId="06177BA8">
            <w:pPr>
              <w:pageBreakBefore w:val="0"/>
              <w:widowControl/>
              <w:kinsoku/>
              <w:wordWrap/>
              <w:overflowPunct/>
              <w:topLinePunct w:val="0"/>
              <w:autoSpaceDN/>
              <w:bidi w:val="0"/>
              <w:adjustRightInd/>
              <w:snapToGrid/>
              <w:spacing w:line="560" w:lineRule="exact"/>
              <w:ind w:left="0" w:leftChars="0"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67D5D8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1" w:hRule="atLeast"/>
          <w:jc w:val="center"/>
        </w:trPr>
        <w:tc>
          <w:tcPr>
            <w:tcW w:w="1704" w:type="dxa"/>
            <w:vMerge w:val="continue"/>
            <w:tcBorders>
              <w:tl2br w:val="nil"/>
              <w:tr2bl w:val="nil"/>
            </w:tcBorders>
            <w:shd w:val="clear" w:color="auto" w:fill="FFFFFF"/>
            <w:vAlign w:val="center"/>
          </w:tcPr>
          <w:p w14:paraId="0AC688C3">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p>
        </w:tc>
        <w:tc>
          <w:tcPr>
            <w:tcW w:w="1422" w:type="dxa"/>
            <w:vMerge w:val="continue"/>
            <w:tcBorders>
              <w:tl2br w:val="nil"/>
              <w:tr2bl w:val="nil"/>
            </w:tcBorders>
            <w:shd w:val="clear" w:color="auto" w:fill="FFFFFF"/>
            <w:vAlign w:val="center"/>
          </w:tcPr>
          <w:p w14:paraId="462756E7">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p>
        </w:tc>
        <w:tc>
          <w:tcPr>
            <w:tcW w:w="3100" w:type="dxa"/>
            <w:tcBorders>
              <w:tl2br w:val="nil"/>
              <w:tr2bl w:val="nil"/>
            </w:tcBorders>
            <w:shd w:val="clear" w:color="auto" w:fill="FFFFFF"/>
            <w:vAlign w:val="center"/>
          </w:tcPr>
          <w:p w14:paraId="26D07352">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rPr>
              <w:t>资金分配合理性</w:t>
            </w:r>
          </w:p>
        </w:tc>
        <w:tc>
          <w:tcPr>
            <w:tcW w:w="897" w:type="dxa"/>
            <w:tcBorders>
              <w:tl2br w:val="nil"/>
              <w:tr2bl w:val="nil"/>
            </w:tcBorders>
            <w:shd w:val="clear" w:color="auto" w:fill="FFFFFF"/>
            <w:vAlign w:val="center"/>
          </w:tcPr>
          <w:p w14:paraId="4AAF1914">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rPr>
              <w:t>3</w:t>
            </w:r>
          </w:p>
        </w:tc>
        <w:tc>
          <w:tcPr>
            <w:tcW w:w="897" w:type="dxa"/>
            <w:tcBorders>
              <w:tl2br w:val="nil"/>
              <w:tr2bl w:val="nil"/>
            </w:tcBorders>
            <w:shd w:val="clear" w:color="auto" w:fill="FFFFFF"/>
            <w:vAlign w:val="center"/>
          </w:tcPr>
          <w:p w14:paraId="2BE14D36">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3</w:t>
            </w:r>
          </w:p>
        </w:tc>
        <w:tc>
          <w:tcPr>
            <w:tcW w:w="1038" w:type="dxa"/>
            <w:tcBorders>
              <w:tl2br w:val="nil"/>
              <w:tr2bl w:val="nil"/>
            </w:tcBorders>
            <w:shd w:val="clear" w:color="auto" w:fill="FFFFFF"/>
            <w:vAlign w:val="center"/>
          </w:tcPr>
          <w:p w14:paraId="326CD0BB">
            <w:pPr>
              <w:pageBreakBefore w:val="0"/>
              <w:widowControl/>
              <w:kinsoku/>
              <w:wordWrap/>
              <w:overflowPunct/>
              <w:topLinePunct w:val="0"/>
              <w:autoSpaceDN/>
              <w:bidi w:val="0"/>
              <w:adjustRightInd/>
              <w:snapToGrid/>
              <w:spacing w:line="560" w:lineRule="exact"/>
              <w:ind w:left="0" w:leftChars="0"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52FA3E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1" w:hRule="atLeast"/>
          <w:jc w:val="center"/>
        </w:trPr>
        <w:tc>
          <w:tcPr>
            <w:tcW w:w="1704" w:type="dxa"/>
            <w:vMerge w:val="restart"/>
            <w:tcBorders>
              <w:tl2br w:val="nil"/>
              <w:tr2bl w:val="nil"/>
            </w:tcBorders>
            <w:shd w:val="clear" w:color="auto" w:fill="FFFFFF"/>
            <w:vAlign w:val="center"/>
          </w:tcPr>
          <w:p w14:paraId="5FC70D2C">
            <w:pPr>
              <w:pageBreakBefore w:val="0"/>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rPr>
              <w:t>过程</w:t>
            </w:r>
          </w:p>
        </w:tc>
        <w:tc>
          <w:tcPr>
            <w:tcW w:w="1422" w:type="dxa"/>
            <w:vMerge w:val="restart"/>
            <w:tcBorders>
              <w:tl2br w:val="nil"/>
              <w:tr2bl w:val="nil"/>
            </w:tcBorders>
            <w:shd w:val="clear" w:color="auto" w:fill="FFFFFF"/>
            <w:vAlign w:val="center"/>
          </w:tcPr>
          <w:p w14:paraId="739EA5E4">
            <w:pPr>
              <w:pageBreakBefore w:val="0"/>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rPr>
              <w:t>资金管理</w:t>
            </w:r>
          </w:p>
        </w:tc>
        <w:tc>
          <w:tcPr>
            <w:tcW w:w="3100" w:type="dxa"/>
            <w:tcBorders>
              <w:tl2br w:val="nil"/>
              <w:tr2bl w:val="nil"/>
            </w:tcBorders>
            <w:shd w:val="clear" w:color="auto" w:fill="FFFFFF"/>
            <w:vAlign w:val="center"/>
          </w:tcPr>
          <w:p w14:paraId="328E7979">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rPr>
              <w:t>资金到位率</w:t>
            </w:r>
          </w:p>
        </w:tc>
        <w:tc>
          <w:tcPr>
            <w:tcW w:w="897" w:type="dxa"/>
            <w:tcBorders>
              <w:tl2br w:val="nil"/>
              <w:tr2bl w:val="nil"/>
            </w:tcBorders>
            <w:shd w:val="clear" w:color="000000" w:fill="FFFFFF"/>
            <w:vAlign w:val="center"/>
          </w:tcPr>
          <w:p w14:paraId="437FF15B">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rPr>
              <w:t>5</w:t>
            </w:r>
          </w:p>
        </w:tc>
        <w:tc>
          <w:tcPr>
            <w:tcW w:w="897" w:type="dxa"/>
            <w:tcBorders>
              <w:tl2br w:val="nil"/>
              <w:tr2bl w:val="nil"/>
            </w:tcBorders>
            <w:shd w:val="clear" w:color="000000" w:fill="FFFFFF"/>
            <w:vAlign w:val="center"/>
          </w:tcPr>
          <w:p w14:paraId="292024AB">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5</w:t>
            </w:r>
          </w:p>
        </w:tc>
        <w:tc>
          <w:tcPr>
            <w:tcW w:w="1038" w:type="dxa"/>
            <w:tcBorders>
              <w:tl2br w:val="nil"/>
              <w:tr2bl w:val="nil"/>
            </w:tcBorders>
            <w:shd w:val="clear" w:color="000000" w:fill="FFFFFF"/>
            <w:vAlign w:val="center"/>
          </w:tcPr>
          <w:p w14:paraId="16440324">
            <w:pPr>
              <w:pageBreakBefore w:val="0"/>
              <w:widowControl/>
              <w:kinsoku/>
              <w:wordWrap/>
              <w:overflowPunct/>
              <w:topLinePunct w:val="0"/>
              <w:autoSpaceDN/>
              <w:bidi w:val="0"/>
              <w:adjustRightInd/>
              <w:snapToGrid/>
              <w:spacing w:line="560" w:lineRule="exact"/>
              <w:ind w:left="0" w:leftChars="0"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50FDFB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1" w:hRule="atLeast"/>
          <w:jc w:val="center"/>
        </w:trPr>
        <w:tc>
          <w:tcPr>
            <w:tcW w:w="1704" w:type="dxa"/>
            <w:vMerge w:val="continue"/>
            <w:tcBorders>
              <w:tl2br w:val="nil"/>
              <w:tr2bl w:val="nil"/>
            </w:tcBorders>
            <w:shd w:val="clear" w:color="auto" w:fill="FFFFFF"/>
            <w:vAlign w:val="center"/>
          </w:tcPr>
          <w:p w14:paraId="25784CB0">
            <w:pPr>
              <w:pageBreakBefore w:val="0"/>
              <w:kinsoku/>
              <w:wordWrap/>
              <w:overflowPunct/>
              <w:topLinePunct w:val="0"/>
              <w:autoSpaceDN/>
              <w:bidi w:val="0"/>
              <w:adjustRightInd/>
              <w:snapToGrid/>
              <w:spacing w:line="560" w:lineRule="exact"/>
              <w:ind w:firstLine="480"/>
              <w:jc w:val="center"/>
              <w:textAlignment w:val="auto"/>
              <w:rPr>
                <w:rFonts w:ascii="仿宋_GB2312" w:hAnsi="宋体" w:cs="宋体"/>
                <w:kern w:val="0"/>
                <w:sz w:val="24"/>
                <w:szCs w:val="24"/>
              </w:rPr>
            </w:pPr>
          </w:p>
        </w:tc>
        <w:tc>
          <w:tcPr>
            <w:tcW w:w="1422" w:type="dxa"/>
            <w:vMerge w:val="continue"/>
            <w:tcBorders>
              <w:tl2br w:val="nil"/>
              <w:tr2bl w:val="nil"/>
            </w:tcBorders>
            <w:shd w:val="clear" w:color="auto" w:fill="FFFFFF"/>
            <w:vAlign w:val="center"/>
          </w:tcPr>
          <w:p w14:paraId="44E6FA93">
            <w:pPr>
              <w:pageBreakBefore w:val="0"/>
              <w:kinsoku/>
              <w:wordWrap/>
              <w:overflowPunct/>
              <w:topLinePunct w:val="0"/>
              <w:autoSpaceDN/>
              <w:bidi w:val="0"/>
              <w:adjustRightInd/>
              <w:snapToGrid/>
              <w:spacing w:line="560" w:lineRule="exact"/>
              <w:ind w:firstLine="480"/>
              <w:jc w:val="center"/>
              <w:textAlignment w:val="auto"/>
              <w:rPr>
                <w:rFonts w:ascii="仿宋_GB2312" w:hAnsi="宋体" w:cs="宋体"/>
                <w:kern w:val="0"/>
                <w:sz w:val="24"/>
                <w:szCs w:val="24"/>
              </w:rPr>
            </w:pPr>
          </w:p>
        </w:tc>
        <w:tc>
          <w:tcPr>
            <w:tcW w:w="3100" w:type="dxa"/>
            <w:tcBorders>
              <w:tl2br w:val="nil"/>
              <w:tr2bl w:val="nil"/>
            </w:tcBorders>
            <w:shd w:val="clear" w:color="auto" w:fill="FFFFFF"/>
            <w:vAlign w:val="center"/>
          </w:tcPr>
          <w:p w14:paraId="22D90F1F">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rPr>
              <w:t>预算执行率</w:t>
            </w:r>
          </w:p>
        </w:tc>
        <w:tc>
          <w:tcPr>
            <w:tcW w:w="897" w:type="dxa"/>
            <w:tcBorders>
              <w:tl2br w:val="nil"/>
              <w:tr2bl w:val="nil"/>
            </w:tcBorders>
            <w:shd w:val="clear" w:color="auto" w:fill="FFFFFF"/>
            <w:vAlign w:val="center"/>
          </w:tcPr>
          <w:p w14:paraId="668D7BE1">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rPr>
              <w:t>5</w:t>
            </w:r>
          </w:p>
        </w:tc>
        <w:tc>
          <w:tcPr>
            <w:tcW w:w="897" w:type="dxa"/>
            <w:tcBorders>
              <w:tl2br w:val="nil"/>
              <w:tr2bl w:val="nil"/>
            </w:tcBorders>
            <w:shd w:val="clear" w:color="auto" w:fill="FFFFFF"/>
            <w:vAlign w:val="center"/>
          </w:tcPr>
          <w:p w14:paraId="2C240D1D">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5</w:t>
            </w:r>
          </w:p>
        </w:tc>
        <w:tc>
          <w:tcPr>
            <w:tcW w:w="1038" w:type="dxa"/>
            <w:tcBorders>
              <w:tl2br w:val="nil"/>
              <w:tr2bl w:val="nil"/>
            </w:tcBorders>
            <w:shd w:val="clear" w:color="auto" w:fill="FFFFFF"/>
            <w:vAlign w:val="center"/>
          </w:tcPr>
          <w:p w14:paraId="41F367E3">
            <w:pPr>
              <w:pageBreakBefore w:val="0"/>
              <w:widowControl/>
              <w:kinsoku/>
              <w:wordWrap/>
              <w:overflowPunct/>
              <w:topLinePunct w:val="0"/>
              <w:autoSpaceDN/>
              <w:bidi w:val="0"/>
              <w:adjustRightInd/>
              <w:snapToGrid/>
              <w:spacing w:line="560" w:lineRule="exact"/>
              <w:ind w:left="0" w:leftChars="0"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2D6EFB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1" w:hRule="atLeast"/>
          <w:jc w:val="center"/>
        </w:trPr>
        <w:tc>
          <w:tcPr>
            <w:tcW w:w="1704" w:type="dxa"/>
            <w:vMerge w:val="continue"/>
            <w:tcBorders>
              <w:tl2br w:val="nil"/>
              <w:tr2bl w:val="nil"/>
            </w:tcBorders>
            <w:shd w:val="clear" w:color="auto" w:fill="FFFFFF"/>
            <w:vAlign w:val="center"/>
          </w:tcPr>
          <w:p w14:paraId="036F1919">
            <w:pPr>
              <w:pageBreakBefore w:val="0"/>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p>
        </w:tc>
        <w:tc>
          <w:tcPr>
            <w:tcW w:w="1422" w:type="dxa"/>
            <w:vMerge w:val="continue"/>
            <w:tcBorders>
              <w:tl2br w:val="nil"/>
              <w:tr2bl w:val="nil"/>
            </w:tcBorders>
            <w:shd w:val="clear" w:color="auto" w:fill="FFFFFF"/>
            <w:vAlign w:val="center"/>
          </w:tcPr>
          <w:p w14:paraId="2AD4FC13">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p>
        </w:tc>
        <w:tc>
          <w:tcPr>
            <w:tcW w:w="3100" w:type="dxa"/>
            <w:tcBorders>
              <w:tl2br w:val="nil"/>
              <w:tr2bl w:val="nil"/>
            </w:tcBorders>
            <w:shd w:val="clear" w:color="auto" w:fill="FFFFFF"/>
            <w:vAlign w:val="center"/>
          </w:tcPr>
          <w:p w14:paraId="5741FD90">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rPr>
              <w:t>资金使用合规性</w:t>
            </w:r>
          </w:p>
        </w:tc>
        <w:tc>
          <w:tcPr>
            <w:tcW w:w="897" w:type="dxa"/>
            <w:tcBorders>
              <w:tl2br w:val="nil"/>
              <w:tr2bl w:val="nil"/>
            </w:tcBorders>
            <w:shd w:val="clear" w:color="000000" w:fill="FFFFFF"/>
            <w:vAlign w:val="center"/>
          </w:tcPr>
          <w:p w14:paraId="19BF2555">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rPr>
              <w:t>3</w:t>
            </w:r>
          </w:p>
        </w:tc>
        <w:tc>
          <w:tcPr>
            <w:tcW w:w="897" w:type="dxa"/>
            <w:tcBorders>
              <w:tl2br w:val="nil"/>
              <w:tr2bl w:val="nil"/>
            </w:tcBorders>
            <w:shd w:val="clear" w:color="000000" w:fill="FFFFFF"/>
            <w:vAlign w:val="center"/>
          </w:tcPr>
          <w:p w14:paraId="2845A806">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3</w:t>
            </w:r>
          </w:p>
        </w:tc>
        <w:tc>
          <w:tcPr>
            <w:tcW w:w="1038" w:type="dxa"/>
            <w:tcBorders>
              <w:tl2br w:val="nil"/>
              <w:tr2bl w:val="nil"/>
            </w:tcBorders>
            <w:shd w:val="clear" w:color="000000" w:fill="FFFFFF"/>
            <w:vAlign w:val="center"/>
          </w:tcPr>
          <w:p w14:paraId="368021BA">
            <w:pPr>
              <w:pageBreakBefore w:val="0"/>
              <w:widowControl/>
              <w:kinsoku/>
              <w:wordWrap/>
              <w:overflowPunct/>
              <w:topLinePunct w:val="0"/>
              <w:autoSpaceDN/>
              <w:bidi w:val="0"/>
              <w:adjustRightInd/>
              <w:snapToGrid/>
              <w:spacing w:line="560" w:lineRule="exact"/>
              <w:ind w:left="0" w:leftChars="0"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781533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1" w:hRule="atLeast"/>
          <w:jc w:val="center"/>
        </w:trPr>
        <w:tc>
          <w:tcPr>
            <w:tcW w:w="1704" w:type="dxa"/>
            <w:vMerge w:val="continue"/>
            <w:tcBorders>
              <w:tl2br w:val="nil"/>
              <w:tr2bl w:val="nil"/>
            </w:tcBorders>
            <w:shd w:val="clear" w:color="auto" w:fill="FFFFFF"/>
            <w:vAlign w:val="center"/>
          </w:tcPr>
          <w:p w14:paraId="0C46F04C">
            <w:pPr>
              <w:pageBreakBefore w:val="0"/>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p>
        </w:tc>
        <w:tc>
          <w:tcPr>
            <w:tcW w:w="1422" w:type="dxa"/>
            <w:vMerge w:val="restart"/>
            <w:tcBorders>
              <w:tl2br w:val="nil"/>
              <w:tr2bl w:val="nil"/>
            </w:tcBorders>
            <w:shd w:val="clear" w:color="auto" w:fill="FFFFFF"/>
            <w:vAlign w:val="center"/>
          </w:tcPr>
          <w:p w14:paraId="62A94D67">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rPr>
              <w:t>组织实施</w:t>
            </w:r>
          </w:p>
        </w:tc>
        <w:tc>
          <w:tcPr>
            <w:tcW w:w="3100" w:type="dxa"/>
            <w:tcBorders>
              <w:tl2br w:val="nil"/>
              <w:tr2bl w:val="nil"/>
            </w:tcBorders>
            <w:shd w:val="clear" w:color="auto" w:fill="FFFFFF"/>
            <w:vAlign w:val="center"/>
          </w:tcPr>
          <w:p w14:paraId="000D9CA7">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rPr>
              <w:t>管理制度健全性</w:t>
            </w:r>
          </w:p>
        </w:tc>
        <w:tc>
          <w:tcPr>
            <w:tcW w:w="897" w:type="dxa"/>
            <w:tcBorders>
              <w:tl2br w:val="nil"/>
              <w:tr2bl w:val="nil"/>
            </w:tcBorders>
            <w:shd w:val="clear" w:color="000000" w:fill="FFFFFF"/>
            <w:vAlign w:val="center"/>
          </w:tcPr>
          <w:p w14:paraId="6BE280A2">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rPr>
              <w:t>3</w:t>
            </w:r>
          </w:p>
        </w:tc>
        <w:tc>
          <w:tcPr>
            <w:tcW w:w="897" w:type="dxa"/>
            <w:tcBorders>
              <w:tl2br w:val="nil"/>
              <w:tr2bl w:val="nil"/>
            </w:tcBorders>
            <w:shd w:val="clear" w:color="000000" w:fill="FFFFFF"/>
            <w:vAlign w:val="center"/>
          </w:tcPr>
          <w:p w14:paraId="755E1516">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3</w:t>
            </w:r>
          </w:p>
        </w:tc>
        <w:tc>
          <w:tcPr>
            <w:tcW w:w="1038" w:type="dxa"/>
            <w:tcBorders>
              <w:tl2br w:val="nil"/>
              <w:tr2bl w:val="nil"/>
            </w:tcBorders>
            <w:shd w:val="clear" w:color="000000" w:fill="FFFFFF"/>
            <w:vAlign w:val="center"/>
          </w:tcPr>
          <w:p w14:paraId="3BA99B93">
            <w:pPr>
              <w:pageBreakBefore w:val="0"/>
              <w:widowControl/>
              <w:kinsoku/>
              <w:wordWrap/>
              <w:overflowPunct/>
              <w:topLinePunct w:val="0"/>
              <w:autoSpaceDN/>
              <w:bidi w:val="0"/>
              <w:adjustRightInd/>
              <w:snapToGrid/>
              <w:spacing w:line="560" w:lineRule="exact"/>
              <w:ind w:left="0" w:leftChars="0"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65A94D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1" w:hRule="atLeast"/>
          <w:jc w:val="center"/>
        </w:trPr>
        <w:tc>
          <w:tcPr>
            <w:tcW w:w="1704" w:type="dxa"/>
            <w:vMerge w:val="continue"/>
            <w:tcBorders>
              <w:tl2br w:val="nil"/>
              <w:tr2bl w:val="nil"/>
            </w:tcBorders>
            <w:shd w:val="clear" w:color="auto" w:fill="FFFFFF"/>
            <w:vAlign w:val="center"/>
          </w:tcPr>
          <w:p w14:paraId="1292D9A4">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p>
        </w:tc>
        <w:tc>
          <w:tcPr>
            <w:tcW w:w="1422" w:type="dxa"/>
            <w:vMerge w:val="continue"/>
            <w:tcBorders>
              <w:tl2br w:val="nil"/>
              <w:tr2bl w:val="nil"/>
            </w:tcBorders>
            <w:shd w:val="clear" w:color="auto" w:fill="FFFFFF"/>
            <w:vAlign w:val="center"/>
          </w:tcPr>
          <w:p w14:paraId="0DB160A2">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p>
        </w:tc>
        <w:tc>
          <w:tcPr>
            <w:tcW w:w="3100" w:type="dxa"/>
            <w:tcBorders>
              <w:tl2br w:val="nil"/>
              <w:tr2bl w:val="nil"/>
            </w:tcBorders>
            <w:shd w:val="clear" w:color="auto" w:fill="FFFFFF"/>
            <w:vAlign w:val="center"/>
          </w:tcPr>
          <w:p w14:paraId="4059862F">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rPr>
              <w:t>制度执行有效性</w:t>
            </w:r>
          </w:p>
        </w:tc>
        <w:tc>
          <w:tcPr>
            <w:tcW w:w="897" w:type="dxa"/>
            <w:tcBorders>
              <w:tl2br w:val="nil"/>
              <w:tr2bl w:val="nil"/>
            </w:tcBorders>
            <w:shd w:val="clear" w:color="000000" w:fill="FFFFFF"/>
            <w:vAlign w:val="center"/>
          </w:tcPr>
          <w:p w14:paraId="472BC05F">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rPr>
              <w:t>4</w:t>
            </w:r>
          </w:p>
        </w:tc>
        <w:tc>
          <w:tcPr>
            <w:tcW w:w="897" w:type="dxa"/>
            <w:tcBorders>
              <w:tl2br w:val="nil"/>
              <w:tr2bl w:val="nil"/>
            </w:tcBorders>
            <w:shd w:val="clear" w:color="000000" w:fill="FFFFFF"/>
            <w:vAlign w:val="center"/>
          </w:tcPr>
          <w:p w14:paraId="387FC439">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4</w:t>
            </w:r>
          </w:p>
        </w:tc>
        <w:tc>
          <w:tcPr>
            <w:tcW w:w="1038" w:type="dxa"/>
            <w:tcBorders>
              <w:tl2br w:val="nil"/>
              <w:tr2bl w:val="nil"/>
            </w:tcBorders>
            <w:shd w:val="clear" w:color="000000" w:fill="FFFFFF"/>
            <w:vAlign w:val="center"/>
          </w:tcPr>
          <w:p w14:paraId="1B2641BE">
            <w:pPr>
              <w:pageBreakBefore w:val="0"/>
              <w:widowControl/>
              <w:kinsoku/>
              <w:wordWrap/>
              <w:overflowPunct/>
              <w:topLinePunct w:val="0"/>
              <w:autoSpaceDN/>
              <w:bidi w:val="0"/>
              <w:adjustRightInd/>
              <w:snapToGrid/>
              <w:spacing w:line="560" w:lineRule="exact"/>
              <w:ind w:left="0" w:leftChars="0"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43FB01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1" w:hRule="atLeast"/>
          <w:jc w:val="center"/>
        </w:trPr>
        <w:tc>
          <w:tcPr>
            <w:tcW w:w="1704" w:type="dxa"/>
            <w:vMerge w:val="restart"/>
            <w:tcBorders>
              <w:tl2br w:val="nil"/>
              <w:tr2bl w:val="nil"/>
            </w:tcBorders>
            <w:shd w:val="clear" w:color="auto" w:fill="FFFFFF"/>
            <w:vAlign w:val="center"/>
          </w:tcPr>
          <w:p w14:paraId="7FA6950F">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rPr>
              <w:t>产出</w:t>
            </w:r>
          </w:p>
        </w:tc>
        <w:tc>
          <w:tcPr>
            <w:tcW w:w="1422" w:type="dxa"/>
            <w:vMerge w:val="restart"/>
            <w:tcBorders>
              <w:tl2br w:val="nil"/>
              <w:tr2bl w:val="nil"/>
            </w:tcBorders>
            <w:shd w:val="clear" w:color="auto" w:fill="FFFFFF"/>
            <w:vAlign w:val="center"/>
          </w:tcPr>
          <w:p w14:paraId="452FC0E6">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highlight w:val="none"/>
              </w:rPr>
            </w:pPr>
            <w:r>
              <w:rPr>
                <w:rFonts w:hint="eastAsia" w:ascii="仿宋_GB2312" w:hAnsi="宋体" w:cs="宋体"/>
                <w:kern w:val="0"/>
                <w:sz w:val="24"/>
                <w:szCs w:val="24"/>
                <w:highlight w:val="none"/>
              </w:rPr>
              <w:t>产出数量</w:t>
            </w:r>
          </w:p>
        </w:tc>
        <w:tc>
          <w:tcPr>
            <w:tcW w:w="3100" w:type="dxa"/>
            <w:tcBorders>
              <w:tl2br w:val="nil"/>
              <w:tr2bl w:val="nil"/>
            </w:tcBorders>
            <w:shd w:val="clear" w:color="auto" w:fill="FFFFFF"/>
            <w:vAlign w:val="center"/>
          </w:tcPr>
          <w:p w14:paraId="79969D69">
            <w:pPr>
              <w:pageBreakBefore w:val="0"/>
              <w:widowControl/>
              <w:kinsoku/>
              <w:wordWrap/>
              <w:overflowPunct/>
              <w:topLinePunct w:val="0"/>
              <w:autoSpaceDN/>
              <w:bidi w:val="0"/>
              <w:adjustRightInd/>
              <w:snapToGrid/>
              <w:spacing w:line="560" w:lineRule="exact"/>
              <w:ind w:firstLine="0" w:firstLineChars="0"/>
              <w:jc w:val="center"/>
              <w:textAlignment w:val="auto"/>
              <w:rPr>
                <w:rFonts w:hint="eastAsia" w:ascii="仿宋_GB2312" w:hAnsi="宋体" w:cs="宋体"/>
                <w:kern w:val="0"/>
                <w:sz w:val="24"/>
                <w:szCs w:val="24"/>
              </w:rPr>
            </w:pPr>
            <w:r>
              <w:rPr>
                <w:rFonts w:hint="eastAsia" w:ascii="仿宋_GB2312" w:hAnsi="宋体" w:cs="宋体"/>
                <w:kern w:val="0"/>
                <w:sz w:val="24"/>
                <w:szCs w:val="24"/>
                <w:lang w:val="en-US" w:eastAsia="zh-CN"/>
              </w:rPr>
              <w:t>侨界活动次数</w:t>
            </w:r>
          </w:p>
        </w:tc>
        <w:tc>
          <w:tcPr>
            <w:tcW w:w="897" w:type="dxa"/>
            <w:tcBorders>
              <w:tl2br w:val="nil"/>
              <w:tr2bl w:val="nil"/>
            </w:tcBorders>
            <w:shd w:val="clear" w:color="000000" w:fill="FFFFFF"/>
            <w:vAlign w:val="center"/>
          </w:tcPr>
          <w:p w14:paraId="4DBD7503">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r>
              <w:rPr>
                <w:rFonts w:ascii="仿宋_GB2312" w:hAnsi="宋体" w:cs="宋体"/>
                <w:kern w:val="0"/>
                <w:sz w:val="24"/>
                <w:szCs w:val="24"/>
              </w:rPr>
              <w:t>3</w:t>
            </w:r>
          </w:p>
        </w:tc>
        <w:tc>
          <w:tcPr>
            <w:tcW w:w="897" w:type="dxa"/>
            <w:tcBorders>
              <w:tl2br w:val="nil"/>
              <w:tr2bl w:val="nil"/>
            </w:tcBorders>
            <w:shd w:val="clear" w:color="000000" w:fill="FFFFFF"/>
            <w:vAlign w:val="center"/>
          </w:tcPr>
          <w:p w14:paraId="72FD25E9">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eastAsia="仿宋_GB2312" w:cs="宋体"/>
                <w:kern w:val="0"/>
                <w:sz w:val="24"/>
                <w:szCs w:val="24"/>
                <w:lang w:val="en-US" w:eastAsia="zh-CN" w:bidi="ar-SA"/>
              </w:rPr>
            </w:pPr>
            <w:r>
              <w:rPr>
                <w:rFonts w:ascii="仿宋_GB2312" w:hAnsi="宋体" w:cs="宋体"/>
                <w:kern w:val="0"/>
                <w:sz w:val="24"/>
                <w:szCs w:val="24"/>
              </w:rPr>
              <w:t>3</w:t>
            </w:r>
          </w:p>
        </w:tc>
        <w:tc>
          <w:tcPr>
            <w:tcW w:w="1038" w:type="dxa"/>
            <w:tcBorders>
              <w:tl2br w:val="nil"/>
              <w:tr2bl w:val="nil"/>
            </w:tcBorders>
            <w:shd w:val="clear" w:color="000000" w:fill="FFFFFF"/>
            <w:vAlign w:val="center"/>
          </w:tcPr>
          <w:p w14:paraId="18547631">
            <w:pPr>
              <w:pageBreakBefore w:val="0"/>
              <w:kinsoku/>
              <w:wordWrap/>
              <w:overflowPunct/>
              <w:topLinePunct w:val="0"/>
              <w:autoSpaceDN/>
              <w:bidi w:val="0"/>
              <w:adjustRightInd/>
              <w:snapToGrid/>
              <w:spacing w:line="560" w:lineRule="exact"/>
              <w:ind w:left="0" w:leftChars="0" w:firstLine="0" w:firstLineChars="0"/>
              <w:jc w:val="center"/>
              <w:textAlignment w:val="auto"/>
              <w:rPr>
                <w:rFonts w:hint="default" w:eastAsia="仿宋_GB2312"/>
                <w:lang w:val="en-US" w:eastAsia="zh-CN"/>
              </w:rPr>
            </w:pPr>
            <w:r>
              <w:rPr>
                <w:rFonts w:hint="eastAsia" w:ascii="仿宋_GB2312" w:hAnsi="宋体" w:cs="宋体"/>
                <w:kern w:val="0"/>
                <w:sz w:val="24"/>
                <w:szCs w:val="24"/>
                <w:lang w:val="en-US" w:eastAsia="zh-CN"/>
              </w:rPr>
              <w:t>100%</w:t>
            </w:r>
          </w:p>
        </w:tc>
      </w:tr>
      <w:tr w14:paraId="01983A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1" w:hRule="atLeast"/>
          <w:jc w:val="center"/>
        </w:trPr>
        <w:tc>
          <w:tcPr>
            <w:tcW w:w="1704" w:type="dxa"/>
            <w:vMerge w:val="continue"/>
            <w:tcBorders>
              <w:tl2br w:val="nil"/>
              <w:tr2bl w:val="nil"/>
            </w:tcBorders>
            <w:shd w:val="clear" w:color="auto" w:fill="FFFFFF"/>
            <w:vAlign w:val="center"/>
          </w:tcPr>
          <w:p w14:paraId="76EE9D2D">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p>
        </w:tc>
        <w:tc>
          <w:tcPr>
            <w:tcW w:w="1422" w:type="dxa"/>
            <w:vMerge w:val="continue"/>
            <w:tcBorders>
              <w:tl2br w:val="nil"/>
              <w:tr2bl w:val="nil"/>
            </w:tcBorders>
            <w:shd w:val="clear" w:color="auto" w:fill="FFFFFF"/>
            <w:vAlign w:val="center"/>
          </w:tcPr>
          <w:p w14:paraId="3B2ABE61">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p>
        </w:tc>
        <w:tc>
          <w:tcPr>
            <w:tcW w:w="3100" w:type="dxa"/>
            <w:tcBorders>
              <w:tl2br w:val="nil"/>
              <w:tr2bl w:val="nil"/>
            </w:tcBorders>
            <w:shd w:val="clear" w:color="auto" w:fill="FFFFFF"/>
            <w:vAlign w:val="center"/>
          </w:tcPr>
          <w:p w14:paraId="0AFAEBA2">
            <w:pPr>
              <w:pageBreakBefore w:val="0"/>
              <w:widowControl/>
              <w:kinsoku/>
              <w:wordWrap/>
              <w:overflowPunct/>
              <w:topLinePunct w:val="0"/>
              <w:autoSpaceDN/>
              <w:bidi w:val="0"/>
              <w:adjustRightInd/>
              <w:snapToGrid/>
              <w:spacing w:line="560" w:lineRule="exact"/>
              <w:ind w:firstLine="0" w:firstLineChars="0"/>
              <w:jc w:val="center"/>
              <w:textAlignment w:val="auto"/>
              <w:rPr>
                <w:rFonts w:hint="eastAsia" w:ascii="仿宋_GB2312" w:hAnsi="宋体" w:cs="宋体"/>
                <w:kern w:val="0"/>
                <w:sz w:val="24"/>
                <w:szCs w:val="24"/>
              </w:rPr>
            </w:pPr>
            <w:r>
              <w:rPr>
                <w:rFonts w:hint="eastAsia" w:ascii="仿宋_GB2312" w:hAnsi="宋体" w:cs="宋体"/>
                <w:kern w:val="0"/>
                <w:sz w:val="24"/>
                <w:szCs w:val="24"/>
                <w:lang w:val="en-US" w:eastAsia="zh-CN"/>
              </w:rPr>
              <w:t>置办家具数量</w:t>
            </w:r>
          </w:p>
        </w:tc>
        <w:tc>
          <w:tcPr>
            <w:tcW w:w="897" w:type="dxa"/>
            <w:tcBorders>
              <w:tl2br w:val="nil"/>
              <w:tr2bl w:val="nil"/>
            </w:tcBorders>
            <w:shd w:val="clear" w:color="000000" w:fill="FFFFFF"/>
            <w:vAlign w:val="center"/>
          </w:tcPr>
          <w:p w14:paraId="4A04906C">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rPr>
              <w:t>3</w:t>
            </w:r>
          </w:p>
        </w:tc>
        <w:tc>
          <w:tcPr>
            <w:tcW w:w="897" w:type="dxa"/>
            <w:tcBorders>
              <w:tl2br w:val="nil"/>
              <w:tr2bl w:val="nil"/>
            </w:tcBorders>
            <w:shd w:val="clear" w:color="000000" w:fill="FFFFFF"/>
            <w:vAlign w:val="center"/>
          </w:tcPr>
          <w:p w14:paraId="2E56201F">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3</w:t>
            </w:r>
          </w:p>
        </w:tc>
        <w:tc>
          <w:tcPr>
            <w:tcW w:w="1038" w:type="dxa"/>
            <w:tcBorders>
              <w:tl2br w:val="nil"/>
              <w:tr2bl w:val="nil"/>
            </w:tcBorders>
            <w:shd w:val="clear" w:color="000000" w:fill="FFFFFF"/>
            <w:vAlign w:val="center"/>
          </w:tcPr>
          <w:p w14:paraId="44BC8425">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668E68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1" w:hRule="atLeast"/>
          <w:jc w:val="center"/>
        </w:trPr>
        <w:tc>
          <w:tcPr>
            <w:tcW w:w="1704" w:type="dxa"/>
            <w:vMerge w:val="continue"/>
            <w:tcBorders>
              <w:tl2br w:val="nil"/>
              <w:tr2bl w:val="nil"/>
            </w:tcBorders>
            <w:shd w:val="clear" w:color="auto" w:fill="FFFFFF"/>
            <w:vAlign w:val="center"/>
          </w:tcPr>
          <w:p w14:paraId="09A47F3D">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p>
        </w:tc>
        <w:tc>
          <w:tcPr>
            <w:tcW w:w="1422" w:type="dxa"/>
            <w:vMerge w:val="continue"/>
            <w:tcBorders>
              <w:tl2br w:val="nil"/>
              <w:tr2bl w:val="nil"/>
            </w:tcBorders>
            <w:shd w:val="clear" w:color="auto" w:fill="FFFFFF"/>
            <w:vAlign w:val="center"/>
          </w:tcPr>
          <w:p w14:paraId="51BDCABB">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p>
        </w:tc>
        <w:tc>
          <w:tcPr>
            <w:tcW w:w="3100" w:type="dxa"/>
            <w:tcBorders>
              <w:tl2br w:val="nil"/>
              <w:tr2bl w:val="nil"/>
            </w:tcBorders>
            <w:shd w:val="clear" w:color="auto" w:fill="FFFFFF"/>
            <w:vAlign w:val="center"/>
          </w:tcPr>
          <w:p w14:paraId="099F7BBB">
            <w:pPr>
              <w:pageBreakBefore w:val="0"/>
              <w:widowControl/>
              <w:kinsoku/>
              <w:wordWrap/>
              <w:overflowPunct/>
              <w:topLinePunct w:val="0"/>
              <w:autoSpaceDN/>
              <w:bidi w:val="0"/>
              <w:adjustRightInd/>
              <w:snapToGrid/>
              <w:spacing w:line="560" w:lineRule="exact"/>
              <w:ind w:firstLine="0" w:firstLineChars="0"/>
              <w:jc w:val="center"/>
              <w:textAlignment w:val="auto"/>
              <w:rPr>
                <w:rFonts w:hint="eastAsia" w:ascii="仿宋_GB2312" w:hAnsi="宋体" w:cs="宋体"/>
                <w:kern w:val="0"/>
                <w:sz w:val="24"/>
                <w:szCs w:val="24"/>
              </w:rPr>
            </w:pPr>
            <w:r>
              <w:rPr>
                <w:rFonts w:hint="eastAsia" w:ascii="仿宋_GB2312" w:hAnsi="宋体" w:cs="宋体"/>
                <w:kern w:val="0"/>
                <w:sz w:val="24"/>
                <w:szCs w:val="24"/>
                <w:lang w:val="en-US" w:eastAsia="zh-CN"/>
              </w:rPr>
              <w:t>服务侨众数量</w:t>
            </w:r>
          </w:p>
        </w:tc>
        <w:tc>
          <w:tcPr>
            <w:tcW w:w="897" w:type="dxa"/>
            <w:tcBorders>
              <w:tl2br w:val="nil"/>
              <w:tr2bl w:val="nil"/>
            </w:tcBorders>
            <w:shd w:val="clear" w:color="000000" w:fill="FFFFFF"/>
            <w:vAlign w:val="center"/>
          </w:tcPr>
          <w:p w14:paraId="2E5EE057">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rPr>
              <w:t>4</w:t>
            </w:r>
          </w:p>
        </w:tc>
        <w:tc>
          <w:tcPr>
            <w:tcW w:w="897" w:type="dxa"/>
            <w:tcBorders>
              <w:tl2br w:val="nil"/>
              <w:tr2bl w:val="nil"/>
            </w:tcBorders>
            <w:shd w:val="clear" w:color="000000" w:fill="FFFFFF"/>
            <w:vAlign w:val="center"/>
          </w:tcPr>
          <w:p w14:paraId="785AF567">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4</w:t>
            </w:r>
          </w:p>
        </w:tc>
        <w:tc>
          <w:tcPr>
            <w:tcW w:w="1038" w:type="dxa"/>
            <w:tcBorders>
              <w:tl2br w:val="nil"/>
              <w:tr2bl w:val="nil"/>
            </w:tcBorders>
            <w:shd w:val="clear" w:color="000000" w:fill="FFFFFF"/>
            <w:vAlign w:val="center"/>
          </w:tcPr>
          <w:p w14:paraId="39F003AE">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33E342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1" w:hRule="atLeast"/>
          <w:jc w:val="center"/>
        </w:trPr>
        <w:tc>
          <w:tcPr>
            <w:tcW w:w="1704" w:type="dxa"/>
            <w:vMerge w:val="continue"/>
            <w:tcBorders>
              <w:tl2br w:val="nil"/>
              <w:tr2bl w:val="nil"/>
            </w:tcBorders>
            <w:shd w:val="clear" w:color="auto" w:fill="FFFFFF"/>
            <w:vAlign w:val="center"/>
          </w:tcPr>
          <w:p w14:paraId="012A6C47">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p>
        </w:tc>
        <w:tc>
          <w:tcPr>
            <w:tcW w:w="1422" w:type="dxa"/>
            <w:tcBorders>
              <w:tl2br w:val="nil"/>
              <w:tr2bl w:val="nil"/>
            </w:tcBorders>
            <w:shd w:val="clear" w:color="auto" w:fill="FFFFFF"/>
            <w:vAlign w:val="center"/>
          </w:tcPr>
          <w:p w14:paraId="32C94723">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rPr>
              <w:t>产出质量</w:t>
            </w:r>
          </w:p>
        </w:tc>
        <w:tc>
          <w:tcPr>
            <w:tcW w:w="3100" w:type="dxa"/>
            <w:tcBorders>
              <w:tl2br w:val="nil"/>
              <w:tr2bl w:val="nil"/>
            </w:tcBorders>
            <w:shd w:val="clear" w:color="auto" w:fill="FFFFFF"/>
            <w:vAlign w:val="center"/>
          </w:tcPr>
          <w:p w14:paraId="24359144">
            <w:pPr>
              <w:pageBreakBefore w:val="0"/>
              <w:widowControl/>
              <w:kinsoku/>
              <w:wordWrap/>
              <w:overflowPunct/>
              <w:topLinePunct w:val="0"/>
              <w:autoSpaceDN/>
              <w:bidi w:val="0"/>
              <w:adjustRightInd/>
              <w:snapToGrid/>
              <w:spacing w:line="560" w:lineRule="exact"/>
              <w:ind w:firstLine="0" w:firstLineChars="0"/>
              <w:jc w:val="center"/>
              <w:textAlignment w:val="auto"/>
              <w:rPr>
                <w:rFonts w:hint="eastAsia" w:ascii="仿宋_GB2312" w:hAnsi="宋体" w:cs="宋体"/>
                <w:kern w:val="0"/>
                <w:sz w:val="24"/>
                <w:szCs w:val="24"/>
              </w:rPr>
            </w:pPr>
            <w:r>
              <w:rPr>
                <w:rFonts w:hint="eastAsia" w:ascii="仿宋_GB2312" w:hAnsi="宋体" w:cs="宋体"/>
                <w:kern w:val="0"/>
                <w:sz w:val="24"/>
                <w:szCs w:val="24"/>
                <w:lang w:val="en-US" w:eastAsia="zh-CN"/>
              </w:rPr>
              <w:t>室内设施投入使用率</w:t>
            </w:r>
          </w:p>
        </w:tc>
        <w:tc>
          <w:tcPr>
            <w:tcW w:w="897" w:type="dxa"/>
            <w:tcBorders>
              <w:tl2br w:val="nil"/>
              <w:tr2bl w:val="nil"/>
            </w:tcBorders>
            <w:shd w:val="clear" w:color="000000" w:fill="FFFFFF"/>
            <w:vAlign w:val="center"/>
          </w:tcPr>
          <w:p w14:paraId="3FC6FA89">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rPr>
              <w:t>1</w:t>
            </w:r>
            <w:r>
              <w:rPr>
                <w:rFonts w:ascii="仿宋_GB2312" w:hAnsi="宋体" w:cs="宋体"/>
                <w:kern w:val="0"/>
                <w:sz w:val="24"/>
                <w:szCs w:val="24"/>
              </w:rPr>
              <w:t>0</w:t>
            </w:r>
          </w:p>
        </w:tc>
        <w:tc>
          <w:tcPr>
            <w:tcW w:w="897" w:type="dxa"/>
            <w:tcBorders>
              <w:tl2br w:val="nil"/>
              <w:tr2bl w:val="nil"/>
            </w:tcBorders>
            <w:shd w:val="clear" w:color="000000" w:fill="FFFFFF"/>
            <w:vAlign w:val="center"/>
          </w:tcPr>
          <w:p w14:paraId="7A76DF8B">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1</w:t>
            </w:r>
            <w:r>
              <w:rPr>
                <w:rFonts w:ascii="仿宋_GB2312" w:hAnsi="宋体" w:cs="宋体"/>
                <w:kern w:val="0"/>
                <w:sz w:val="24"/>
                <w:szCs w:val="24"/>
              </w:rPr>
              <w:t>0</w:t>
            </w:r>
          </w:p>
        </w:tc>
        <w:tc>
          <w:tcPr>
            <w:tcW w:w="1038" w:type="dxa"/>
            <w:tcBorders>
              <w:tl2br w:val="nil"/>
              <w:tr2bl w:val="nil"/>
            </w:tcBorders>
            <w:shd w:val="clear" w:color="000000" w:fill="FFFFFF"/>
            <w:vAlign w:val="center"/>
          </w:tcPr>
          <w:p w14:paraId="672E17F2">
            <w:pPr>
              <w:pageBreakBefore w:val="0"/>
              <w:widowControl/>
              <w:kinsoku/>
              <w:wordWrap/>
              <w:overflowPunct/>
              <w:topLinePunct w:val="0"/>
              <w:autoSpaceDN/>
              <w:bidi w:val="0"/>
              <w:adjustRightInd/>
              <w:snapToGrid/>
              <w:spacing w:line="560" w:lineRule="exact"/>
              <w:ind w:left="0" w:leftChars="0"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43BFF7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1" w:hRule="atLeast"/>
          <w:jc w:val="center"/>
        </w:trPr>
        <w:tc>
          <w:tcPr>
            <w:tcW w:w="1704" w:type="dxa"/>
            <w:vMerge w:val="continue"/>
            <w:tcBorders>
              <w:tl2br w:val="nil"/>
              <w:tr2bl w:val="nil"/>
            </w:tcBorders>
            <w:shd w:val="clear" w:color="auto" w:fill="FFFFFF"/>
            <w:vAlign w:val="center"/>
          </w:tcPr>
          <w:p w14:paraId="17B9A62E">
            <w:pPr>
              <w:pageBreakBefore w:val="0"/>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p>
        </w:tc>
        <w:tc>
          <w:tcPr>
            <w:tcW w:w="1422" w:type="dxa"/>
            <w:tcBorders>
              <w:tl2br w:val="nil"/>
              <w:tr2bl w:val="nil"/>
            </w:tcBorders>
            <w:shd w:val="clear" w:color="auto" w:fill="FFFFFF"/>
            <w:vAlign w:val="center"/>
          </w:tcPr>
          <w:p w14:paraId="7801B67D">
            <w:pPr>
              <w:pageBreakBefore w:val="0"/>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highlight w:val="none"/>
              </w:rPr>
            </w:pPr>
            <w:r>
              <w:rPr>
                <w:rFonts w:hint="eastAsia" w:ascii="仿宋_GB2312" w:hAnsi="宋体" w:cs="宋体"/>
                <w:kern w:val="0"/>
                <w:sz w:val="24"/>
                <w:szCs w:val="24"/>
                <w:highlight w:val="none"/>
              </w:rPr>
              <w:t>产出时效</w:t>
            </w:r>
          </w:p>
        </w:tc>
        <w:tc>
          <w:tcPr>
            <w:tcW w:w="3100" w:type="dxa"/>
            <w:tcBorders>
              <w:tl2br w:val="nil"/>
              <w:tr2bl w:val="nil"/>
            </w:tcBorders>
            <w:shd w:val="clear" w:color="auto" w:fill="FFFFFF"/>
            <w:vAlign w:val="center"/>
          </w:tcPr>
          <w:p w14:paraId="5F3B22E0">
            <w:pPr>
              <w:pageBreakBefore w:val="0"/>
              <w:widowControl/>
              <w:kinsoku/>
              <w:wordWrap/>
              <w:overflowPunct/>
              <w:topLinePunct w:val="0"/>
              <w:autoSpaceDN/>
              <w:bidi w:val="0"/>
              <w:adjustRightInd/>
              <w:snapToGrid/>
              <w:spacing w:line="560" w:lineRule="exact"/>
              <w:ind w:firstLine="0" w:firstLineChars="0"/>
              <w:jc w:val="center"/>
              <w:textAlignment w:val="auto"/>
              <w:rPr>
                <w:rFonts w:hint="eastAsia" w:ascii="仿宋_GB2312" w:hAnsi="宋体" w:cs="宋体"/>
                <w:kern w:val="0"/>
                <w:sz w:val="24"/>
                <w:szCs w:val="24"/>
              </w:rPr>
            </w:pPr>
            <w:r>
              <w:rPr>
                <w:rFonts w:hint="eastAsia" w:ascii="仿宋_GB2312" w:hAnsi="宋体" w:cs="宋体"/>
                <w:kern w:val="0"/>
                <w:sz w:val="24"/>
                <w:szCs w:val="24"/>
                <w:lang w:val="en-US" w:eastAsia="zh-CN"/>
              </w:rPr>
              <w:t>设备采购完成</w:t>
            </w:r>
            <w:r>
              <w:rPr>
                <w:rFonts w:hint="eastAsia" w:ascii="仿宋_GB2312" w:hAnsi="宋体" w:cs="宋体"/>
                <w:kern w:val="0"/>
                <w:sz w:val="24"/>
                <w:szCs w:val="24"/>
              </w:rPr>
              <w:t>及时率</w:t>
            </w:r>
          </w:p>
        </w:tc>
        <w:tc>
          <w:tcPr>
            <w:tcW w:w="897" w:type="dxa"/>
            <w:tcBorders>
              <w:tl2br w:val="nil"/>
              <w:tr2bl w:val="nil"/>
            </w:tcBorders>
            <w:shd w:val="clear" w:color="000000" w:fill="FFFFFF"/>
            <w:vAlign w:val="center"/>
          </w:tcPr>
          <w:p w14:paraId="610FC4ED">
            <w:pPr>
              <w:pageBreakBefore w:val="0"/>
              <w:widowControl/>
              <w:kinsoku/>
              <w:wordWrap/>
              <w:overflowPunct/>
              <w:topLinePunct w:val="0"/>
              <w:autoSpaceDN/>
              <w:bidi w:val="0"/>
              <w:adjustRightInd/>
              <w:snapToGrid/>
              <w:spacing w:line="560" w:lineRule="exact"/>
              <w:ind w:firstLine="0" w:firstLineChars="0"/>
              <w:jc w:val="center"/>
              <w:textAlignment w:val="auto"/>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w:t>
            </w:r>
          </w:p>
        </w:tc>
        <w:tc>
          <w:tcPr>
            <w:tcW w:w="897" w:type="dxa"/>
            <w:tcBorders>
              <w:tl2br w:val="nil"/>
              <w:tr2bl w:val="nil"/>
            </w:tcBorders>
            <w:shd w:val="clear" w:color="000000" w:fill="FFFFFF"/>
            <w:vAlign w:val="center"/>
          </w:tcPr>
          <w:p w14:paraId="69BA23F2">
            <w:pPr>
              <w:pageBreakBefore w:val="0"/>
              <w:widowControl/>
              <w:kinsoku/>
              <w:wordWrap/>
              <w:overflowPunct/>
              <w:topLinePunct w:val="0"/>
              <w:autoSpaceDN/>
              <w:bidi w:val="0"/>
              <w:adjustRightInd/>
              <w:snapToGrid/>
              <w:spacing w:line="560" w:lineRule="exact"/>
              <w:ind w:firstLine="0" w:firstLineChars="0"/>
              <w:jc w:val="center"/>
              <w:textAlignment w:val="auto"/>
              <w:rPr>
                <w:rFonts w:hint="default" w:ascii="仿宋_GB2312" w:hAnsi="宋体" w:eastAsia="仿宋_GB2312" w:cs="宋体"/>
                <w:kern w:val="0"/>
                <w:sz w:val="24"/>
                <w:szCs w:val="24"/>
                <w:lang w:val="en-US" w:eastAsia="zh-CN" w:bidi="ar-SA"/>
              </w:rPr>
            </w:pPr>
            <w:r>
              <w:rPr>
                <w:rFonts w:hint="eastAsia" w:ascii="仿宋_GB2312" w:hAnsi="宋体" w:cs="宋体"/>
                <w:kern w:val="0"/>
                <w:sz w:val="24"/>
                <w:szCs w:val="24"/>
                <w:lang w:val="en-US" w:eastAsia="zh-CN"/>
              </w:rPr>
              <w:t>10</w:t>
            </w:r>
          </w:p>
        </w:tc>
        <w:tc>
          <w:tcPr>
            <w:tcW w:w="1038" w:type="dxa"/>
            <w:tcBorders>
              <w:tl2br w:val="nil"/>
              <w:tr2bl w:val="nil"/>
            </w:tcBorders>
            <w:shd w:val="clear" w:color="000000" w:fill="FFFFFF"/>
            <w:vAlign w:val="center"/>
          </w:tcPr>
          <w:p w14:paraId="35062496">
            <w:pPr>
              <w:pageBreakBefore w:val="0"/>
              <w:widowControl/>
              <w:kinsoku/>
              <w:wordWrap/>
              <w:overflowPunct/>
              <w:topLinePunct w:val="0"/>
              <w:autoSpaceDN/>
              <w:bidi w:val="0"/>
              <w:adjustRightInd/>
              <w:snapToGrid/>
              <w:spacing w:line="560" w:lineRule="exact"/>
              <w:ind w:left="0" w:leftChars="0" w:firstLine="0" w:firstLineChars="0"/>
              <w:jc w:val="center"/>
              <w:textAlignment w:val="auto"/>
            </w:pPr>
            <w:r>
              <w:rPr>
                <w:rFonts w:hint="eastAsia" w:ascii="仿宋_GB2312" w:hAnsi="宋体" w:cs="宋体"/>
                <w:kern w:val="0"/>
                <w:sz w:val="24"/>
                <w:szCs w:val="24"/>
                <w:lang w:val="en-US" w:eastAsia="zh-CN"/>
              </w:rPr>
              <w:t>100%</w:t>
            </w:r>
          </w:p>
        </w:tc>
      </w:tr>
      <w:tr w14:paraId="084E2F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1" w:hRule="atLeast"/>
          <w:jc w:val="center"/>
        </w:trPr>
        <w:tc>
          <w:tcPr>
            <w:tcW w:w="1704" w:type="dxa"/>
            <w:vMerge w:val="continue"/>
            <w:tcBorders>
              <w:tl2br w:val="nil"/>
              <w:tr2bl w:val="nil"/>
            </w:tcBorders>
            <w:shd w:val="clear" w:color="auto" w:fill="FFFFFF"/>
            <w:vAlign w:val="center"/>
          </w:tcPr>
          <w:p w14:paraId="57180386">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p>
        </w:tc>
        <w:tc>
          <w:tcPr>
            <w:tcW w:w="1422" w:type="dxa"/>
            <w:vMerge w:val="restart"/>
            <w:tcBorders>
              <w:tl2br w:val="nil"/>
              <w:tr2bl w:val="nil"/>
            </w:tcBorders>
            <w:shd w:val="clear" w:color="auto" w:fill="FFFFFF"/>
            <w:vAlign w:val="center"/>
          </w:tcPr>
          <w:p w14:paraId="6457B978">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rPr>
              <w:t>产出成本</w:t>
            </w:r>
          </w:p>
        </w:tc>
        <w:tc>
          <w:tcPr>
            <w:tcW w:w="3100" w:type="dxa"/>
            <w:tcBorders>
              <w:tl2br w:val="nil"/>
              <w:tr2bl w:val="nil"/>
            </w:tcBorders>
            <w:shd w:val="clear" w:color="auto" w:fill="FFFFFF"/>
            <w:vAlign w:val="center"/>
          </w:tcPr>
          <w:p w14:paraId="2385EE41">
            <w:pPr>
              <w:pageBreakBefore w:val="0"/>
              <w:widowControl/>
              <w:kinsoku/>
              <w:wordWrap/>
              <w:overflowPunct/>
              <w:topLinePunct w:val="0"/>
              <w:autoSpaceDN/>
              <w:bidi w:val="0"/>
              <w:adjustRightInd/>
              <w:snapToGrid/>
              <w:spacing w:line="560" w:lineRule="exact"/>
              <w:ind w:firstLine="0" w:firstLineChars="0"/>
              <w:jc w:val="center"/>
              <w:textAlignment w:val="auto"/>
              <w:rPr>
                <w:rFonts w:hint="default" w:ascii="仿宋_GB2312" w:hAnsi="宋体" w:cs="宋体"/>
                <w:kern w:val="0"/>
                <w:sz w:val="24"/>
                <w:szCs w:val="24"/>
                <w:lang w:val="en-US" w:eastAsia="zh-CN"/>
              </w:rPr>
            </w:pPr>
            <w:r>
              <w:rPr>
                <w:rFonts w:hint="eastAsia" w:ascii="仿宋_GB2312" w:hAnsi="宋体" w:cs="宋体"/>
                <w:kern w:val="0"/>
                <w:sz w:val="24"/>
                <w:szCs w:val="24"/>
                <w:lang w:val="en-US" w:eastAsia="zh-CN"/>
              </w:rPr>
              <w:t>购买书架展示柜设计服务</w:t>
            </w:r>
          </w:p>
        </w:tc>
        <w:tc>
          <w:tcPr>
            <w:tcW w:w="897" w:type="dxa"/>
            <w:tcBorders>
              <w:tl2br w:val="nil"/>
              <w:tr2bl w:val="nil"/>
            </w:tcBorders>
            <w:shd w:val="clear" w:color="000000" w:fill="FFFFFF"/>
            <w:vAlign w:val="center"/>
          </w:tcPr>
          <w:p w14:paraId="7185CFE4">
            <w:pPr>
              <w:pageBreakBefore w:val="0"/>
              <w:widowControl/>
              <w:kinsoku/>
              <w:wordWrap/>
              <w:overflowPunct/>
              <w:topLinePunct w:val="0"/>
              <w:autoSpaceDN/>
              <w:bidi w:val="0"/>
              <w:adjustRightInd/>
              <w:snapToGrid/>
              <w:spacing w:line="560" w:lineRule="exact"/>
              <w:ind w:firstLine="0" w:firstLineChars="0"/>
              <w:jc w:val="center"/>
              <w:textAlignment w:val="auto"/>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2</w:t>
            </w:r>
          </w:p>
        </w:tc>
        <w:tc>
          <w:tcPr>
            <w:tcW w:w="897" w:type="dxa"/>
            <w:tcBorders>
              <w:tl2br w:val="nil"/>
              <w:tr2bl w:val="nil"/>
            </w:tcBorders>
            <w:shd w:val="clear" w:color="000000" w:fill="FFFFFF"/>
            <w:vAlign w:val="center"/>
          </w:tcPr>
          <w:p w14:paraId="3C310DDC">
            <w:pPr>
              <w:pageBreakBefore w:val="0"/>
              <w:widowControl/>
              <w:kinsoku/>
              <w:wordWrap/>
              <w:overflowPunct/>
              <w:topLinePunct w:val="0"/>
              <w:autoSpaceDN/>
              <w:bidi w:val="0"/>
              <w:adjustRightInd/>
              <w:snapToGrid/>
              <w:spacing w:line="560" w:lineRule="exact"/>
              <w:ind w:left="0" w:leftChars="0" w:firstLine="0" w:firstLineChars="0"/>
              <w:jc w:val="center"/>
              <w:textAlignment w:val="auto"/>
              <w:rPr>
                <w:rFonts w:hint="default" w:ascii="仿宋_GB2312" w:hAnsi="宋体" w:eastAsia="仿宋_GB2312" w:cs="宋体"/>
                <w:kern w:val="0"/>
                <w:sz w:val="24"/>
                <w:szCs w:val="24"/>
                <w:lang w:val="en-US" w:eastAsia="zh-CN" w:bidi="ar-SA"/>
              </w:rPr>
            </w:pPr>
            <w:r>
              <w:rPr>
                <w:rFonts w:hint="eastAsia" w:ascii="仿宋_GB2312" w:hAnsi="宋体" w:cs="宋体"/>
                <w:kern w:val="0"/>
                <w:sz w:val="24"/>
                <w:szCs w:val="24"/>
                <w:lang w:val="en-US" w:eastAsia="zh-CN" w:bidi="ar-SA"/>
              </w:rPr>
              <w:t>2</w:t>
            </w:r>
          </w:p>
        </w:tc>
        <w:tc>
          <w:tcPr>
            <w:tcW w:w="1038" w:type="dxa"/>
            <w:tcBorders>
              <w:tl2br w:val="nil"/>
              <w:tr2bl w:val="nil"/>
            </w:tcBorders>
            <w:shd w:val="clear" w:color="000000" w:fill="FFFFFF"/>
            <w:vAlign w:val="center"/>
          </w:tcPr>
          <w:p w14:paraId="3996B1B5">
            <w:pPr>
              <w:pageBreakBefore w:val="0"/>
              <w:widowControl/>
              <w:kinsoku/>
              <w:wordWrap/>
              <w:overflowPunct/>
              <w:topLinePunct w:val="0"/>
              <w:autoSpaceDN/>
              <w:bidi w:val="0"/>
              <w:adjustRightInd/>
              <w:snapToGrid/>
              <w:spacing w:line="560" w:lineRule="exact"/>
              <w:ind w:left="0" w:leftChars="0"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662045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1" w:hRule="atLeast"/>
          <w:jc w:val="center"/>
        </w:trPr>
        <w:tc>
          <w:tcPr>
            <w:tcW w:w="1704" w:type="dxa"/>
            <w:vMerge w:val="continue"/>
            <w:tcBorders>
              <w:tl2br w:val="nil"/>
              <w:tr2bl w:val="nil"/>
            </w:tcBorders>
            <w:shd w:val="clear" w:color="auto" w:fill="FFFFFF"/>
            <w:vAlign w:val="center"/>
          </w:tcPr>
          <w:p w14:paraId="0EC260C4">
            <w:pPr>
              <w:pageBreakBefore w:val="0"/>
              <w:widowControl/>
              <w:kinsoku/>
              <w:wordWrap/>
              <w:overflowPunct/>
              <w:topLinePunct w:val="0"/>
              <w:autoSpaceDN/>
              <w:bidi w:val="0"/>
              <w:adjustRightInd/>
              <w:snapToGrid/>
              <w:spacing w:line="560" w:lineRule="exact"/>
              <w:ind w:firstLine="0" w:firstLineChars="0"/>
              <w:jc w:val="center"/>
              <w:textAlignment w:val="auto"/>
            </w:pPr>
          </w:p>
        </w:tc>
        <w:tc>
          <w:tcPr>
            <w:tcW w:w="1422" w:type="dxa"/>
            <w:vMerge w:val="continue"/>
            <w:tcBorders>
              <w:tl2br w:val="nil"/>
              <w:tr2bl w:val="nil"/>
            </w:tcBorders>
            <w:shd w:val="clear" w:color="auto" w:fill="FFFFFF"/>
            <w:vAlign w:val="center"/>
          </w:tcPr>
          <w:p w14:paraId="40724D04">
            <w:pPr>
              <w:pageBreakBefore w:val="0"/>
              <w:widowControl/>
              <w:kinsoku/>
              <w:wordWrap/>
              <w:overflowPunct/>
              <w:topLinePunct w:val="0"/>
              <w:autoSpaceDN/>
              <w:bidi w:val="0"/>
              <w:adjustRightInd/>
              <w:snapToGrid/>
              <w:spacing w:line="560" w:lineRule="exact"/>
              <w:ind w:firstLine="0" w:firstLineChars="0"/>
              <w:jc w:val="center"/>
              <w:textAlignment w:val="auto"/>
            </w:pPr>
          </w:p>
        </w:tc>
        <w:tc>
          <w:tcPr>
            <w:tcW w:w="3100" w:type="dxa"/>
            <w:tcBorders>
              <w:tl2br w:val="nil"/>
              <w:tr2bl w:val="nil"/>
            </w:tcBorders>
            <w:shd w:val="clear" w:color="auto" w:fill="FFFFFF"/>
            <w:vAlign w:val="center"/>
          </w:tcPr>
          <w:p w14:paraId="18E20486">
            <w:pPr>
              <w:pageBreakBefore w:val="0"/>
              <w:widowControl/>
              <w:kinsoku/>
              <w:wordWrap/>
              <w:overflowPunct/>
              <w:topLinePunct w:val="0"/>
              <w:autoSpaceDN/>
              <w:bidi w:val="0"/>
              <w:adjustRightInd/>
              <w:snapToGrid/>
              <w:spacing w:line="560" w:lineRule="exact"/>
              <w:ind w:firstLine="0" w:firstLineChars="0"/>
              <w:jc w:val="center"/>
              <w:textAlignment w:val="auto"/>
              <w:rPr>
                <w:rFonts w:hint="eastAsia" w:ascii="仿宋_GB2312" w:hAnsi="宋体" w:cs="宋体"/>
                <w:kern w:val="0"/>
                <w:sz w:val="24"/>
                <w:szCs w:val="24"/>
                <w:lang w:val="en-US" w:eastAsia="zh-CN"/>
              </w:rPr>
            </w:pPr>
            <w:r>
              <w:rPr>
                <w:rFonts w:hint="eastAsia" w:ascii="仿宋_GB2312" w:hAnsi="宋体" w:cs="宋体"/>
                <w:kern w:val="0"/>
                <w:sz w:val="24"/>
                <w:szCs w:val="24"/>
                <w:lang w:val="en-US" w:eastAsia="zh-CN"/>
              </w:rPr>
              <w:t>购买投影仪等配套设备</w:t>
            </w:r>
          </w:p>
        </w:tc>
        <w:tc>
          <w:tcPr>
            <w:tcW w:w="897" w:type="dxa"/>
            <w:tcBorders>
              <w:tl2br w:val="nil"/>
              <w:tr2bl w:val="nil"/>
            </w:tcBorders>
            <w:shd w:val="clear" w:color="000000" w:fill="FFFFFF"/>
            <w:vAlign w:val="center"/>
          </w:tcPr>
          <w:p w14:paraId="4A2E77C9">
            <w:pPr>
              <w:pageBreakBefore w:val="0"/>
              <w:widowControl/>
              <w:kinsoku/>
              <w:wordWrap/>
              <w:overflowPunct/>
              <w:topLinePunct w:val="0"/>
              <w:autoSpaceDN/>
              <w:bidi w:val="0"/>
              <w:adjustRightInd/>
              <w:snapToGrid/>
              <w:spacing w:line="560" w:lineRule="exact"/>
              <w:ind w:firstLine="0" w:firstLineChars="0"/>
              <w:jc w:val="center"/>
              <w:textAlignment w:val="auto"/>
              <w:rPr>
                <w:rFonts w:hint="eastAsia" w:ascii="宋体" w:hAnsi="宋体" w:eastAsia="宋体" w:cs="宋体"/>
                <w:color w:val="000000"/>
                <w:kern w:val="0"/>
                <w:sz w:val="22"/>
                <w:lang w:val="en-US" w:eastAsia="zh-CN"/>
              </w:rPr>
            </w:pPr>
            <w:r>
              <w:rPr>
                <w:rFonts w:hint="eastAsia" w:ascii="宋体" w:hAnsi="宋体" w:eastAsia="宋体" w:cs="宋体"/>
                <w:color w:val="000000"/>
                <w:kern w:val="0"/>
                <w:sz w:val="22"/>
                <w:lang w:val="en-US" w:eastAsia="zh-CN"/>
              </w:rPr>
              <w:t>4</w:t>
            </w:r>
          </w:p>
        </w:tc>
        <w:tc>
          <w:tcPr>
            <w:tcW w:w="897" w:type="dxa"/>
            <w:tcBorders>
              <w:tl2br w:val="nil"/>
              <w:tr2bl w:val="nil"/>
            </w:tcBorders>
            <w:shd w:val="clear" w:color="000000" w:fill="FFFFFF"/>
            <w:vAlign w:val="center"/>
          </w:tcPr>
          <w:p w14:paraId="64BA7A47">
            <w:pPr>
              <w:pageBreakBefore w:val="0"/>
              <w:widowControl/>
              <w:kinsoku/>
              <w:wordWrap/>
              <w:overflowPunct/>
              <w:topLinePunct w:val="0"/>
              <w:autoSpaceDN/>
              <w:bidi w:val="0"/>
              <w:adjustRightInd/>
              <w:snapToGrid/>
              <w:spacing w:line="560" w:lineRule="exact"/>
              <w:ind w:firstLine="0" w:firstLineChars="0"/>
              <w:jc w:val="center"/>
              <w:textAlignment w:val="auto"/>
              <w:rPr>
                <w:rFonts w:hint="eastAsia" w:ascii="宋体" w:hAnsi="宋体" w:eastAsia="宋体" w:cs="宋体"/>
                <w:color w:val="000000"/>
                <w:kern w:val="0"/>
                <w:sz w:val="22"/>
                <w:lang w:val="en-US" w:eastAsia="zh-CN"/>
              </w:rPr>
            </w:pPr>
            <w:r>
              <w:rPr>
                <w:rFonts w:hint="eastAsia" w:ascii="宋体" w:hAnsi="宋体" w:eastAsia="宋体" w:cs="宋体"/>
                <w:color w:val="000000"/>
                <w:kern w:val="0"/>
                <w:sz w:val="22"/>
                <w:lang w:val="en-US" w:eastAsia="zh-CN"/>
              </w:rPr>
              <w:t>4</w:t>
            </w:r>
          </w:p>
        </w:tc>
        <w:tc>
          <w:tcPr>
            <w:tcW w:w="1038" w:type="dxa"/>
            <w:tcBorders>
              <w:tl2br w:val="nil"/>
              <w:tr2bl w:val="nil"/>
            </w:tcBorders>
            <w:shd w:val="clear" w:color="000000" w:fill="FFFFFF"/>
            <w:vAlign w:val="center"/>
          </w:tcPr>
          <w:p w14:paraId="20EC5684">
            <w:pPr>
              <w:pageBreakBefore w:val="0"/>
              <w:widowControl/>
              <w:kinsoku/>
              <w:wordWrap/>
              <w:overflowPunct/>
              <w:topLinePunct w:val="0"/>
              <w:autoSpaceDN/>
              <w:bidi w:val="0"/>
              <w:adjustRightInd/>
              <w:snapToGrid/>
              <w:spacing w:line="560" w:lineRule="exact"/>
              <w:ind w:firstLine="0" w:firstLineChars="0"/>
              <w:jc w:val="center"/>
              <w:textAlignment w:val="auto"/>
              <w:rPr>
                <w:rFonts w:hint="eastAsia" w:ascii="宋体" w:hAnsi="宋体" w:eastAsia="宋体" w:cs="宋体"/>
                <w:color w:val="000000"/>
                <w:kern w:val="0"/>
                <w:sz w:val="22"/>
              </w:rPr>
            </w:pPr>
            <w:r>
              <w:rPr>
                <w:rFonts w:hint="eastAsia" w:ascii="仿宋_GB2312" w:hAnsi="宋体" w:cs="宋体"/>
                <w:kern w:val="0"/>
                <w:sz w:val="24"/>
                <w:szCs w:val="24"/>
                <w:lang w:val="en-US" w:eastAsia="zh-CN"/>
              </w:rPr>
              <w:t>100%</w:t>
            </w:r>
          </w:p>
        </w:tc>
      </w:tr>
      <w:tr w14:paraId="264FCF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1" w:hRule="atLeast"/>
          <w:jc w:val="center"/>
        </w:trPr>
        <w:tc>
          <w:tcPr>
            <w:tcW w:w="1704" w:type="dxa"/>
            <w:vMerge w:val="continue"/>
            <w:tcBorders>
              <w:tl2br w:val="nil"/>
              <w:tr2bl w:val="nil"/>
            </w:tcBorders>
            <w:shd w:val="clear" w:color="auto" w:fill="FFFFFF"/>
            <w:vAlign w:val="center"/>
          </w:tcPr>
          <w:p w14:paraId="47D28673">
            <w:pPr>
              <w:pageBreakBefore w:val="0"/>
              <w:widowControl/>
              <w:kinsoku/>
              <w:wordWrap/>
              <w:overflowPunct/>
              <w:topLinePunct w:val="0"/>
              <w:autoSpaceDN/>
              <w:bidi w:val="0"/>
              <w:adjustRightInd/>
              <w:snapToGrid/>
              <w:spacing w:line="560" w:lineRule="exact"/>
              <w:ind w:firstLine="0" w:firstLineChars="0"/>
              <w:jc w:val="center"/>
              <w:textAlignment w:val="auto"/>
              <w:rPr>
                <w:rFonts w:hint="eastAsia" w:ascii="宋体" w:hAnsi="宋体" w:eastAsia="宋体" w:cs="宋体"/>
                <w:color w:val="000000"/>
                <w:kern w:val="0"/>
                <w:sz w:val="22"/>
              </w:rPr>
            </w:pPr>
          </w:p>
        </w:tc>
        <w:tc>
          <w:tcPr>
            <w:tcW w:w="1422" w:type="dxa"/>
            <w:vMerge w:val="continue"/>
            <w:tcBorders>
              <w:tl2br w:val="nil"/>
              <w:tr2bl w:val="nil"/>
            </w:tcBorders>
            <w:shd w:val="clear" w:color="auto" w:fill="FFFFFF"/>
            <w:vAlign w:val="center"/>
          </w:tcPr>
          <w:p w14:paraId="619C9391">
            <w:pPr>
              <w:pageBreakBefore w:val="0"/>
              <w:widowControl/>
              <w:kinsoku/>
              <w:wordWrap/>
              <w:overflowPunct/>
              <w:topLinePunct w:val="0"/>
              <w:autoSpaceDN/>
              <w:bidi w:val="0"/>
              <w:adjustRightInd/>
              <w:snapToGrid/>
              <w:spacing w:line="560" w:lineRule="exact"/>
              <w:ind w:firstLine="0" w:firstLineChars="0"/>
              <w:jc w:val="center"/>
              <w:textAlignment w:val="auto"/>
              <w:rPr>
                <w:rFonts w:hint="eastAsia" w:ascii="宋体" w:hAnsi="宋体" w:eastAsia="宋体" w:cs="宋体"/>
                <w:color w:val="000000"/>
                <w:kern w:val="0"/>
                <w:sz w:val="22"/>
              </w:rPr>
            </w:pPr>
          </w:p>
        </w:tc>
        <w:tc>
          <w:tcPr>
            <w:tcW w:w="3100" w:type="dxa"/>
            <w:tcBorders>
              <w:tl2br w:val="nil"/>
              <w:tr2bl w:val="nil"/>
            </w:tcBorders>
            <w:shd w:val="clear" w:color="auto" w:fill="FFFFFF"/>
            <w:vAlign w:val="center"/>
          </w:tcPr>
          <w:p w14:paraId="2A9B30FC">
            <w:pPr>
              <w:pageBreakBefore w:val="0"/>
              <w:widowControl/>
              <w:kinsoku/>
              <w:wordWrap/>
              <w:overflowPunct/>
              <w:topLinePunct w:val="0"/>
              <w:autoSpaceDN/>
              <w:bidi w:val="0"/>
              <w:adjustRightInd/>
              <w:snapToGrid/>
              <w:spacing w:line="560" w:lineRule="exact"/>
              <w:ind w:firstLine="0" w:firstLineChars="0"/>
              <w:jc w:val="center"/>
              <w:textAlignment w:val="auto"/>
              <w:rPr>
                <w:rFonts w:hint="eastAsia" w:ascii="仿宋_GB2312" w:hAnsi="宋体" w:cs="宋体"/>
                <w:kern w:val="0"/>
                <w:sz w:val="24"/>
                <w:szCs w:val="24"/>
                <w:lang w:val="en-US" w:eastAsia="zh-CN"/>
              </w:rPr>
            </w:pPr>
            <w:r>
              <w:rPr>
                <w:rFonts w:hint="eastAsia" w:ascii="仿宋_GB2312" w:hAnsi="宋体" w:cs="宋体"/>
                <w:kern w:val="0"/>
                <w:sz w:val="24"/>
                <w:szCs w:val="24"/>
                <w:lang w:val="en-US" w:eastAsia="zh-CN"/>
              </w:rPr>
              <w:t>购买办公家具</w:t>
            </w:r>
          </w:p>
        </w:tc>
        <w:tc>
          <w:tcPr>
            <w:tcW w:w="897" w:type="dxa"/>
            <w:tcBorders>
              <w:tl2br w:val="nil"/>
              <w:tr2bl w:val="nil"/>
            </w:tcBorders>
            <w:shd w:val="clear" w:color="000000" w:fill="FFFFFF"/>
            <w:vAlign w:val="center"/>
          </w:tcPr>
          <w:p w14:paraId="476F3D8F">
            <w:pPr>
              <w:pageBreakBefore w:val="0"/>
              <w:widowControl/>
              <w:kinsoku/>
              <w:wordWrap/>
              <w:overflowPunct/>
              <w:topLinePunct w:val="0"/>
              <w:autoSpaceDN/>
              <w:bidi w:val="0"/>
              <w:adjustRightInd/>
              <w:snapToGrid/>
              <w:spacing w:line="560" w:lineRule="exact"/>
              <w:ind w:firstLine="0" w:firstLineChars="0"/>
              <w:jc w:val="center"/>
              <w:textAlignment w:val="auto"/>
              <w:rPr>
                <w:rFonts w:hint="eastAsia" w:ascii="宋体" w:hAnsi="宋体" w:eastAsia="宋体" w:cs="宋体"/>
                <w:color w:val="000000"/>
                <w:kern w:val="0"/>
                <w:sz w:val="22"/>
                <w:lang w:val="en-US" w:eastAsia="zh-CN"/>
              </w:rPr>
            </w:pPr>
            <w:r>
              <w:rPr>
                <w:rFonts w:hint="eastAsia" w:ascii="宋体" w:hAnsi="宋体" w:eastAsia="宋体" w:cs="宋体"/>
                <w:color w:val="000000"/>
                <w:kern w:val="0"/>
                <w:sz w:val="22"/>
                <w:lang w:val="en-US" w:eastAsia="zh-CN"/>
              </w:rPr>
              <w:t>4</w:t>
            </w:r>
          </w:p>
        </w:tc>
        <w:tc>
          <w:tcPr>
            <w:tcW w:w="897" w:type="dxa"/>
            <w:tcBorders>
              <w:tl2br w:val="nil"/>
              <w:tr2bl w:val="nil"/>
            </w:tcBorders>
            <w:shd w:val="clear" w:color="000000" w:fill="FFFFFF"/>
            <w:vAlign w:val="center"/>
          </w:tcPr>
          <w:p w14:paraId="110507D2">
            <w:pPr>
              <w:pageBreakBefore w:val="0"/>
              <w:widowControl/>
              <w:kinsoku/>
              <w:wordWrap/>
              <w:overflowPunct/>
              <w:topLinePunct w:val="0"/>
              <w:autoSpaceDN/>
              <w:bidi w:val="0"/>
              <w:adjustRightInd/>
              <w:snapToGrid/>
              <w:spacing w:line="560" w:lineRule="exact"/>
              <w:ind w:firstLine="0" w:firstLineChars="0"/>
              <w:jc w:val="center"/>
              <w:textAlignment w:val="auto"/>
              <w:rPr>
                <w:rFonts w:hint="eastAsia" w:ascii="宋体" w:hAnsi="宋体" w:eastAsia="宋体" w:cs="宋体"/>
                <w:color w:val="000000"/>
                <w:kern w:val="0"/>
                <w:sz w:val="22"/>
                <w:lang w:val="en-US" w:eastAsia="zh-CN"/>
              </w:rPr>
            </w:pPr>
            <w:r>
              <w:rPr>
                <w:rFonts w:hint="eastAsia" w:ascii="宋体" w:hAnsi="宋体" w:eastAsia="宋体" w:cs="宋体"/>
                <w:color w:val="000000"/>
                <w:kern w:val="0"/>
                <w:sz w:val="22"/>
                <w:lang w:val="en-US" w:eastAsia="zh-CN"/>
              </w:rPr>
              <w:t>4</w:t>
            </w:r>
          </w:p>
        </w:tc>
        <w:tc>
          <w:tcPr>
            <w:tcW w:w="1038" w:type="dxa"/>
            <w:tcBorders>
              <w:tl2br w:val="nil"/>
              <w:tr2bl w:val="nil"/>
            </w:tcBorders>
            <w:shd w:val="clear" w:color="000000" w:fill="FFFFFF"/>
            <w:vAlign w:val="center"/>
          </w:tcPr>
          <w:p w14:paraId="49F8595D">
            <w:pPr>
              <w:pageBreakBefore w:val="0"/>
              <w:widowControl/>
              <w:kinsoku/>
              <w:wordWrap/>
              <w:overflowPunct/>
              <w:topLinePunct w:val="0"/>
              <w:autoSpaceDN/>
              <w:bidi w:val="0"/>
              <w:adjustRightInd/>
              <w:snapToGrid/>
              <w:spacing w:line="560" w:lineRule="exact"/>
              <w:ind w:firstLine="0" w:firstLineChars="0"/>
              <w:jc w:val="center"/>
              <w:textAlignment w:val="auto"/>
              <w:rPr>
                <w:rFonts w:hint="eastAsia" w:ascii="宋体" w:hAnsi="宋体" w:eastAsia="宋体" w:cs="宋体"/>
                <w:color w:val="000000"/>
                <w:kern w:val="0"/>
                <w:sz w:val="22"/>
              </w:rPr>
            </w:pPr>
            <w:r>
              <w:rPr>
                <w:rFonts w:hint="eastAsia" w:ascii="仿宋_GB2312" w:hAnsi="宋体" w:cs="宋体"/>
                <w:kern w:val="0"/>
                <w:sz w:val="24"/>
                <w:szCs w:val="24"/>
                <w:lang w:val="en-US" w:eastAsia="zh-CN"/>
              </w:rPr>
              <w:t>100%</w:t>
            </w:r>
          </w:p>
        </w:tc>
      </w:tr>
      <w:tr w14:paraId="5CE659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1" w:hRule="atLeast"/>
          <w:jc w:val="center"/>
        </w:trPr>
        <w:tc>
          <w:tcPr>
            <w:tcW w:w="1704" w:type="dxa"/>
            <w:tcBorders>
              <w:tl2br w:val="nil"/>
              <w:tr2bl w:val="nil"/>
            </w:tcBorders>
            <w:shd w:val="clear" w:color="auto" w:fill="FFFFFF"/>
            <w:vAlign w:val="center"/>
          </w:tcPr>
          <w:p w14:paraId="7D8EC26E">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rPr>
              <w:t>效益</w:t>
            </w:r>
          </w:p>
        </w:tc>
        <w:tc>
          <w:tcPr>
            <w:tcW w:w="1422" w:type="dxa"/>
            <w:tcBorders>
              <w:tl2br w:val="nil"/>
              <w:tr2bl w:val="nil"/>
            </w:tcBorders>
            <w:shd w:val="clear" w:color="auto" w:fill="FFFFFF"/>
            <w:vAlign w:val="center"/>
          </w:tcPr>
          <w:p w14:paraId="1574DCFF">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highlight w:val="none"/>
              </w:rPr>
            </w:pPr>
            <w:r>
              <w:rPr>
                <w:rFonts w:hint="eastAsia" w:ascii="仿宋_GB2312" w:hAnsi="宋体" w:cs="宋体"/>
                <w:kern w:val="0"/>
                <w:sz w:val="24"/>
                <w:szCs w:val="24"/>
                <w:highlight w:val="none"/>
                <w:lang w:val="en-US" w:eastAsia="zh-CN"/>
              </w:rPr>
              <w:t>社会</w:t>
            </w:r>
            <w:r>
              <w:rPr>
                <w:rFonts w:hint="eastAsia" w:ascii="仿宋_GB2312" w:hAnsi="宋体" w:cs="宋体"/>
                <w:kern w:val="0"/>
                <w:sz w:val="24"/>
                <w:szCs w:val="24"/>
                <w:highlight w:val="none"/>
              </w:rPr>
              <w:t>效益</w:t>
            </w:r>
          </w:p>
        </w:tc>
        <w:tc>
          <w:tcPr>
            <w:tcW w:w="3100" w:type="dxa"/>
            <w:tcBorders>
              <w:tl2br w:val="nil"/>
              <w:tr2bl w:val="nil"/>
            </w:tcBorders>
            <w:shd w:val="clear" w:color="auto" w:fill="FFFFFF"/>
            <w:vAlign w:val="center"/>
          </w:tcPr>
          <w:p w14:paraId="72FAED3A">
            <w:pPr>
              <w:pageBreakBefore w:val="0"/>
              <w:widowControl/>
              <w:kinsoku/>
              <w:wordWrap/>
              <w:overflowPunct/>
              <w:topLinePunct w:val="0"/>
              <w:autoSpaceDN/>
              <w:bidi w:val="0"/>
              <w:adjustRightInd/>
              <w:snapToGrid/>
              <w:spacing w:line="560" w:lineRule="exact"/>
              <w:ind w:firstLine="0" w:firstLineChars="0"/>
              <w:jc w:val="center"/>
              <w:textAlignment w:val="auto"/>
              <w:rPr>
                <w:rFonts w:hint="eastAsia" w:ascii="仿宋_GB2312" w:hAnsi="宋体" w:cs="宋体"/>
                <w:kern w:val="0"/>
                <w:sz w:val="24"/>
                <w:szCs w:val="24"/>
              </w:rPr>
            </w:pPr>
            <w:r>
              <w:rPr>
                <w:rFonts w:hint="eastAsia" w:ascii="仿宋_GB2312" w:hAnsi="宋体" w:cs="宋体"/>
                <w:kern w:val="0"/>
                <w:sz w:val="24"/>
                <w:szCs w:val="24"/>
                <w:lang w:val="en-US" w:eastAsia="zh-CN"/>
              </w:rPr>
              <w:t>增强与归侨侨眷的紧密联系</w:t>
            </w:r>
          </w:p>
        </w:tc>
        <w:tc>
          <w:tcPr>
            <w:tcW w:w="897" w:type="dxa"/>
            <w:tcBorders>
              <w:tl2br w:val="nil"/>
              <w:tr2bl w:val="nil"/>
            </w:tcBorders>
            <w:shd w:val="clear" w:color="auto" w:fill="FFFFFF"/>
            <w:vAlign w:val="center"/>
          </w:tcPr>
          <w:p w14:paraId="355B3A8E">
            <w:pPr>
              <w:pageBreakBefore w:val="0"/>
              <w:widowControl/>
              <w:kinsoku/>
              <w:wordWrap/>
              <w:overflowPunct/>
              <w:topLinePunct w:val="0"/>
              <w:autoSpaceDN/>
              <w:bidi w:val="0"/>
              <w:adjustRightInd/>
              <w:snapToGrid/>
              <w:spacing w:line="560" w:lineRule="exact"/>
              <w:ind w:firstLine="0" w:firstLineChars="0"/>
              <w:jc w:val="center"/>
              <w:textAlignment w:val="auto"/>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15</w:t>
            </w:r>
          </w:p>
        </w:tc>
        <w:tc>
          <w:tcPr>
            <w:tcW w:w="897" w:type="dxa"/>
            <w:tcBorders>
              <w:tl2br w:val="nil"/>
              <w:tr2bl w:val="nil"/>
            </w:tcBorders>
            <w:shd w:val="clear" w:color="auto" w:fill="FFFFFF"/>
            <w:vAlign w:val="center"/>
          </w:tcPr>
          <w:p w14:paraId="57C424CA">
            <w:pPr>
              <w:pageBreakBefore w:val="0"/>
              <w:widowControl/>
              <w:kinsoku/>
              <w:wordWrap/>
              <w:overflowPunct/>
              <w:topLinePunct w:val="0"/>
              <w:autoSpaceDN/>
              <w:bidi w:val="0"/>
              <w:adjustRightInd/>
              <w:snapToGrid/>
              <w:spacing w:line="560" w:lineRule="exact"/>
              <w:ind w:firstLine="0" w:firstLineChars="0"/>
              <w:jc w:val="center"/>
              <w:textAlignment w:val="auto"/>
              <w:rPr>
                <w:rFonts w:hint="default" w:ascii="仿宋_GB2312" w:hAnsi="宋体" w:eastAsia="仿宋_GB2312" w:cs="宋体"/>
                <w:kern w:val="0"/>
                <w:sz w:val="24"/>
                <w:szCs w:val="24"/>
                <w:lang w:val="en-US" w:eastAsia="zh-CN" w:bidi="ar-SA"/>
              </w:rPr>
            </w:pPr>
            <w:r>
              <w:rPr>
                <w:rFonts w:hint="eastAsia" w:ascii="仿宋_GB2312" w:hAnsi="宋体" w:cs="宋体"/>
                <w:kern w:val="0"/>
                <w:sz w:val="24"/>
                <w:szCs w:val="24"/>
                <w:lang w:val="en-US" w:eastAsia="zh-CN"/>
              </w:rPr>
              <w:t>15</w:t>
            </w:r>
          </w:p>
        </w:tc>
        <w:tc>
          <w:tcPr>
            <w:tcW w:w="1038" w:type="dxa"/>
            <w:tcBorders>
              <w:tl2br w:val="nil"/>
              <w:tr2bl w:val="nil"/>
            </w:tcBorders>
            <w:shd w:val="clear" w:color="auto" w:fill="FFFFFF"/>
            <w:vAlign w:val="center"/>
          </w:tcPr>
          <w:p w14:paraId="65FBF16D">
            <w:pPr>
              <w:pageBreakBefore w:val="0"/>
              <w:widowControl/>
              <w:kinsoku/>
              <w:wordWrap/>
              <w:overflowPunct/>
              <w:topLinePunct w:val="0"/>
              <w:autoSpaceDN/>
              <w:bidi w:val="0"/>
              <w:adjustRightInd/>
              <w:snapToGrid/>
              <w:spacing w:line="560" w:lineRule="exact"/>
              <w:ind w:left="0" w:leftChars="0"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lang w:val="en-US" w:eastAsia="zh-CN"/>
              </w:rPr>
              <w:t>100%</w:t>
            </w:r>
          </w:p>
        </w:tc>
      </w:tr>
      <w:tr w14:paraId="2C40F7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31" w:hRule="atLeast"/>
          <w:jc w:val="center"/>
        </w:trPr>
        <w:tc>
          <w:tcPr>
            <w:tcW w:w="1704" w:type="dxa"/>
            <w:tcBorders>
              <w:tl2br w:val="nil"/>
              <w:tr2bl w:val="nil"/>
            </w:tcBorders>
            <w:shd w:val="clear" w:color="auto" w:fill="FFFFFF"/>
            <w:vAlign w:val="center"/>
          </w:tcPr>
          <w:p w14:paraId="7BD98D64">
            <w:pPr>
              <w:pageBreakBefore w:val="0"/>
              <w:widowControl/>
              <w:kinsoku/>
              <w:wordWrap/>
              <w:overflowPunct/>
              <w:topLinePunct w:val="0"/>
              <w:autoSpaceDN/>
              <w:bidi w:val="0"/>
              <w:adjustRightInd/>
              <w:snapToGrid/>
              <w:spacing w:line="560" w:lineRule="exact"/>
              <w:ind w:firstLine="0" w:firstLineChars="0"/>
              <w:jc w:val="center"/>
              <w:textAlignment w:val="auto"/>
              <w:rPr>
                <w:rFonts w:hint="eastAsia" w:ascii="仿宋_GB2312" w:hAnsi="宋体" w:cs="宋体"/>
                <w:kern w:val="0"/>
                <w:sz w:val="24"/>
                <w:szCs w:val="24"/>
                <w:lang w:val="en-US" w:eastAsia="zh-CN"/>
              </w:rPr>
            </w:pPr>
            <w:r>
              <w:rPr>
                <w:rFonts w:hint="eastAsia" w:ascii="仿宋_GB2312" w:hAnsi="宋体" w:cs="宋体"/>
                <w:kern w:val="0"/>
                <w:sz w:val="24"/>
                <w:szCs w:val="24"/>
                <w:lang w:val="en-US" w:eastAsia="zh-CN"/>
              </w:rPr>
              <w:t>满意度指标完成情况分析</w:t>
            </w:r>
          </w:p>
        </w:tc>
        <w:tc>
          <w:tcPr>
            <w:tcW w:w="1422" w:type="dxa"/>
            <w:tcBorders>
              <w:tl2br w:val="nil"/>
              <w:tr2bl w:val="nil"/>
            </w:tcBorders>
            <w:shd w:val="clear" w:color="auto" w:fill="FFFFFF"/>
            <w:vAlign w:val="center"/>
          </w:tcPr>
          <w:p w14:paraId="5BB96B73">
            <w:pPr>
              <w:pageBreakBefore w:val="0"/>
              <w:widowControl/>
              <w:kinsoku/>
              <w:wordWrap/>
              <w:overflowPunct/>
              <w:topLinePunct w:val="0"/>
              <w:autoSpaceDN/>
              <w:bidi w:val="0"/>
              <w:adjustRightInd/>
              <w:snapToGrid/>
              <w:spacing w:line="560" w:lineRule="exact"/>
              <w:ind w:firstLine="0" w:firstLineChars="0"/>
              <w:jc w:val="center"/>
              <w:textAlignment w:val="auto"/>
              <w:rPr>
                <w:rFonts w:hint="eastAsia" w:ascii="仿宋_GB2312" w:hAnsi="宋体" w:cs="宋体"/>
                <w:kern w:val="0"/>
                <w:sz w:val="24"/>
                <w:szCs w:val="24"/>
                <w:lang w:val="en-US" w:eastAsia="zh-CN"/>
              </w:rPr>
            </w:pPr>
            <w:r>
              <w:rPr>
                <w:rFonts w:hint="eastAsia" w:ascii="仿宋_GB2312" w:hAnsi="宋体" w:cs="宋体"/>
                <w:kern w:val="0"/>
                <w:sz w:val="24"/>
                <w:szCs w:val="24"/>
                <w:lang w:val="en-US" w:eastAsia="zh-CN"/>
              </w:rPr>
              <w:t>满意度指标</w:t>
            </w:r>
          </w:p>
        </w:tc>
        <w:tc>
          <w:tcPr>
            <w:tcW w:w="3100" w:type="dxa"/>
            <w:tcBorders>
              <w:tl2br w:val="nil"/>
              <w:tr2bl w:val="nil"/>
            </w:tcBorders>
            <w:shd w:val="clear" w:color="auto" w:fill="FFFFFF"/>
            <w:vAlign w:val="center"/>
          </w:tcPr>
          <w:p w14:paraId="7436D2F5">
            <w:pPr>
              <w:pageBreakBefore w:val="0"/>
              <w:widowControl/>
              <w:kinsoku/>
              <w:wordWrap/>
              <w:overflowPunct/>
              <w:topLinePunct w:val="0"/>
              <w:autoSpaceDN/>
              <w:bidi w:val="0"/>
              <w:adjustRightInd/>
              <w:snapToGrid/>
              <w:spacing w:line="560" w:lineRule="exact"/>
              <w:ind w:firstLine="0" w:firstLineChars="0"/>
              <w:jc w:val="center"/>
              <w:textAlignment w:val="auto"/>
              <w:rPr>
                <w:rFonts w:hint="eastAsia" w:ascii="仿宋_GB2312" w:hAnsi="宋体" w:cs="宋体"/>
                <w:kern w:val="0"/>
                <w:sz w:val="24"/>
                <w:szCs w:val="24"/>
                <w:lang w:val="en-US" w:eastAsia="zh-CN"/>
              </w:rPr>
            </w:pPr>
            <w:r>
              <w:rPr>
                <w:rFonts w:hint="eastAsia" w:ascii="仿宋_GB2312" w:hAnsi="宋体" w:cs="宋体"/>
                <w:kern w:val="0"/>
                <w:sz w:val="24"/>
                <w:szCs w:val="24"/>
                <w:lang w:val="en-US" w:eastAsia="zh-CN"/>
              </w:rPr>
              <w:t>归侨侨眷满意度</w:t>
            </w:r>
          </w:p>
        </w:tc>
        <w:tc>
          <w:tcPr>
            <w:tcW w:w="897" w:type="dxa"/>
            <w:tcBorders>
              <w:tl2br w:val="nil"/>
              <w:tr2bl w:val="nil"/>
            </w:tcBorders>
            <w:shd w:val="clear" w:color="000000" w:fill="FFFFFF"/>
            <w:vAlign w:val="center"/>
          </w:tcPr>
          <w:p w14:paraId="26BDF97E">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rPr>
              <w:t>5</w:t>
            </w:r>
          </w:p>
        </w:tc>
        <w:tc>
          <w:tcPr>
            <w:tcW w:w="897" w:type="dxa"/>
            <w:tcBorders>
              <w:tl2br w:val="nil"/>
              <w:tr2bl w:val="nil"/>
            </w:tcBorders>
            <w:shd w:val="clear" w:color="000000" w:fill="FFFFFF"/>
            <w:vAlign w:val="center"/>
          </w:tcPr>
          <w:p w14:paraId="7CB2BA1F">
            <w:pPr>
              <w:pageBreakBefore w:val="0"/>
              <w:widowControl/>
              <w:kinsoku/>
              <w:wordWrap/>
              <w:overflowPunct/>
              <w:topLinePunct w:val="0"/>
              <w:autoSpaceDN/>
              <w:bidi w:val="0"/>
              <w:adjustRightInd/>
              <w:snapToGrid/>
              <w:spacing w:line="560" w:lineRule="exact"/>
              <w:ind w:firstLine="0" w:firstLineChars="0"/>
              <w:jc w:val="center"/>
              <w:textAlignment w:val="auto"/>
              <w:rPr>
                <w:rFonts w:ascii="仿宋_GB2312" w:hAnsi="宋体" w:eastAsia="仿宋_GB2312" w:cs="宋体"/>
                <w:kern w:val="0"/>
                <w:sz w:val="24"/>
                <w:szCs w:val="24"/>
                <w:lang w:val="en-US" w:eastAsia="zh-CN" w:bidi="ar-SA"/>
              </w:rPr>
            </w:pPr>
            <w:r>
              <w:rPr>
                <w:rFonts w:hint="eastAsia" w:ascii="仿宋_GB2312" w:hAnsi="宋体" w:cs="宋体"/>
                <w:kern w:val="0"/>
                <w:sz w:val="24"/>
                <w:szCs w:val="24"/>
              </w:rPr>
              <w:t>5</w:t>
            </w:r>
          </w:p>
        </w:tc>
        <w:tc>
          <w:tcPr>
            <w:tcW w:w="1038" w:type="dxa"/>
            <w:tcBorders>
              <w:tl2br w:val="nil"/>
              <w:tr2bl w:val="nil"/>
            </w:tcBorders>
            <w:shd w:val="clear" w:color="000000" w:fill="FFFFFF"/>
            <w:vAlign w:val="center"/>
          </w:tcPr>
          <w:p w14:paraId="6E5F7B6A">
            <w:pPr>
              <w:pageBreakBefore w:val="0"/>
              <w:widowControl/>
              <w:kinsoku/>
              <w:wordWrap/>
              <w:overflowPunct/>
              <w:topLinePunct w:val="0"/>
              <w:autoSpaceDN/>
              <w:bidi w:val="0"/>
              <w:adjustRightInd/>
              <w:snapToGrid/>
              <w:spacing w:line="560" w:lineRule="exact"/>
              <w:ind w:left="0" w:leftChars="0" w:firstLine="0" w:firstLineChars="0"/>
              <w:jc w:val="center"/>
              <w:textAlignment w:val="auto"/>
              <w:rPr>
                <w:rFonts w:ascii="仿宋_GB2312" w:hAnsi="宋体" w:cs="宋体"/>
                <w:kern w:val="0"/>
                <w:sz w:val="24"/>
                <w:szCs w:val="24"/>
              </w:rPr>
            </w:pPr>
            <w:r>
              <w:rPr>
                <w:rFonts w:hint="eastAsia" w:ascii="仿宋_GB2312" w:hAnsi="宋体" w:cs="宋体"/>
                <w:kern w:val="0"/>
                <w:sz w:val="24"/>
                <w:szCs w:val="24"/>
                <w:lang w:val="en-US" w:eastAsia="zh-CN"/>
              </w:rPr>
              <w:t>100%</w:t>
            </w:r>
          </w:p>
        </w:tc>
      </w:tr>
    </w:tbl>
    <w:p w14:paraId="1B47E78C">
      <w:pPr>
        <w:pStyle w:val="3"/>
        <w:pageBreakBefore w:val="0"/>
        <w:kinsoku/>
        <w:wordWrap/>
        <w:overflowPunct/>
        <w:topLinePunct w:val="0"/>
        <w:autoSpaceDN/>
        <w:bidi w:val="0"/>
        <w:adjustRightInd/>
        <w:snapToGrid/>
        <w:spacing w:line="560" w:lineRule="exact"/>
        <w:ind w:firstLine="643"/>
        <w:textAlignment w:val="auto"/>
        <w:rPr>
          <w:rFonts w:ascii="仿宋" w:hAnsi="仿宋" w:eastAsia="仿宋"/>
          <w:lang w:bidi="en-US"/>
        </w:rPr>
      </w:pPr>
      <w:bookmarkStart w:id="35" w:name="_Toc10140"/>
      <w:bookmarkStart w:id="36" w:name="_Toc67911610"/>
      <w:r>
        <w:rPr>
          <w:rFonts w:hint="eastAsia" w:ascii="仿宋" w:hAnsi="仿宋" w:eastAsia="仿宋"/>
          <w:lang w:bidi="en-US"/>
        </w:rPr>
        <w:t>（二）主要绩效</w:t>
      </w:r>
      <w:bookmarkEnd w:id="35"/>
      <w:bookmarkEnd w:id="36"/>
    </w:p>
    <w:p w14:paraId="69905C32">
      <w:pPr>
        <w:pageBreakBefore w:val="0"/>
        <w:kinsoku/>
        <w:wordWrap/>
        <w:overflowPunct/>
        <w:topLinePunct w:val="0"/>
        <w:autoSpaceDN/>
        <w:bidi w:val="0"/>
        <w:adjustRightInd/>
        <w:snapToGrid/>
        <w:spacing w:line="560" w:lineRule="exact"/>
        <w:ind w:firstLine="627" w:firstLineChars="196"/>
        <w:textAlignment w:val="auto"/>
        <w:rPr>
          <w:rFonts w:hint="default" w:ascii="仿宋_GB2312" w:eastAsia="仿宋_GB2312"/>
          <w:bCs/>
          <w:szCs w:val="28"/>
          <w:highlight w:val="none"/>
          <w:lang w:val="en-US" w:eastAsia="zh-CN"/>
        </w:rPr>
      </w:pPr>
      <w:r>
        <w:rPr>
          <w:rFonts w:hint="eastAsia" w:ascii="仿宋_GB2312"/>
          <w:bCs/>
          <w:szCs w:val="28"/>
        </w:rPr>
        <w:t>该项目资金</w:t>
      </w:r>
      <w:r>
        <w:rPr>
          <w:rFonts w:hint="eastAsia" w:ascii="仿宋_GB2312"/>
          <w:bCs/>
          <w:szCs w:val="28"/>
          <w:lang w:val="en-US" w:eastAsia="zh-CN"/>
        </w:rPr>
        <w:t>市</w:t>
      </w:r>
      <w:r>
        <w:rPr>
          <w:rFonts w:hint="eastAsia" w:ascii="仿宋_GB2312"/>
          <w:bCs/>
          <w:szCs w:val="28"/>
        </w:rPr>
        <w:t>财政及时拨付，单</w:t>
      </w:r>
      <w:r>
        <w:rPr>
          <w:rFonts w:hint="eastAsia" w:ascii="仿宋_GB2312"/>
          <w:bCs/>
          <w:szCs w:val="28"/>
          <w:highlight w:val="none"/>
        </w:rPr>
        <w:t>位在此次评价期间内，有序完成设定目标的部分工作任务</w:t>
      </w:r>
      <w:r>
        <w:rPr>
          <w:rFonts w:hint="eastAsia" w:ascii="仿宋_GB2312"/>
          <w:bCs/>
          <w:szCs w:val="28"/>
          <w:highlight w:val="none"/>
          <w:lang w:eastAsia="zh-CN"/>
        </w:rPr>
        <w:t>。</w:t>
      </w:r>
      <w:r>
        <w:rPr>
          <w:rFonts w:hint="eastAsia" w:ascii="仿宋_GB2312"/>
          <w:bCs/>
          <w:szCs w:val="28"/>
          <w:highlight w:val="none"/>
          <w:lang w:val="en-US" w:eastAsia="zh-CN"/>
        </w:rPr>
        <w:t>按照既定目标，资金到位后，迅速开展采购和支付工作，按照预期资金分配完成采购，联系供应商按时送货，于2023年3月完成全部装饰工作并开展活动。本年度在乌鲁木齐市机关“侨胞之家”举办了“侨心向党·启航新征程”观影宣讲活动、“亲情中华·为中华崛起而读书”朗诵交流活动、党的二十大精神宣讲活动和2023年基层侨务干部培训班等侨特色显著的活动，服务侨众200余人，加强了与侨界群众的紧密联系，截至年底采购设施全面投入使用，获得广大归侨侨眷的一致好评，通过调查问卷抽样调查归侨侨眷面一度达100%，圆满完成绩效任务。</w:t>
      </w:r>
    </w:p>
    <w:p w14:paraId="16C5070C">
      <w:pPr>
        <w:pStyle w:val="2"/>
        <w:pageBreakBefore w:val="0"/>
        <w:kinsoku/>
        <w:wordWrap/>
        <w:overflowPunct/>
        <w:topLinePunct w:val="0"/>
        <w:autoSpaceDN/>
        <w:bidi w:val="0"/>
        <w:adjustRightInd/>
        <w:snapToGrid/>
        <w:spacing w:line="560" w:lineRule="exact"/>
        <w:ind w:firstLine="0" w:firstLineChars="0"/>
        <w:jc w:val="left"/>
        <w:textAlignment w:val="auto"/>
        <w:rPr>
          <w:rFonts w:ascii="仿宋" w:hAnsi="仿宋" w:eastAsia="仿宋"/>
          <w:sz w:val="36"/>
          <w:szCs w:val="36"/>
          <w:lang w:bidi="en-US"/>
        </w:rPr>
      </w:pPr>
      <w:bookmarkStart w:id="37" w:name="_Toc26288"/>
      <w:bookmarkStart w:id="38" w:name="_Toc67911611"/>
      <w:bookmarkStart w:id="39" w:name="_Toc6860"/>
      <w:r>
        <w:rPr>
          <w:rFonts w:hint="eastAsia" w:ascii="仿宋" w:hAnsi="仿宋" w:eastAsia="仿宋"/>
          <w:sz w:val="36"/>
          <w:szCs w:val="36"/>
          <w:lang w:bidi="en-US"/>
        </w:rPr>
        <w:t>四、绩效评价指标分析</w:t>
      </w:r>
      <w:bookmarkEnd w:id="37"/>
      <w:bookmarkEnd w:id="38"/>
      <w:bookmarkEnd w:id="39"/>
    </w:p>
    <w:p w14:paraId="0A3BBAE2">
      <w:pPr>
        <w:pStyle w:val="3"/>
        <w:pageBreakBefore w:val="0"/>
        <w:kinsoku/>
        <w:wordWrap/>
        <w:overflowPunct/>
        <w:topLinePunct w:val="0"/>
        <w:autoSpaceDN/>
        <w:bidi w:val="0"/>
        <w:adjustRightInd/>
        <w:snapToGrid/>
        <w:spacing w:line="560" w:lineRule="exact"/>
        <w:ind w:firstLine="643"/>
        <w:textAlignment w:val="auto"/>
        <w:rPr>
          <w:rFonts w:ascii="仿宋" w:hAnsi="仿宋" w:eastAsia="仿宋"/>
          <w:lang w:bidi="en-US"/>
        </w:rPr>
      </w:pPr>
      <w:bookmarkStart w:id="40" w:name="_Toc21891"/>
      <w:bookmarkStart w:id="41" w:name="_Toc67911612"/>
      <w:r>
        <w:rPr>
          <w:rFonts w:hint="eastAsia" w:ascii="仿宋" w:hAnsi="仿宋" w:eastAsia="仿宋"/>
          <w:lang w:bidi="en-US"/>
        </w:rPr>
        <w:t>（一）项目决策情况</w:t>
      </w:r>
      <w:bookmarkEnd w:id="40"/>
      <w:bookmarkEnd w:id="41"/>
    </w:p>
    <w:p w14:paraId="18951767">
      <w:pPr>
        <w:pageBreakBefore w:val="0"/>
        <w:kinsoku/>
        <w:wordWrap/>
        <w:overflowPunct/>
        <w:topLinePunct w:val="0"/>
        <w:autoSpaceDN/>
        <w:bidi w:val="0"/>
        <w:adjustRightInd/>
        <w:snapToGrid/>
        <w:spacing w:line="560" w:lineRule="exact"/>
        <w:ind w:firstLine="560"/>
        <w:textAlignment w:val="auto"/>
        <w:rPr>
          <w:rFonts w:ascii="仿宋_GB2312"/>
          <w:szCs w:val="28"/>
        </w:rPr>
      </w:pPr>
      <w:r>
        <w:rPr>
          <w:rFonts w:hint="eastAsia" w:ascii="仿宋_GB2312"/>
          <w:szCs w:val="28"/>
        </w:rPr>
        <w:t>项目决算指标由3个二级指标和6个三级指标构成，权重为</w:t>
      </w:r>
      <w:r>
        <w:rPr>
          <w:rFonts w:ascii="仿宋_GB2312"/>
          <w:szCs w:val="28"/>
        </w:rPr>
        <w:t>20</w:t>
      </w:r>
      <w:r>
        <w:rPr>
          <w:rFonts w:hint="eastAsia" w:ascii="仿宋_GB2312"/>
          <w:szCs w:val="28"/>
        </w:rPr>
        <w:t>分，实际得分</w:t>
      </w:r>
      <w:r>
        <w:rPr>
          <w:rFonts w:hint="eastAsia" w:ascii="仿宋_GB2312"/>
          <w:szCs w:val="28"/>
          <w:lang w:val="en-US" w:eastAsia="zh-CN"/>
        </w:rPr>
        <w:t>20</w:t>
      </w:r>
      <w:r>
        <w:rPr>
          <w:rFonts w:hint="eastAsia" w:ascii="仿宋_GB2312"/>
          <w:szCs w:val="28"/>
        </w:rPr>
        <w:t>分。</w:t>
      </w:r>
    </w:p>
    <w:p w14:paraId="1B0F460D">
      <w:pPr>
        <w:pStyle w:val="4"/>
        <w:pageBreakBefore w:val="0"/>
        <w:kinsoku/>
        <w:wordWrap/>
        <w:overflowPunct/>
        <w:topLinePunct w:val="0"/>
        <w:autoSpaceDN/>
        <w:bidi w:val="0"/>
        <w:adjustRightInd/>
        <w:snapToGrid/>
        <w:spacing w:line="560" w:lineRule="exact"/>
        <w:ind w:firstLine="643"/>
        <w:textAlignment w:val="auto"/>
      </w:pPr>
      <w:bookmarkStart w:id="42" w:name="_Toc25534"/>
      <w:r>
        <w:t>1.</w:t>
      </w:r>
      <w:r>
        <w:rPr>
          <w:rFonts w:hint="eastAsia"/>
        </w:rPr>
        <w:t>项目立项</w:t>
      </w:r>
      <w:bookmarkEnd w:id="42"/>
    </w:p>
    <w:p w14:paraId="6692CF2F">
      <w:pPr>
        <w:pageBreakBefore w:val="0"/>
        <w:kinsoku/>
        <w:wordWrap/>
        <w:overflowPunct/>
        <w:topLinePunct w:val="0"/>
        <w:autoSpaceDN/>
        <w:bidi w:val="0"/>
        <w:adjustRightInd/>
        <w:snapToGrid/>
        <w:spacing w:line="560" w:lineRule="exact"/>
        <w:ind w:firstLine="562"/>
        <w:textAlignment w:val="auto"/>
        <w:rPr>
          <w:rFonts w:ascii="仿宋_GB2312"/>
          <w:szCs w:val="28"/>
        </w:rPr>
      </w:pPr>
      <w:r>
        <w:rPr>
          <w:rFonts w:hint="eastAsia" w:ascii="仿宋_GB2312"/>
          <w:b/>
          <w:bCs/>
          <w:szCs w:val="28"/>
        </w:rPr>
        <w:t>立项依据充分性：</w:t>
      </w:r>
      <w:r>
        <w:rPr>
          <w:rFonts w:hint="eastAsia" w:ascii="仿宋_GB2312"/>
          <w:szCs w:val="28"/>
        </w:rPr>
        <w:t>项目立项符合</w:t>
      </w:r>
      <w:r>
        <w:rPr>
          <w:rFonts w:hint="eastAsia" w:ascii="仿宋_GB2312"/>
        </w:rPr>
        <w:t>《中共中央</w:t>
      </w:r>
      <w:r>
        <w:rPr>
          <w:rFonts w:hint="eastAsia" w:ascii="仿宋_GB2312"/>
          <w:lang w:val="en-US" w:eastAsia="zh-CN"/>
        </w:rPr>
        <w:t xml:space="preserve"> </w:t>
      </w:r>
      <w:r>
        <w:rPr>
          <w:rFonts w:hint="eastAsia" w:ascii="仿宋_GB2312"/>
        </w:rPr>
        <w:t>国务院关于全面实施预算绩效管理的意见》（中发〔2018〕34号）</w:t>
      </w:r>
      <w:r>
        <w:rPr>
          <w:rFonts w:hint="eastAsia" w:ascii="仿宋_GB2312"/>
          <w:lang w:eastAsia="zh-CN"/>
        </w:rPr>
        <w:t>、</w:t>
      </w:r>
      <w:r>
        <w:rPr>
          <w:rFonts w:hint="eastAsia" w:ascii="仿宋_GB2312"/>
        </w:rPr>
        <w:t>《关于印发&lt;乌鲁木齐市本级部门预算绩效目标管理暂行办法&gt;的通知》（乌财预〔2018〕56号）</w:t>
      </w:r>
      <w:r>
        <w:rPr>
          <w:rFonts w:hint="eastAsia" w:ascii="仿宋_GB2312"/>
          <w:lang w:eastAsia="zh-CN"/>
        </w:rPr>
        <w:t>、《</w:t>
      </w:r>
      <w:r>
        <w:rPr>
          <w:rFonts w:hint="eastAsia" w:ascii="仿宋_GB2312"/>
          <w:lang w:val="en-US" w:eastAsia="zh-CN"/>
        </w:rPr>
        <w:t>中华全国华侨联合会章程》等</w:t>
      </w:r>
      <w:r>
        <w:rPr>
          <w:rFonts w:hint="eastAsia" w:ascii="仿宋_GB2312"/>
          <w:szCs w:val="28"/>
        </w:rPr>
        <w:t>国家法律法规、政策要求。同时，项目与部门职责范围相符，属于部门履职所需。此外，本项目属于公共财政支持范围，符合中央、地方事权支出责任划分原则。因此，立项依据充分，得4分。</w:t>
      </w:r>
    </w:p>
    <w:p w14:paraId="7BDFF1E7">
      <w:pPr>
        <w:pageBreakBefore w:val="0"/>
        <w:kinsoku/>
        <w:wordWrap/>
        <w:overflowPunct/>
        <w:topLinePunct w:val="0"/>
        <w:autoSpaceDN/>
        <w:bidi w:val="0"/>
        <w:adjustRightInd/>
        <w:snapToGrid/>
        <w:spacing w:line="560" w:lineRule="exact"/>
        <w:ind w:firstLine="562"/>
        <w:textAlignment w:val="auto"/>
        <w:rPr>
          <w:rFonts w:ascii="仿宋_GB2312"/>
          <w:szCs w:val="28"/>
          <w:highlight w:val="none"/>
        </w:rPr>
      </w:pPr>
      <w:r>
        <w:rPr>
          <w:rFonts w:hint="eastAsia" w:ascii="仿宋_GB2312"/>
          <w:b/>
          <w:bCs/>
          <w:szCs w:val="28"/>
        </w:rPr>
        <w:t>立项程序规范性</w:t>
      </w:r>
      <w:r>
        <w:rPr>
          <w:rFonts w:ascii="仿宋_GB2312"/>
          <w:b/>
          <w:bCs/>
          <w:szCs w:val="28"/>
        </w:rPr>
        <w:t>:</w:t>
      </w:r>
      <w:r>
        <w:rPr>
          <w:rFonts w:hint="eastAsia"/>
        </w:rPr>
        <w:t xml:space="preserve"> </w:t>
      </w:r>
      <w:r>
        <w:rPr>
          <w:rFonts w:hint="eastAsia" w:ascii="仿宋_GB2312"/>
          <w:szCs w:val="28"/>
        </w:rPr>
        <w:t>项目按照</w:t>
      </w:r>
      <w:r>
        <w:rPr>
          <w:rFonts w:hint="eastAsia" w:ascii="仿宋_GB2312"/>
          <w:szCs w:val="28"/>
          <w:lang w:eastAsia="zh-CN"/>
        </w:rPr>
        <w:t>《</w:t>
      </w:r>
      <w:r>
        <w:rPr>
          <w:rFonts w:hint="eastAsia" w:ascii="仿宋_GB2312"/>
          <w:szCs w:val="28"/>
          <w:lang w:val="en-US" w:eastAsia="zh-CN"/>
        </w:rPr>
        <w:t>乌鲁木齐市侨联项目管理制度》</w:t>
      </w:r>
      <w:r>
        <w:rPr>
          <w:rFonts w:hint="eastAsia" w:ascii="仿宋_GB2312"/>
          <w:szCs w:val="28"/>
        </w:rPr>
        <w:t>规定</w:t>
      </w:r>
      <w:r>
        <w:rPr>
          <w:rFonts w:hint="eastAsia" w:ascii="仿宋_GB2312"/>
          <w:szCs w:val="28"/>
          <w:lang w:eastAsia="zh-CN"/>
        </w:rPr>
        <w:t>，</w:t>
      </w:r>
      <w:r>
        <w:rPr>
          <w:rFonts w:hint="eastAsia" w:ascii="仿宋_GB2312"/>
          <w:szCs w:val="28"/>
          <w:lang w:val="en-US" w:eastAsia="zh-CN"/>
        </w:rPr>
        <w:t>由市侨联提出申请在党组会讨论，确定需要采购的范围、金额、用途，向财政局提出项目申请，经财政局审批后落实</w:t>
      </w:r>
      <w:r>
        <w:rPr>
          <w:rFonts w:hint="eastAsia" w:ascii="仿宋_GB2312"/>
          <w:szCs w:val="28"/>
          <w:highlight w:val="none"/>
          <w:lang w:val="en-US" w:eastAsia="zh-CN"/>
        </w:rPr>
        <w:t>，</w:t>
      </w:r>
      <w:r>
        <w:rPr>
          <w:rFonts w:hint="eastAsia" w:ascii="仿宋_GB2312"/>
          <w:szCs w:val="28"/>
          <w:highlight w:val="none"/>
        </w:rPr>
        <w:t>故立项程序规范，得4分。</w:t>
      </w:r>
    </w:p>
    <w:p w14:paraId="75E9C7B6">
      <w:pPr>
        <w:pageBreakBefore w:val="0"/>
        <w:kinsoku/>
        <w:wordWrap/>
        <w:overflowPunct/>
        <w:topLinePunct w:val="0"/>
        <w:autoSpaceDE w:val="0"/>
        <w:autoSpaceDN/>
        <w:bidi w:val="0"/>
        <w:adjustRightInd/>
        <w:snapToGrid/>
        <w:spacing w:line="560" w:lineRule="exact"/>
        <w:ind w:firstLine="562"/>
        <w:textAlignment w:val="auto"/>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8</w:t>
      </w:r>
      <w:r>
        <w:rPr>
          <w:rFonts w:hint="eastAsia" w:ascii="仿宋_GB2312" w:hAnsi="仿宋" w:cs="宋体"/>
          <w:b/>
          <w:kern w:val="0"/>
          <w:szCs w:val="28"/>
        </w:rPr>
        <w:t>分，得分</w:t>
      </w:r>
      <w:r>
        <w:rPr>
          <w:rFonts w:hint="eastAsia" w:ascii="仿宋_GB2312" w:hAnsi="仿宋" w:cs="宋体"/>
          <w:b/>
          <w:kern w:val="0"/>
          <w:szCs w:val="28"/>
          <w:lang w:val="en-US" w:eastAsia="zh-CN"/>
        </w:rPr>
        <w:t>8</w:t>
      </w:r>
      <w:r>
        <w:rPr>
          <w:rFonts w:hint="eastAsia" w:ascii="仿宋_GB2312" w:hAnsi="仿宋" w:cs="宋体"/>
          <w:b/>
          <w:kern w:val="0"/>
          <w:szCs w:val="28"/>
        </w:rPr>
        <w:t>分。</w:t>
      </w:r>
    </w:p>
    <w:p w14:paraId="03F2D138">
      <w:pPr>
        <w:pStyle w:val="4"/>
        <w:pageBreakBefore w:val="0"/>
        <w:kinsoku/>
        <w:wordWrap/>
        <w:overflowPunct/>
        <w:topLinePunct w:val="0"/>
        <w:autoSpaceDN/>
        <w:bidi w:val="0"/>
        <w:adjustRightInd/>
        <w:snapToGrid/>
        <w:spacing w:line="560" w:lineRule="exact"/>
        <w:ind w:firstLine="643"/>
        <w:textAlignment w:val="auto"/>
      </w:pPr>
      <w:bookmarkStart w:id="43" w:name="_Toc19545"/>
      <w:r>
        <w:rPr>
          <w:rFonts w:hint="eastAsia"/>
        </w:rPr>
        <w:t>2</w:t>
      </w:r>
      <w:r>
        <w:t>.</w:t>
      </w:r>
      <w:r>
        <w:rPr>
          <w:rFonts w:hint="eastAsia"/>
        </w:rPr>
        <w:t>绩效目标</w:t>
      </w:r>
      <w:bookmarkEnd w:id="43"/>
    </w:p>
    <w:p w14:paraId="50431E6C">
      <w:pPr>
        <w:pageBreakBefore w:val="0"/>
        <w:kinsoku/>
        <w:wordWrap/>
        <w:overflowPunct/>
        <w:topLinePunct w:val="0"/>
        <w:autoSpaceDN/>
        <w:bidi w:val="0"/>
        <w:adjustRightInd/>
        <w:snapToGrid/>
        <w:spacing w:line="560" w:lineRule="exact"/>
        <w:ind w:firstLine="562"/>
        <w:textAlignment w:val="auto"/>
        <w:rPr>
          <w:rFonts w:ascii="仿宋_GB2312"/>
          <w:szCs w:val="28"/>
        </w:rPr>
      </w:pPr>
      <w:r>
        <w:rPr>
          <w:rFonts w:hint="eastAsia" w:ascii="仿宋_GB2312"/>
          <w:b/>
          <w:bCs/>
          <w:szCs w:val="28"/>
        </w:rPr>
        <w:t>绩效目标合理性：</w:t>
      </w:r>
      <w:r>
        <w:rPr>
          <w:rFonts w:hint="eastAsia" w:ascii="仿宋_GB2312"/>
          <w:szCs w:val="28"/>
        </w:rPr>
        <w:t>本项目的绩效目标按照产出、效益和满意度构建绩效评价指标，且具有明确性、可衡量性、可实现性、相关性和时限性等特点，能较为全面地反映本项目的产出和效益，故绩效目标合理性指标得分</w:t>
      </w:r>
      <w:r>
        <w:rPr>
          <w:rFonts w:ascii="仿宋_GB2312"/>
          <w:szCs w:val="28"/>
        </w:rPr>
        <w:t>3</w:t>
      </w:r>
      <w:r>
        <w:rPr>
          <w:rFonts w:hint="eastAsia" w:ascii="仿宋_GB2312"/>
          <w:szCs w:val="28"/>
        </w:rPr>
        <w:t>分。</w:t>
      </w:r>
    </w:p>
    <w:p w14:paraId="230DD7FE">
      <w:pPr>
        <w:pageBreakBefore w:val="0"/>
        <w:kinsoku/>
        <w:wordWrap/>
        <w:overflowPunct/>
        <w:topLinePunct w:val="0"/>
        <w:autoSpaceDE w:val="0"/>
        <w:autoSpaceDN/>
        <w:bidi w:val="0"/>
        <w:adjustRightInd/>
        <w:snapToGrid/>
        <w:spacing w:line="560" w:lineRule="exact"/>
        <w:ind w:firstLine="562"/>
        <w:textAlignment w:val="auto"/>
        <w:rPr>
          <w:rFonts w:ascii="仿宋_GB2312" w:hAnsi="仿宋" w:cs="宋体"/>
          <w:kern w:val="0"/>
          <w:szCs w:val="28"/>
        </w:rPr>
      </w:pPr>
      <w:r>
        <w:rPr>
          <w:rFonts w:hint="eastAsia" w:ascii="仿宋_GB2312" w:hAnsi="仿宋" w:cs="宋体"/>
          <w:b/>
          <w:kern w:val="0"/>
          <w:szCs w:val="28"/>
        </w:rPr>
        <w:t>绩效目标明确性：</w:t>
      </w:r>
      <w:r>
        <w:rPr>
          <w:rFonts w:hint="eastAsia" w:ascii="仿宋_GB2312" w:hAnsi="仿宋" w:cs="宋体"/>
          <w:kern w:val="0"/>
          <w:szCs w:val="28"/>
        </w:rPr>
        <w:t>其中，目标已细化为具体的绩效指标</w:t>
      </w:r>
      <w:r>
        <w:rPr>
          <w:rFonts w:hint="eastAsia" w:ascii="仿宋_GB2312" w:hAnsi="仿宋" w:cs="宋体"/>
          <w:kern w:val="0"/>
          <w:szCs w:val="28"/>
          <w:lang w:val="en-US" w:eastAsia="zh-CN"/>
        </w:rPr>
        <w:t>10条</w:t>
      </w:r>
      <w:r>
        <w:rPr>
          <w:rFonts w:hint="eastAsia" w:ascii="仿宋_GB2312" w:hAnsi="仿宋" w:cs="宋体"/>
          <w:kern w:val="0"/>
          <w:szCs w:val="28"/>
        </w:rPr>
        <w:t>，可通过数量指标、</w:t>
      </w:r>
      <w:r>
        <w:rPr>
          <w:rFonts w:hint="eastAsia" w:ascii="仿宋_GB2312" w:hAnsi="仿宋" w:cs="宋体"/>
          <w:kern w:val="0"/>
          <w:szCs w:val="28"/>
          <w:lang w:val="en-US" w:eastAsia="zh-CN"/>
        </w:rPr>
        <w:t>质量指标、</w:t>
      </w:r>
      <w:r>
        <w:rPr>
          <w:rFonts w:hint="eastAsia" w:ascii="仿宋_GB2312" w:hAnsi="仿宋" w:cs="宋体"/>
          <w:kern w:val="0"/>
          <w:szCs w:val="28"/>
        </w:rPr>
        <w:t>时效指标</w:t>
      </w:r>
      <w:r>
        <w:rPr>
          <w:rFonts w:hint="eastAsia" w:ascii="仿宋_GB2312" w:hAnsi="仿宋" w:cs="宋体"/>
          <w:kern w:val="0"/>
          <w:szCs w:val="28"/>
          <w:lang w:eastAsia="zh-CN"/>
        </w:rPr>
        <w:t>、</w:t>
      </w:r>
      <w:r>
        <w:rPr>
          <w:rFonts w:hint="eastAsia" w:ascii="仿宋_GB2312" w:hAnsi="仿宋" w:cs="宋体"/>
          <w:kern w:val="0"/>
          <w:szCs w:val="28"/>
        </w:rPr>
        <w:t>成本指标</w:t>
      </w:r>
      <w:r>
        <w:rPr>
          <w:rFonts w:hint="eastAsia" w:ascii="仿宋_GB2312" w:hAnsi="仿宋" w:cs="宋体"/>
          <w:kern w:val="0"/>
          <w:szCs w:val="28"/>
          <w:lang w:eastAsia="zh-CN"/>
        </w:rPr>
        <w:t>、</w:t>
      </w:r>
      <w:r>
        <w:rPr>
          <w:rFonts w:hint="eastAsia" w:ascii="仿宋_GB2312" w:hAnsi="仿宋" w:cs="宋体"/>
          <w:kern w:val="0"/>
          <w:szCs w:val="28"/>
          <w:lang w:val="en-US" w:eastAsia="zh-CN"/>
        </w:rPr>
        <w:t>社会效益指标和满意度</w:t>
      </w:r>
      <w:r>
        <w:rPr>
          <w:rFonts w:hint="eastAsia" w:ascii="仿宋_GB2312" w:hAnsi="仿宋" w:cs="宋体"/>
          <w:kern w:val="0"/>
          <w:szCs w:val="28"/>
        </w:rPr>
        <w:t>予以量化，并具有确切的评价标准，且指标设定均与目标相关。各项指标均能在现实条件下收集到相关数据进行佐证</w:t>
      </w:r>
      <w:r>
        <w:rPr>
          <w:rFonts w:hint="eastAsia" w:ascii="仿宋_GB2312" w:hAnsi="仿宋" w:cs="宋体"/>
          <w:kern w:val="0"/>
          <w:szCs w:val="28"/>
          <w:lang w:eastAsia="zh-CN"/>
        </w:rPr>
        <w:t>，</w:t>
      </w:r>
      <w:r>
        <w:rPr>
          <w:rFonts w:hint="eastAsia" w:ascii="仿宋_GB2312" w:hAnsi="仿宋" w:cs="宋体"/>
          <w:kern w:val="0"/>
          <w:szCs w:val="28"/>
          <w:lang w:val="en-US" w:eastAsia="zh-CN"/>
        </w:rPr>
        <w:t>数量指标通过发表简报次数、实际购买家具数量等收集；成本指标通过发票、付款凭证收集；满意度指标通过满意度调查问卷收集</w:t>
      </w:r>
      <w:r>
        <w:rPr>
          <w:rFonts w:hint="eastAsia" w:ascii="仿宋_GB2312" w:hAnsi="仿宋" w:cs="宋体"/>
          <w:kern w:val="0"/>
          <w:szCs w:val="28"/>
        </w:rPr>
        <w:t>，并与当年项目年度计划相对应，故绩效目标明确性指标得分</w:t>
      </w:r>
      <w:r>
        <w:rPr>
          <w:rFonts w:ascii="仿宋_GB2312" w:hAnsi="仿宋" w:cs="宋体"/>
          <w:kern w:val="0"/>
          <w:szCs w:val="28"/>
        </w:rPr>
        <w:t>3</w:t>
      </w:r>
      <w:r>
        <w:rPr>
          <w:rFonts w:hint="eastAsia" w:ascii="仿宋_GB2312" w:hAnsi="仿宋" w:cs="宋体"/>
          <w:kern w:val="0"/>
          <w:szCs w:val="28"/>
        </w:rPr>
        <w:t>分。</w:t>
      </w:r>
    </w:p>
    <w:p w14:paraId="373CEFB8">
      <w:pPr>
        <w:pageBreakBefore w:val="0"/>
        <w:kinsoku/>
        <w:wordWrap/>
        <w:overflowPunct/>
        <w:topLinePunct w:val="0"/>
        <w:autoSpaceDE w:val="0"/>
        <w:autoSpaceDN/>
        <w:bidi w:val="0"/>
        <w:adjustRightInd/>
        <w:snapToGrid/>
        <w:spacing w:line="560" w:lineRule="exact"/>
        <w:ind w:firstLine="562"/>
        <w:textAlignment w:val="auto"/>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6</w:t>
      </w:r>
      <w:r>
        <w:rPr>
          <w:rFonts w:hint="eastAsia" w:ascii="仿宋_GB2312" w:hAnsi="仿宋" w:cs="宋体"/>
          <w:b/>
          <w:kern w:val="0"/>
          <w:szCs w:val="28"/>
        </w:rPr>
        <w:t>分，得分</w:t>
      </w:r>
      <w:r>
        <w:rPr>
          <w:rFonts w:hint="eastAsia" w:ascii="仿宋_GB2312" w:hAnsi="仿宋" w:cs="宋体"/>
          <w:b/>
          <w:kern w:val="0"/>
          <w:szCs w:val="28"/>
          <w:lang w:val="en-US" w:eastAsia="zh-CN"/>
        </w:rPr>
        <w:t>6</w:t>
      </w:r>
      <w:r>
        <w:rPr>
          <w:rFonts w:hint="eastAsia" w:ascii="仿宋_GB2312" w:hAnsi="仿宋" w:cs="宋体"/>
          <w:b/>
          <w:kern w:val="0"/>
          <w:szCs w:val="28"/>
        </w:rPr>
        <w:t>分。</w:t>
      </w:r>
    </w:p>
    <w:p w14:paraId="6C49211E">
      <w:pPr>
        <w:pStyle w:val="4"/>
        <w:pageBreakBefore w:val="0"/>
        <w:kinsoku/>
        <w:wordWrap/>
        <w:overflowPunct/>
        <w:topLinePunct w:val="0"/>
        <w:autoSpaceDN/>
        <w:bidi w:val="0"/>
        <w:adjustRightInd/>
        <w:snapToGrid/>
        <w:spacing w:line="560" w:lineRule="exact"/>
        <w:ind w:firstLine="643"/>
        <w:textAlignment w:val="auto"/>
      </w:pPr>
      <w:bookmarkStart w:id="44" w:name="_Toc11602"/>
      <w:r>
        <w:rPr>
          <w:rFonts w:hint="eastAsia"/>
        </w:rPr>
        <w:t>3.资金投入</w:t>
      </w:r>
      <w:bookmarkEnd w:id="44"/>
    </w:p>
    <w:p w14:paraId="5D6F4B10">
      <w:pPr>
        <w:pageBreakBefore w:val="0"/>
        <w:kinsoku/>
        <w:wordWrap/>
        <w:overflowPunct/>
        <w:topLinePunct w:val="0"/>
        <w:autoSpaceDE w:val="0"/>
        <w:autoSpaceDN/>
        <w:bidi w:val="0"/>
        <w:adjustRightInd/>
        <w:snapToGrid/>
        <w:spacing w:line="560" w:lineRule="exact"/>
        <w:ind w:firstLine="562"/>
        <w:textAlignment w:val="auto"/>
        <w:rPr>
          <w:rFonts w:ascii="仿宋_GB2312" w:hAnsi="仿宋" w:cs="宋体"/>
          <w:bCs/>
          <w:kern w:val="0"/>
          <w:szCs w:val="28"/>
        </w:rPr>
      </w:pPr>
      <w:r>
        <w:rPr>
          <w:rFonts w:hint="eastAsia" w:ascii="仿宋_GB2312" w:hAnsi="仿宋" w:cs="宋体"/>
          <w:b/>
          <w:kern w:val="0"/>
          <w:szCs w:val="28"/>
        </w:rPr>
        <w:t>预算编制科学性：</w:t>
      </w:r>
      <w:r>
        <w:rPr>
          <w:rFonts w:hint="eastAsia" w:ascii="仿宋_GB2312"/>
          <w:lang w:eastAsia="zh-CN"/>
        </w:rPr>
        <w:t>“</w:t>
      </w:r>
      <w:r>
        <w:rPr>
          <w:rFonts w:hint="eastAsia" w:ascii="仿宋_GB2312"/>
          <w:lang w:val="en-US" w:eastAsia="zh-CN"/>
        </w:rPr>
        <w:t>侨胞之家”采购室内设施</w:t>
      </w:r>
      <w:r>
        <w:rPr>
          <w:rFonts w:hint="eastAsia" w:ascii="仿宋_GB2312"/>
        </w:rPr>
        <w:t>项目</w:t>
      </w:r>
      <w:r>
        <w:rPr>
          <w:rFonts w:hint="eastAsia" w:ascii="仿宋_GB2312"/>
          <w:lang w:val="en-US" w:eastAsia="zh-CN"/>
        </w:rPr>
        <w:t>按照中国侨联提出的“五有建设”（有组织、有队伍、有经费、有阵地、有活动）的标准要求，遵循“以人为本、为侨服务”的根本宗旨，购买室内设施用以完善“侨胞之家”基本职能，将乌鲁木齐市机关“侨胞之家”建设成为我市海内外侨胞的基层活动中心，意识形态领域建设的重要阵地</w:t>
      </w:r>
      <w:r>
        <w:rPr>
          <w:rFonts w:hint="eastAsia" w:ascii="仿宋_GB2312" w:hAnsi="仿宋" w:cs="宋体"/>
          <w:b w:val="0"/>
          <w:bCs/>
          <w:kern w:val="0"/>
          <w:szCs w:val="28"/>
        </w:rPr>
        <w:t>。</w:t>
      </w:r>
      <w:r>
        <w:rPr>
          <w:rFonts w:hint="eastAsia" w:ascii="仿宋_GB2312" w:hAnsi="仿宋" w:cs="宋体"/>
          <w:kern w:val="0"/>
          <w:szCs w:val="28"/>
        </w:rPr>
        <w:t>故预算编制科学性指标得分</w:t>
      </w:r>
      <w:r>
        <w:rPr>
          <w:rFonts w:ascii="仿宋_GB2312" w:hAnsi="仿宋" w:cs="宋体"/>
          <w:kern w:val="0"/>
          <w:szCs w:val="28"/>
        </w:rPr>
        <w:t>3</w:t>
      </w:r>
      <w:r>
        <w:rPr>
          <w:rFonts w:hint="eastAsia" w:ascii="仿宋_GB2312" w:hAnsi="仿宋" w:cs="宋体"/>
          <w:kern w:val="0"/>
          <w:szCs w:val="28"/>
        </w:rPr>
        <w:t>分。故预算编制科学性指标得分</w:t>
      </w:r>
      <w:r>
        <w:rPr>
          <w:rFonts w:ascii="仿宋_GB2312" w:hAnsi="仿宋" w:cs="宋体"/>
          <w:kern w:val="0"/>
          <w:szCs w:val="28"/>
        </w:rPr>
        <w:t>3</w:t>
      </w:r>
      <w:r>
        <w:rPr>
          <w:rFonts w:hint="eastAsia" w:ascii="仿宋_GB2312" w:hAnsi="仿宋" w:cs="宋体"/>
          <w:kern w:val="0"/>
          <w:szCs w:val="28"/>
        </w:rPr>
        <w:t>分。</w:t>
      </w:r>
    </w:p>
    <w:p w14:paraId="4BE9C066">
      <w:pPr>
        <w:pageBreakBefore w:val="0"/>
        <w:kinsoku/>
        <w:wordWrap/>
        <w:overflowPunct/>
        <w:topLinePunct w:val="0"/>
        <w:autoSpaceDE w:val="0"/>
        <w:autoSpaceDN/>
        <w:bidi w:val="0"/>
        <w:adjustRightInd/>
        <w:snapToGrid/>
        <w:spacing w:line="560" w:lineRule="exact"/>
        <w:ind w:firstLine="0" w:firstLineChars="0"/>
        <w:textAlignment w:val="auto"/>
        <w:rPr>
          <w:rFonts w:ascii="仿宋_GB2312" w:hAnsi="仿宋" w:cs="宋体"/>
          <w:bCs/>
          <w:kern w:val="0"/>
          <w:szCs w:val="28"/>
        </w:rPr>
      </w:pPr>
    </w:p>
    <w:p w14:paraId="4DAA2C0C">
      <w:pPr>
        <w:pageBreakBefore w:val="0"/>
        <w:kinsoku/>
        <w:wordWrap/>
        <w:overflowPunct/>
        <w:topLinePunct w:val="0"/>
        <w:autoSpaceDN/>
        <w:bidi w:val="0"/>
        <w:adjustRightInd/>
        <w:snapToGrid/>
        <w:spacing w:line="560" w:lineRule="exact"/>
        <w:ind w:firstLine="562"/>
        <w:textAlignment w:val="auto"/>
      </w:pPr>
      <w:r>
        <w:rPr>
          <w:rFonts w:hint="eastAsia"/>
          <w:b/>
          <w:bCs/>
        </w:rPr>
        <w:t>资金分配合理性</w:t>
      </w:r>
      <w:r>
        <w:rPr>
          <w:rFonts w:hint="eastAsia"/>
        </w:rPr>
        <w:t>：</w:t>
      </w:r>
      <w:r>
        <w:t xml:space="preserve"> </w:t>
      </w:r>
      <w:r>
        <w:rPr>
          <w:rFonts w:hint="eastAsia"/>
          <w:lang w:val="en-US" w:eastAsia="zh-CN"/>
        </w:rPr>
        <w:t>根据“侨胞之家”建设的相关要求，保证其有阵地、有活动，故分配购买书架及展示柜设计服务2.17万元，采购投影仪等设备1.75万元，购买办公家具1.77万元，用来保证举办侨界活动时有场地</w:t>
      </w:r>
      <w:r>
        <w:rPr>
          <w:rFonts w:hint="eastAsia" w:ascii="仿宋_GB2312" w:hAnsi="仿宋" w:cs="宋体"/>
          <w:b/>
          <w:kern w:val="0"/>
          <w:szCs w:val="28"/>
        </w:rPr>
        <w:t>。</w:t>
      </w:r>
      <w:r>
        <w:rPr>
          <w:rFonts w:hint="eastAsia" w:ascii="仿宋_GB2312" w:hAnsi="仿宋" w:cs="宋体"/>
          <w:kern w:val="0"/>
          <w:szCs w:val="28"/>
        </w:rPr>
        <w:t>故资金分配合理性指标得分</w:t>
      </w:r>
      <w:r>
        <w:rPr>
          <w:rFonts w:ascii="仿宋_GB2312" w:hAnsi="仿宋" w:cs="宋体"/>
          <w:kern w:val="0"/>
          <w:szCs w:val="28"/>
        </w:rPr>
        <w:t>3</w:t>
      </w:r>
      <w:r>
        <w:rPr>
          <w:rFonts w:hint="eastAsia" w:ascii="仿宋_GB2312" w:hAnsi="仿宋" w:cs="宋体"/>
          <w:kern w:val="0"/>
          <w:szCs w:val="28"/>
        </w:rPr>
        <w:t>分。</w:t>
      </w:r>
    </w:p>
    <w:p w14:paraId="7FEA1E0A">
      <w:pPr>
        <w:pageBreakBefore w:val="0"/>
        <w:kinsoku/>
        <w:wordWrap/>
        <w:overflowPunct/>
        <w:topLinePunct w:val="0"/>
        <w:autoSpaceDE w:val="0"/>
        <w:autoSpaceDN/>
        <w:bidi w:val="0"/>
        <w:adjustRightInd/>
        <w:snapToGrid/>
        <w:spacing w:line="560" w:lineRule="exact"/>
        <w:ind w:firstLine="562"/>
        <w:textAlignment w:val="auto"/>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6</w:t>
      </w:r>
      <w:r>
        <w:rPr>
          <w:rFonts w:hint="eastAsia" w:ascii="仿宋_GB2312" w:hAnsi="仿宋" w:cs="宋体"/>
          <w:b/>
          <w:kern w:val="0"/>
          <w:szCs w:val="28"/>
        </w:rPr>
        <w:t>分，得分</w:t>
      </w:r>
      <w:r>
        <w:rPr>
          <w:rFonts w:hint="eastAsia" w:ascii="仿宋_GB2312" w:hAnsi="仿宋" w:cs="宋体"/>
          <w:b/>
          <w:kern w:val="0"/>
          <w:szCs w:val="28"/>
          <w:lang w:val="en-US" w:eastAsia="zh-CN"/>
        </w:rPr>
        <w:t>6</w:t>
      </w:r>
      <w:r>
        <w:rPr>
          <w:rFonts w:hint="eastAsia" w:ascii="仿宋_GB2312" w:hAnsi="仿宋" w:cs="宋体"/>
          <w:b/>
          <w:kern w:val="0"/>
          <w:szCs w:val="28"/>
        </w:rPr>
        <w:t>分。</w:t>
      </w:r>
    </w:p>
    <w:p w14:paraId="779D1095">
      <w:pPr>
        <w:pStyle w:val="3"/>
        <w:pageBreakBefore w:val="0"/>
        <w:kinsoku/>
        <w:wordWrap/>
        <w:overflowPunct/>
        <w:topLinePunct w:val="0"/>
        <w:autoSpaceDN/>
        <w:bidi w:val="0"/>
        <w:adjustRightInd/>
        <w:snapToGrid/>
        <w:spacing w:line="560" w:lineRule="exact"/>
        <w:ind w:firstLine="643"/>
        <w:textAlignment w:val="auto"/>
        <w:rPr>
          <w:rFonts w:ascii="仿宋" w:hAnsi="仿宋" w:eastAsia="仿宋"/>
          <w:lang w:bidi="en-US"/>
        </w:rPr>
      </w:pPr>
      <w:bookmarkStart w:id="45" w:name="_Toc67911613"/>
      <w:bookmarkStart w:id="46" w:name="_Toc31743"/>
      <w:r>
        <w:rPr>
          <w:rFonts w:hint="eastAsia" w:ascii="仿宋" w:hAnsi="仿宋" w:eastAsia="仿宋"/>
          <w:lang w:bidi="en-US"/>
        </w:rPr>
        <w:t>（二）项目过程情况</w:t>
      </w:r>
      <w:bookmarkEnd w:id="45"/>
      <w:bookmarkEnd w:id="46"/>
    </w:p>
    <w:p w14:paraId="77E7AC99">
      <w:pPr>
        <w:pageBreakBefore w:val="0"/>
        <w:kinsoku/>
        <w:wordWrap/>
        <w:overflowPunct/>
        <w:topLinePunct w:val="0"/>
        <w:autoSpaceDN/>
        <w:bidi w:val="0"/>
        <w:adjustRightInd/>
        <w:snapToGrid/>
        <w:spacing w:line="560" w:lineRule="exact"/>
        <w:ind w:firstLine="560"/>
        <w:textAlignment w:val="auto"/>
        <w:rPr>
          <w:rFonts w:ascii="仿宋_GB2312"/>
          <w:szCs w:val="28"/>
        </w:rPr>
      </w:pPr>
      <w:r>
        <w:rPr>
          <w:rFonts w:hint="eastAsia" w:ascii="仿宋_GB2312"/>
          <w:szCs w:val="28"/>
        </w:rPr>
        <w:t>项目过程指标由2个二级指标和</w:t>
      </w:r>
      <w:r>
        <w:rPr>
          <w:rFonts w:ascii="仿宋_GB2312"/>
          <w:szCs w:val="28"/>
        </w:rPr>
        <w:t>5</w:t>
      </w:r>
      <w:r>
        <w:rPr>
          <w:rFonts w:hint="eastAsia" w:ascii="仿宋_GB2312"/>
          <w:szCs w:val="28"/>
        </w:rPr>
        <w:t>个三级指标构成，权重为</w:t>
      </w:r>
      <w:r>
        <w:rPr>
          <w:rFonts w:ascii="仿宋_GB2312"/>
          <w:szCs w:val="28"/>
        </w:rPr>
        <w:t>20</w:t>
      </w:r>
      <w:r>
        <w:rPr>
          <w:rFonts w:hint="eastAsia" w:ascii="仿宋_GB2312"/>
          <w:szCs w:val="28"/>
        </w:rPr>
        <w:t>分，实际得分</w:t>
      </w:r>
      <w:r>
        <w:rPr>
          <w:rFonts w:hint="eastAsia" w:ascii="仿宋_GB2312"/>
          <w:szCs w:val="28"/>
          <w:lang w:val="en-US" w:eastAsia="zh-CN"/>
        </w:rPr>
        <w:t>20</w:t>
      </w:r>
      <w:r>
        <w:rPr>
          <w:rFonts w:hint="eastAsia" w:ascii="仿宋_GB2312"/>
          <w:szCs w:val="28"/>
        </w:rPr>
        <w:t>分。</w:t>
      </w:r>
    </w:p>
    <w:p w14:paraId="787E77D9">
      <w:pPr>
        <w:pStyle w:val="4"/>
        <w:pageBreakBefore w:val="0"/>
        <w:kinsoku/>
        <w:wordWrap/>
        <w:overflowPunct/>
        <w:topLinePunct w:val="0"/>
        <w:autoSpaceDN/>
        <w:bidi w:val="0"/>
        <w:adjustRightInd/>
        <w:snapToGrid/>
        <w:spacing w:line="560" w:lineRule="exact"/>
        <w:ind w:firstLine="643"/>
        <w:textAlignment w:val="auto"/>
      </w:pPr>
      <w:bookmarkStart w:id="47" w:name="_Toc13660"/>
      <w:r>
        <w:t>1.</w:t>
      </w:r>
      <w:r>
        <w:rPr>
          <w:rFonts w:hint="eastAsia"/>
        </w:rPr>
        <w:t>资金管理</w:t>
      </w:r>
      <w:bookmarkEnd w:id="47"/>
    </w:p>
    <w:p w14:paraId="2A4338F1">
      <w:pPr>
        <w:pageBreakBefore w:val="0"/>
        <w:kinsoku/>
        <w:wordWrap/>
        <w:overflowPunct/>
        <w:topLinePunct w:val="0"/>
        <w:autoSpaceDN/>
        <w:bidi w:val="0"/>
        <w:adjustRightInd/>
        <w:snapToGrid/>
        <w:spacing w:line="560" w:lineRule="exact"/>
        <w:ind w:firstLine="562"/>
        <w:textAlignment w:val="auto"/>
        <w:rPr>
          <w:rFonts w:ascii="仿宋_GB2312"/>
          <w:szCs w:val="28"/>
        </w:rPr>
      </w:pPr>
      <w:r>
        <w:rPr>
          <w:rFonts w:hint="eastAsia" w:ascii="仿宋_GB2312"/>
          <w:b/>
          <w:bCs/>
          <w:szCs w:val="28"/>
        </w:rPr>
        <w:t>资金到位率：</w:t>
      </w:r>
      <w:r>
        <w:t xml:space="preserve"> </w:t>
      </w:r>
      <w:r>
        <w:rPr>
          <w:rFonts w:hint="eastAsia" w:ascii="仿宋_GB2312" w:hAnsi="仿宋" w:cs="宋体"/>
          <w:b w:val="0"/>
          <w:bCs/>
          <w:kern w:val="0"/>
          <w:szCs w:val="28"/>
          <w:lang w:val="en-US" w:eastAsia="zh-CN"/>
        </w:rPr>
        <w:t>该项目资金由财政拨付，在2023年3月到位，项目预算资金5.69万元，实际到位资金5.69万元，于2023年3月20日全部支出，实际支出5.69万元，资金到位率100%</w:t>
      </w:r>
      <w:r>
        <w:rPr>
          <w:rFonts w:hint="eastAsia" w:ascii="仿宋_GB2312" w:hAnsi="仿宋" w:cs="宋体"/>
          <w:b w:val="0"/>
          <w:bCs/>
          <w:kern w:val="0"/>
          <w:szCs w:val="28"/>
        </w:rPr>
        <w:t>。故资金到位率指标得分</w:t>
      </w:r>
      <w:r>
        <w:rPr>
          <w:rFonts w:hint="eastAsia" w:ascii="仿宋_GB2312" w:hAnsi="仿宋" w:cs="宋体"/>
          <w:b w:val="0"/>
          <w:bCs/>
          <w:kern w:val="0"/>
          <w:szCs w:val="28"/>
          <w:lang w:val="en-US" w:eastAsia="zh-CN"/>
        </w:rPr>
        <w:t>5</w:t>
      </w:r>
      <w:r>
        <w:rPr>
          <w:rFonts w:hint="eastAsia" w:ascii="仿宋_GB2312" w:hAnsi="仿宋" w:cs="宋体"/>
          <w:b w:val="0"/>
          <w:bCs/>
          <w:kern w:val="0"/>
          <w:szCs w:val="28"/>
        </w:rPr>
        <w:t>分</w:t>
      </w:r>
      <w:r>
        <w:rPr>
          <w:rFonts w:hint="eastAsia" w:ascii="仿宋_GB2312" w:hAnsi="仿宋" w:cs="宋体"/>
          <w:b/>
          <w:kern w:val="0"/>
          <w:szCs w:val="28"/>
        </w:rPr>
        <w:t>。</w:t>
      </w:r>
    </w:p>
    <w:p w14:paraId="1D301C48">
      <w:pPr>
        <w:pageBreakBefore w:val="0"/>
        <w:kinsoku/>
        <w:wordWrap/>
        <w:overflowPunct/>
        <w:topLinePunct w:val="0"/>
        <w:autoSpaceDN/>
        <w:bidi w:val="0"/>
        <w:adjustRightInd/>
        <w:snapToGrid/>
        <w:spacing w:line="560" w:lineRule="exact"/>
        <w:ind w:firstLine="562"/>
        <w:textAlignment w:val="auto"/>
        <w:rPr>
          <w:rFonts w:ascii="仿宋_GB2312"/>
          <w:szCs w:val="28"/>
        </w:rPr>
      </w:pPr>
      <w:r>
        <w:rPr>
          <w:rFonts w:hint="eastAsia" w:ascii="仿宋_GB2312"/>
          <w:b/>
          <w:bCs/>
          <w:szCs w:val="28"/>
        </w:rPr>
        <w:t>预算执行率：</w:t>
      </w:r>
      <w:r>
        <w:rPr>
          <w:rFonts w:hint="eastAsia" w:ascii="仿宋_GB2312"/>
          <w:b w:val="0"/>
          <w:bCs w:val="0"/>
          <w:szCs w:val="28"/>
          <w:lang w:val="en-US" w:eastAsia="zh-CN"/>
        </w:rPr>
        <w:t>购买展示柜和宣传书架设计服务2.17万元于2023年3月20日支付给米东区艺嘉广告设计制作部；采购投影仪及配套设备1.74万元于2023年3月20日支付给天山区中山路永泰广兴电子产品经销部；购买办公家具于2023年3月20日支付给新疆吉瑞祥科技股份有限公司，预算执行率100%</w:t>
      </w:r>
      <w:r>
        <w:rPr>
          <w:rFonts w:hint="eastAsia" w:ascii="仿宋_GB2312"/>
          <w:b w:val="0"/>
          <w:bCs w:val="0"/>
          <w:szCs w:val="28"/>
        </w:rPr>
        <w:t>。</w:t>
      </w:r>
      <w:r>
        <w:rPr>
          <w:rFonts w:hint="eastAsia" w:ascii="仿宋_GB2312"/>
          <w:szCs w:val="28"/>
        </w:rPr>
        <w:t>故预算执行率得分为</w:t>
      </w:r>
      <w:r>
        <w:rPr>
          <w:rFonts w:hint="eastAsia" w:ascii="仿宋_GB2312"/>
          <w:szCs w:val="28"/>
          <w:lang w:val="en-US" w:eastAsia="zh-CN"/>
        </w:rPr>
        <w:t>5</w:t>
      </w:r>
      <w:r>
        <w:rPr>
          <w:rFonts w:hint="eastAsia" w:ascii="仿宋_GB2312"/>
          <w:szCs w:val="28"/>
        </w:rPr>
        <w:t>分。</w:t>
      </w:r>
    </w:p>
    <w:p w14:paraId="59E2A238">
      <w:pPr>
        <w:pageBreakBefore w:val="0"/>
        <w:kinsoku/>
        <w:wordWrap/>
        <w:overflowPunct/>
        <w:topLinePunct w:val="0"/>
        <w:autoSpaceDN/>
        <w:bidi w:val="0"/>
        <w:adjustRightInd/>
        <w:snapToGrid/>
        <w:spacing w:line="560" w:lineRule="exact"/>
        <w:ind w:firstLine="562"/>
        <w:textAlignment w:val="auto"/>
        <w:rPr>
          <w:rFonts w:ascii="仿宋_GB2312"/>
          <w:szCs w:val="28"/>
        </w:rPr>
      </w:pPr>
      <w:r>
        <w:rPr>
          <w:rFonts w:hint="eastAsia" w:ascii="仿宋_GB2312"/>
          <w:b/>
          <w:bCs/>
          <w:szCs w:val="28"/>
        </w:rPr>
        <w:t>资金使用合规性：</w:t>
      </w:r>
      <w:r>
        <w:rPr>
          <w:rFonts w:hint="eastAsia" w:ascii="仿宋_GB2312"/>
          <w:szCs w:val="28"/>
        </w:rPr>
        <w:t>本项目资金的使用符合《中共中央</w:t>
      </w:r>
      <w:r>
        <w:rPr>
          <w:rFonts w:hint="eastAsia" w:ascii="仿宋_GB2312"/>
          <w:szCs w:val="28"/>
          <w:lang w:val="en-US" w:eastAsia="zh-CN"/>
        </w:rPr>
        <w:t xml:space="preserve"> </w:t>
      </w:r>
      <w:bookmarkStart w:id="72" w:name="_GoBack"/>
      <w:bookmarkEnd w:id="72"/>
      <w:r>
        <w:rPr>
          <w:rFonts w:hint="eastAsia" w:ascii="仿宋_GB2312"/>
          <w:szCs w:val="28"/>
        </w:rPr>
        <w:t>国务院关于全面实施预算绩效管理的意见》（中发〔2018〕34号）</w:t>
      </w:r>
      <w:r>
        <w:rPr>
          <w:rFonts w:hint="eastAsia" w:ascii="仿宋_GB2312"/>
          <w:szCs w:val="28"/>
          <w:lang w:eastAsia="zh-CN"/>
        </w:rPr>
        <w:t>、</w:t>
      </w:r>
      <w:r>
        <w:rPr>
          <w:rFonts w:hint="eastAsia" w:ascii="仿宋_GB2312"/>
          <w:szCs w:val="28"/>
        </w:rPr>
        <w:t>《关于印发&lt;乌鲁木齐市本级部门预算绩效目标管理暂行办法&gt;的通知》（乌财预〔2018〕56号）</w:t>
      </w:r>
      <w:r>
        <w:rPr>
          <w:rFonts w:hint="eastAsia" w:ascii="仿宋_GB2312"/>
          <w:szCs w:val="28"/>
          <w:lang w:eastAsia="zh-CN"/>
        </w:rPr>
        <w:t>、</w:t>
      </w:r>
      <w:r>
        <w:rPr>
          <w:rFonts w:hint="eastAsia" w:ascii="仿宋_GB2312"/>
          <w:szCs w:val="28"/>
        </w:rPr>
        <w:t>《关于做好2019年部门预算项目支出绩效目标管理有关事宜的通知》（乌财预〔2018〕76号）</w:t>
      </w:r>
      <w:r>
        <w:rPr>
          <w:rFonts w:hint="eastAsia" w:ascii="仿宋_GB2312"/>
          <w:szCs w:val="28"/>
          <w:lang w:eastAsia="zh-CN"/>
        </w:rPr>
        <w:t>、</w:t>
      </w:r>
      <w:r>
        <w:rPr>
          <w:rFonts w:hint="eastAsia" w:ascii="仿宋_GB2312"/>
          <w:szCs w:val="28"/>
        </w:rPr>
        <w:t>《项目支出绩效评价管理办法》（财预〔2020〕10号）</w:t>
      </w:r>
      <w:r>
        <w:rPr>
          <w:rFonts w:hint="eastAsia" w:ascii="仿宋_GB2312"/>
          <w:szCs w:val="28"/>
          <w:lang w:val="en-US" w:eastAsia="zh-CN"/>
        </w:rPr>
        <w:t>等</w:t>
      </w:r>
      <w:r>
        <w:rPr>
          <w:rFonts w:hint="eastAsia" w:ascii="仿宋_GB2312"/>
          <w:szCs w:val="28"/>
        </w:rPr>
        <w:t>国家财经法规和</w:t>
      </w:r>
      <w:r>
        <w:rPr>
          <w:rFonts w:hint="eastAsia" w:ascii="仿宋_GB2312"/>
          <w:szCs w:val="28"/>
          <w:lang w:eastAsia="zh-CN"/>
        </w:rPr>
        <w:t>《</w:t>
      </w:r>
      <w:r>
        <w:rPr>
          <w:rFonts w:hint="eastAsia" w:ascii="仿宋_GB2312"/>
          <w:szCs w:val="28"/>
          <w:lang w:val="en-US" w:eastAsia="zh-CN"/>
        </w:rPr>
        <w:t>乌鲁木齐市侨联</w:t>
      </w:r>
      <w:r>
        <w:rPr>
          <w:rFonts w:hint="eastAsia" w:ascii="仿宋_GB2312"/>
          <w:szCs w:val="28"/>
        </w:rPr>
        <w:t>财务管理制度</w:t>
      </w:r>
      <w:r>
        <w:rPr>
          <w:rFonts w:hint="eastAsia" w:ascii="仿宋_GB2312"/>
          <w:szCs w:val="28"/>
          <w:lang w:eastAsia="zh-CN"/>
        </w:rPr>
        <w:t>》</w:t>
      </w:r>
      <w:r>
        <w:rPr>
          <w:rFonts w:hint="eastAsia" w:ascii="仿宋_GB2312"/>
          <w:szCs w:val="28"/>
        </w:rPr>
        <w:t>以及有关专项资金管理办法的规定。同时，资金的拨付有完整的审批程序和手续，符合项目预算批复</w:t>
      </w:r>
      <w:r>
        <w:rPr>
          <w:rFonts w:hint="eastAsia" w:ascii="仿宋_GB2312"/>
          <w:szCs w:val="28"/>
          <w:lang w:val="en-US" w:eastAsia="zh-CN"/>
        </w:rPr>
        <w:t>和</w:t>
      </w:r>
      <w:r>
        <w:rPr>
          <w:rFonts w:hint="eastAsia" w:ascii="仿宋_GB2312"/>
          <w:szCs w:val="28"/>
        </w:rPr>
        <w:t>合同规定的用途，</w:t>
      </w:r>
      <w:r>
        <w:rPr>
          <w:rFonts w:hint="eastAsia" w:ascii="仿宋_GB2312"/>
          <w:szCs w:val="28"/>
          <w:lang w:val="en-US" w:eastAsia="zh-CN"/>
        </w:rPr>
        <w:t>每笔支出均通过政采云签订合同，</w:t>
      </w:r>
      <w:r>
        <w:rPr>
          <w:rFonts w:hint="eastAsia" w:ascii="仿宋_GB2312"/>
          <w:szCs w:val="28"/>
        </w:rPr>
        <w:t>不存在截留、挤占、挪用、虚列支出等情况。故资金使用合规性得分为3分。</w:t>
      </w:r>
    </w:p>
    <w:p w14:paraId="0CC14777">
      <w:pPr>
        <w:pageBreakBefore w:val="0"/>
        <w:kinsoku/>
        <w:wordWrap/>
        <w:overflowPunct/>
        <w:topLinePunct w:val="0"/>
        <w:autoSpaceDE w:val="0"/>
        <w:autoSpaceDN/>
        <w:bidi w:val="0"/>
        <w:adjustRightInd/>
        <w:snapToGrid/>
        <w:spacing w:line="560" w:lineRule="exact"/>
        <w:ind w:firstLine="562"/>
        <w:textAlignment w:val="auto"/>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13</w:t>
      </w:r>
      <w:r>
        <w:rPr>
          <w:rFonts w:hint="eastAsia" w:ascii="仿宋_GB2312" w:hAnsi="仿宋" w:cs="宋体"/>
          <w:b/>
          <w:kern w:val="0"/>
          <w:szCs w:val="28"/>
        </w:rPr>
        <w:t>分，得分</w:t>
      </w:r>
      <w:r>
        <w:rPr>
          <w:rFonts w:hint="eastAsia" w:ascii="仿宋_GB2312" w:hAnsi="仿宋" w:cs="宋体"/>
          <w:b/>
          <w:kern w:val="0"/>
          <w:szCs w:val="28"/>
          <w:lang w:val="en-US" w:eastAsia="zh-CN"/>
        </w:rPr>
        <w:t>13</w:t>
      </w:r>
      <w:r>
        <w:rPr>
          <w:rFonts w:hint="eastAsia" w:ascii="仿宋_GB2312" w:hAnsi="仿宋" w:cs="宋体"/>
          <w:b/>
          <w:kern w:val="0"/>
          <w:szCs w:val="28"/>
        </w:rPr>
        <w:t>分。</w:t>
      </w:r>
    </w:p>
    <w:p w14:paraId="4CD1C287">
      <w:pPr>
        <w:pStyle w:val="4"/>
        <w:pageBreakBefore w:val="0"/>
        <w:kinsoku/>
        <w:wordWrap/>
        <w:overflowPunct/>
        <w:topLinePunct w:val="0"/>
        <w:autoSpaceDN/>
        <w:bidi w:val="0"/>
        <w:adjustRightInd/>
        <w:snapToGrid/>
        <w:spacing w:line="560" w:lineRule="exact"/>
        <w:ind w:firstLine="643"/>
        <w:textAlignment w:val="auto"/>
      </w:pPr>
      <w:bookmarkStart w:id="48" w:name="_Toc27268"/>
      <w:r>
        <w:t>2.</w:t>
      </w:r>
      <w:r>
        <w:rPr>
          <w:rFonts w:hint="eastAsia"/>
        </w:rPr>
        <w:t>组织实施</w:t>
      </w:r>
      <w:bookmarkEnd w:id="48"/>
    </w:p>
    <w:p w14:paraId="5B46C0C6">
      <w:pPr>
        <w:pageBreakBefore w:val="0"/>
        <w:kinsoku/>
        <w:wordWrap/>
        <w:overflowPunct/>
        <w:topLinePunct w:val="0"/>
        <w:autoSpaceDN/>
        <w:bidi w:val="0"/>
        <w:adjustRightInd/>
        <w:snapToGrid/>
        <w:spacing w:line="560" w:lineRule="exact"/>
        <w:ind w:firstLine="562"/>
        <w:textAlignment w:val="auto"/>
        <w:rPr>
          <w:rFonts w:ascii="仿宋_GB2312"/>
          <w:szCs w:val="28"/>
        </w:rPr>
      </w:pPr>
      <w:r>
        <w:rPr>
          <w:rFonts w:hint="eastAsia" w:ascii="仿宋_GB2312"/>
          <w:b/>
          <w:bCs/>
          <w:szCs w:val="28"/>
        </w:rPr>
        <w:t>管理制度健全性</w:t>
      </w:r>
      <w:r>
        <w:rPr>
          <w:rFonts w:hint="eastAsia" w:ascii="仿宋_GB2312"/>
          <w:szCs w:val="28"/>
        </w:rPr>
        <w:t>：</w:t>
      </w:r>
      <w:r>
        <w:rPr>
          <w:rFonts w:hint="eastAsia" w:ascii="仿宋_GB2312"/>
          <w:szCs w:val="28"/>
          <w:lang w:val="en-US" w:eastAsia="zh-CN"/>
        </w:rPr>
        <w:t>乌鲁木齐市归国华侨联合会</w:t>
      </w:r>
      <w:r>
        <w:rPr>
          <w:rFonts w:hint="eastAsia" w:ascii="仿宋_GB2312"/>
          <w:szCs w:val="28"/>
        </w:rPr>
        <w:t>已制定</w:t>
      </w:r>
      <w:r>
        <w:rPr>
          <w:rFonts w:hint="eastAsia" w:ascii="仿宋_GB2312"/>
          <w:szCs w:val="28"/>
          <w:lang w:eastAsia="zh-CN"/>
        </w:rPr>
        <w:t>《</w:t>
      </w:r>
      <w:r>
        <w:rPr>
          <w:rFonts w:hint="eastAsia" w:ascii="仿宋_GB2312"/>
          <w:szCs w:val="28"/>
          <w:lang w:val="en-US" w:eastAsia="zh-CN"/>
        </w:rPr>
        <w:t>乌鲁木齐市侨联财务管理制度》、《乌鲁木齐市侨联内部控制管理办法》和《乌鲁木齐市侨联资金管理制度》</w:t>
      </w:r>
      <w:r>
        <w:rPr>
          <w:rFonts w:hint="eastAsia" w:ascii="仿宋_GB2312"/>
          <w:szCs w:val="28"/>
        </w:rPr>
        <w:t>，且制度合法、合规、完整，为项目顺利实施提供重要保障。故管理制度健全性得分为3分。</w:t>
      </w:r>
    </w:p>
    <w:p w14:paraId="5F7C5BEF">
      <w:pPr>
        <w:pageBreakBefore w:val="0"/>
        <w:kinsoku/>
        <w:wordWrap/>
        <w:overflowPunct/>
        <w:topLinePunct w:val="0"/>
        <w:autoSpaceDN/>
        <w:bidi w:val="0"/>
        <w:adjustRightInd/>
        <w:snapToGrid/>
        <w:spacing w:line="560" w:lineRule="exact"/>
        <w:ind w:firstLine="562"/>
        <w:textAlignment w:val="auto"/>
        <w:rPr>
          <w:rFonts w:ascii="仿宋_GB2312"/>
          <w:szCs w:val="28"/>
        </w:rPr>
      </w:pPr>
      <w:r>
        <w:rPr>
          <w:rFonts w:hint="eastAsia" w:ascii="仿宋_GB2312"/>
          <w:b/>
          <w:bCs/>
          <w:szCs w:val="28"/>
        </w:rPr>
        <w:t>制度执行有效性：</w:t>
      </w:r>
      <w:r>
        <w:rPr>
          <w:rFonts w:hint="eastAsia" w:ascii="仿宋_GB2312"/>
          <w:szCs w:val="28"/>
        </w:rPr>
        <w:t>根据现场调研和资料抽查情况，</w:t>
      </w:r>
      <w:r>
        <w:rPr>
          <w:rFonts w:hint="eastAsia" w:ascii="仿宋_GB2312"/>
          <w:szCs w:val="28"/>
          <w:lang w:val="en-US" w:eastAsia="zh-CN"/>
        </w:rPr>
        <w:t>乌鲁木齐市归国华侨联合会</w:t>
      </w:r>
      <w:r>
        <w:rPr>
          <w:rFonts w:hint="eastAsia" w:ascii="仿宋_GB2312"/>
          <w:szCs w:val="28"/>
        </w:rPr>
        <w:t>严格遵守相关法律法规和相关管理规定，项目调整及支出调整手续完备，整体管理合理有序，项目完成后，及时将会计凭证、</w:t>
      </w:r>
      <w:r>
        <w:rPr>
          <w:rFonts w:hint="eastAsia" w:ascii="仿宋_GB2312"/>
          <w:szCs w:val="28"/>
          <w:lang w:val="en-US" w:eastAsia="zh-CN"/>
        </w:rPr>
        <w:t>批复文件</w:t>
      </w:r>
      <w:r>
        <w:rPr>
          <w:rFonts w:hint="eastAsia" w:ascii="仿宋_GB2312"/>
          <w:szCs w:val="28"/>
        </w:rPr>
        <w:t>等相关资料分类归档，制度执行有效。</w:t>
      </w:r>
      <w:r>
        <w:rPr>
          <w:rFonts w:hint="eastAsia" w:ascii="仿宋_GB2312"/>
          <w:szCs w:val="28"/>
          <w:lang w:val="en-US" w:eastAsia="zh-CN"/>
        </w:rPr>
        <w:t xml:space="preserve"> </w:t>
      </w:r>
      <w:r>
        <w:rPr>
          <w:rFonts w:hint="eastAsia" w:ascii="仿宋_GB2312"/>
          <w:szCs w:val="28"/>
        </w:rPr>
        <w:t>故制度执行有效性指标得分</w:t>
      </w:r>
      <w:r>
        <w:rPr>
          <w:rFonts w:ascii="仿宋_GB2312"/>
          <w:szCs w:val="28"/>
        </w:rPr>
        <w:t>4</w:t>
      </w:r>
      <w:r>
        <w:rPr>
          <w:rFonts w:hint="eastAsia" w:ascii="仿宋_GB2312"/>
          <w:szCs w:val="28"/>
        </w:rPr>
        <w:t>分。</w:t>
      </w:r>
    </w:p>
    <w:p w14:paraId="72F162F6">
      <w:pPr>
        <w:pageBreakBefore w:val="0"/>
        <w:kinsoku/>
        <w:wordWrap/>
        <w:overflowPunct/>
        <w:topLinePunct w:val="0"/>
        <w:autoSpaceDE w:val="0"/>
        <w:autoSpaceDN/>
        <w:bidi w:val="0"/>
        <w:adjustRightInd/>
        <w:snapToGrid/>
        <w:spacing w:line="560" w:lineRule="exact"/>
        <w:ind w:firstLine="562"/>
        <w:textAlignment w:val="auto"/>
        <w:rPr>
          <w:rFonts w:ascii="仿宋_GB2312" w:hAnsi="仿宋" w:cs="宋体"/>
          <w:b/>
          <w:kern w:val="0"/>
          <w:szCs w:val="28"/>
        </w:rPr>
      </w:pPr>
      <w:bookmarkStart w:id="49" w:name="_Hlk67670213"/>
      <w:r>
        <w:rPr>
          <w:rFonts w:hint="eastAsia" w:ascii="仿宋_GB2312" w:hAnsi="仿宋" w:cs="宋体"/>
          <w:b/>
          <w:kern w:val="0"/>
          <w:szCs w:val="28"/>
        </w:rPr>
        <w:t>综上，该指标满分</w:t>
      </w:r>
      <w:r>
        <w:rPr>
          <w:rFonts w:ascii="仿宋_GB2312" w:hAnsi="仿宋" w:cs="宋体"/>
          <w:b/>
          <w:kern w:val="0"/>
          <w:szCs w:val="28"/>
        </w:rPr>
        <w:t>7</w:t>
      </w:r>
      <w:r>
        <w:rPr>
          <w:rFonts w:hint="eastAsia" w:ascii="仿宋_GB2312" w:hAnsi="仿宋" w:cs="宋体"/>
          <w:b/>
          <w:kern w:val="0"/>
          <w:szCs w:val="28"/>
        </w:rPr>
        <w:t>分，得分</w:t>
      </w:r>
      <w:r>
        <w:rPr>
          <w:rFonts w:ascii="仿宋_GB2312" w:hAnsi="仿宋" w:cs="宋体"/>
          <w:b/>
          <w:kern w:val="0"/>
          <w:szCs w:val="28"/>
        </w:rPr>
        <w:t>7</w:t>
      </w:r>
      <w:r>
        <w:rPr>
          <w:rFonts w:hint="eastAsia" w:ascii="仿宋_GB2312" w:hAnsi="仿宋" w:cs="宋体"/>
          <w:b/>
          <w:kern w:val="0"/>
          <w:szCs w:val="28"/>
        </w:rPr>
        <w:t>分。</w:t>
      </w:r>
    </w:p>
    <w:bookmarkEnd w:id="49"/>
    <w:p w14:paraId="055F0B87">
      <w:pPr>
        <w:pStyle w:val="3"/>
        <w:pageBreakBefore w:val="0"/>
        <w:kinsoku/>
        <w:wordWrap/>
        <w:overflowPunct/>
        <w:topLinePunct w:val="0"/>
        <w:autoSpaceDN/>
        <w:bidi w:val="0"/>
        <w:adjustRightInd/>
        <w:snapToGrid/>
        <w:spacing w:line="560" w:lineRule="exact"/>
        <w:ind w:firstLine="643"/>
        <w:textAlignment w:val="auto"/>
        <w:rPr>
          <w:rFonts w:ascii="仿宋" w:hAnsi="仿宋" w:eastAsia="仿宋"/>
          <w:lang w:bidi="en-US"/>
        </w:rPr>
      </w:pPr>
      <w:bookmarkStart w:id="50" w:name="_Toc29439"/>
      <w:bookmarkStart w:id="51" w:name="_Toc67911614"/>
      <w:r>
        <w:rPr>
          <w:rFonts w:hint="eastAsia" w:ascii="仿宋" w:hAnsi="仿宋" w:eastAsia="仿宋"/>
          <w:lang w:bidi="en-US"/>
        </w:rPr>
        <w:t>（三）项目产出情况</w:t>
      </w:r>
      <w:bookmarkEnd w:id="50"/>
      <w:bookmarkEnd w:id="51"/>
    </w:p>
    <w:p w14:paraId="1BCBA1D5">
      <w:pPr>
        <w:pageBreakBefore w:val="0"/>
        <w:kinsoku/>
        <w:wordWrap/>
        <w:overflowPunct/>
        <w:topLinePunct w:val="0"/>
        <w:autoSpaceDN/>
        <w:bidi w:val="0"/>
        <w:adjustRightInd/>
        <w:snapToGrid/>
        <w:spacing w:line="560" w:lineRule="exact"/>
        <w:ind w:firstLine="560"/>
        <w:textAlignment w:val="auto"/>
        <w:rPr>
          <w:rFonts w:ascii="仿宋_GB2312"/>
          <w:szCs w:val="28"/>
        </w:rPr>
      </w:pPr>
      <w:r>
        <w:rPr>
          <w:rFonts w:hint="eastAsia" w:ascii="仿宋_GB2312"/>
          <w:szCs w:val="28"/>
        </w:rPr>
        <w:t>项目产出指标由</w:t>
      </w:r>
      <w:r>
        <w:rPr>
          <w:rFonts w:ascii="仿宋_GB2312"/>
          <w:szCs w:val="28"/>
        </w:rPr>
        <w:t>4</w:t>
      </w:r>
      <w:r>
        <w:rPr>
          <w:rFonts w:hint="eastAsia" w:ascii="仿宋_GB2312"/>
          <w:szCs w:val="28"/>
        </w:rPr>
        <w:t>个二级指标和</w:t>
      </w:r>
      <w:r>
        <w:rPr>
          <w:rFonts w:hint="eastAsia" w:ascii="仿宋_GB2312"/>
          <w:szCs w:val="28"/>
          <w:lang w:val="en-US" w:eastAsia="zh-CN"/>
        </w:rPr>
        <w:t>8</w:t>
      </w:r>
      <w:r>
        <w:rPr>
          <w:rFonts w:hint="eastAsia" w:ascii="仿宋_GB2312"/>
          <w:szCs w:val="28"/>
        </w:rPr>
        <w:t>个三级指标构成，权重为</w:t>
      </w:r>
      <w:r>
        <w:rPr>
          <w:rFonts w:ascii="仿宋_GB2312"/>
          <w:szCs w:val="28"/>
        </w:rPr>
        <w:t>40</w:t>
      </w:r>
      <w:r>
        <w:rPr>
          <w:rFonts w:hint="eastAsia" w:ascii="仿宋_GB2312"/>
          <w:szCs w:val="28"/>
        </w:rPr>
        <w:t>分，实际得分</w:t>
      </w:r>
      <w:r>
        <w:rPr>
          <w:rFonts w:hint="eastAsia" w:ascii="仿宋_GB2312"/>
          <w:szCs w:val="28"/>
          <w:lang w:val="en-US" w:eastAsia="zh-CN"/>
        </w:rPr>
        <w:t>40</w:t>
      </w:r>
      <w:r>
        <w:rPr>
          <w:rFonts w:hint="eastAsia" w:ascii="仿宋_GB2312"/>
          <w:szCs w:val="28"/>
        </w:rPr>
        <w:t>分。</w:t>
      </w:r>
    </w:p>
    <w:p w14:paraId="7131785B">
      <w:pPr>
        <w:pStyle w:val="4"/>
        <w:pageBreakBefore w:val="0"/>
        <w:kinsoku/>
        <w:wordWrap/>
        <w:overflowPunct/>
        <w:topLinePunct w:val="0"/>
        <w:autoSpaceDN/>
        <w:bidi w:val="0"/>
        <w:adjustRightInd/>
        <w:snapToGrid/>
        <w:spacing w:line="560" w:lineRule="exact"/>
        <w:ind w:firstLine="643"/>
        <w:textAlignment w:val="auto"/>
      </w:pPr>
      <w:bookmarkStart w:id="52" w:name="_Toc16040"/>
      <w:r>
        <w:rPr>
          <w:rFonts w:hint="eastAsia"/>
        </w:rPr>
        <w:t>1</w:t>
      </w:r>
      <w:r>
        <w:t>.</w:t>
      </w:r>
      <w:r>
        <w:rPr>
          <w:rFonts w:hint="eastAsia"/>
        </w:rPr>
        <w:t>产出数量</w:t>
      </w:r>
      <w:bookmarkEnd w:id="52"/>
    </w:p>
    <w:p w14:paraId="6247762B">
      <w:pPr>
        <w:bidi w:val="0"/>
        <w:rPr>
          <w:rFonts w:hint="eastAsia"/>
          <w:lang w:eastAsia="zh-CN"/>
        </w:rPr>
      </w:pPr>
      <w:r>
        <w:rPr>
          <w:rFonts w:hint="eastAsia"/>
        </w:rPr>
        <w:t>数量指标“</w:t>
      </w:r>
      <w:r>
        <w:rPr>
          <w:rFonts w:hint="eastAsia"/>
          <w:lang w:val="en-US" w:eastAsia="zh-CN"/>
        </w:rPr>
        <w:t>侨界活动次数</w:t>
      </w:r>
      <w:r>
        <w:rPr>
          <w:rFonts w:hint="eastAsia"/>
        </w:rPr>
        <w:t>”的目标值是</w:t>
      </w:r>
      <w:r>
        <w:rPr>
          <w:rFonts w:hint="eastAsia"/>
          <w:lang w:val="en-US" w:eastAsia="zh-CN"/>
        </w:rPr>
        <w:t>≥4</w:t>
      </w:r>
      <w:r>
        <w:rPr>
          <w:rFonts w:hint="eastAsia"/>
        </w:rPr>
        <w:t>个，2023</w:t>
      </w:r>
      <w:r>
        <w:t>年度我单位实际完成</w:t>
      </w:r>
      <w:r>
        <w:rPr>
          <w:rFonts w:hint="eastAsia"/>
          <w:lang w:val="en-US" w:eastAsia="zh-CN"/>
        </w:rPr>
        <w:t>4</w:t>
      </w:r>
      <w:r>
        <w:rPr>
          <w:rFonts w:hint="eastAsia"/>
        </w:rPr>
        <w:t>个</w:t>
      </w:r>
      <w:r>
        <w:rPr>
          <w:rFonts w:hint="eastAsia"/>
          <w:lang w:eastAsia="zh-CN"/>
        </w:rPr>
        <w:t>。</w:t>
      </w:r>
    </w:p>
    <w:p w14:paraId="027F2F9B">
      <w:pPr>
        <w:bidi w:val="0"/>
        <w:rPr>
          <w:rFonts w:hint="default"/>
          <w:lang w:val="en-US" w:eastAsia="zh-CN"/>
        </w:rPr>
      </w:pPr>
      <w:r>
        <w:rPr>
          <w:rFonts w:hint="eastAsia"/>
        </w:rPr>
        <w:t>数量指标“</w:t>
      </w:r>
      <w:r>
        <w:rPr>
          <w:rFonts w:hint="eastAsia"/>
          <w:lang w:val="en-US" w:eastAsia="zh-CN"/>
        </w:rPr>
        <w:t>置办家具数量</w:t>
      </w:r>
      <w:r>
        <w:rPr>
          <w:rFonts w:hint="eastAsia"/>
        </w:rPr>
        <w:t>”的目标值是</w:t>
      </w:r>
      <w:r>
        <w:rPr>
          <w:rFonts w:hint="eastAsia"/>
          <w:lang w:val="en-US" w:eastAsia="zh-CN"/>
        </w:rPr>
        <w:t>≥10件</w:t>
      </w:r>
      <w:r>
        <w:rPr>
          <w:rFonts w:hint="eastAsia"/>
        </w:rPr>
        <w:t>，</w:t>
      </w:r>
      <w:r>
        <w:t>2023年度我单位</w:t>
      </w:r>
      <w:r>
        <w:rPr>
          <w:rFonts w:hint="eastAsia"/>
          <w:lang w:val="en-US" w:eastAsia="zh-CN"/>
        </w:rPr>
        <w:t>实际完成10件。</w:t>
      </w:r>
    </w:p>
    <w:p w14:paraId="32C243A3">
      <w:pPr>
        <w:bidi w:val="0"/>
        <w:rPr>
          <w:rFonts w:hint="eastAsia"/>
          <w:lang w:val="en-US" w:eastAsia="zh-CN"/>
        </w:rPr>
      </w:pPr>
      <w:r>
        <w:rPr>
          <w:rFonts w:hint="eastAsia"/>
        </w:rPr>
        <w:t>数量指标“</w:t>
      </w:r>
      <w:r>
        <w:rPr>
          <w:rFonts w:hint="eastAsia"/>
          <w:lang w:val="en-US" w:eastAsia="zh-CN"/>
        </w:rPr>
        <w:t>服务侨众数量</w:t>
      </w:r>
      <w:r>
        <w:rPr>
          <w:rFonts w:hint="eastAsia"/>
        </w:rPr>
        <w:t>”的目标值是</w:t>
      </w:r>
      <w:r>
        <w:rPr>
          <w:rFonts w:hint="eastAsia"/>
          <w:lang w:val="en-US" w:eastAsia="zh-CN"/>
        </w:rPr>
        <w:t>≥200人</w:t>
      </w:r>
      <w:r>
        <w:rPr>
          <w:rFonts w:hint="eastAsia"/>
        </w:rPr>
        <w:t>，</w:t>
      </w:r>
      <w:r>
        <w:t>2023年度我单位</w:t>
      </w:r>
      <w:r>
        <w:rPr>
          <w:rFonts w:hint="eastAsia"/>
          <w:lang w:val="en-US" w:eastAsia="zh-CN"/>
        </w:rPr>
        <w:t>实际完成215人，超出原因为无法准确预估参加人数。</w:t>
      </w:r>
    </w:p>
    <w:p w14:paraId="634F82D6">
      <w:pPr>
        <w:bidi w:val="0"/>
        <w:rPr>
          <w:rFonts w:ascii="仿宋_GB2312"/>
          <w:szCs w:val="28"/>
        </w:rPr>
      </w:pPr>
      <w:r>
        <w:rPr>
          <w:rFonts w:hint="eastAsia" w:ascii="仿宋_GB2312"/>
          <w:b/>
          <w:bCs/>
          <w:szCs w:val="28"/>
        </w:rPr>
        <w:t>实际完成率：</w:t>
      </w:r>
      <w:r>
        <w:rPr>
          <w:rFonts w:hint="eastAsia" w:ascii="仿宋_GB2312"/>
          <w:b/>
          <w:bCs/>
          <w:szCs w:val="28"/>
          <w:lang w:val="en-US" w:eastAsia="zh-CN"/>
        </w:rPr>
        <w:t>100%</w:t>
      </w:r>
      <w:r>
        <w:rPr>
          <w:rFonts w:hint="eastAsia" w:ascii="仿宋_GB2312"/>
          <w:szCs w:val="28"/>
        </w:rPr>
        <w:t>，</w:t>
      </w:r>
      <w:r>
        <w:rPr>
          <w:rFonts w:hint="eastAsia" w:ascii="仿宋_GB2312"/>
          <w:szCs w:val="28"/>
          <w:lang w:eastAsia="zh-CN"/>
        </w:rPr>
        <w:t>，</w:t>
      </w:r>
      <w:r>
        <w:rPr>
          <w:rFonts w:hint="eastAsia" w:ascii="仿宋_GB2312"/>
          <w:szCs w:val="28"/>
        </w:rPr>
        <w:t>故实际完成率得分为</w:t>
      </w:r>
      <w:r>
        <w:rPr>
          <w:rFonts w:hint="eastAsia" w:ascii="仿宋_GB2312"/>
          <w:szCs w:val="28"/>
          <w:lang w:val="en-US" w:eastAsia="zh-CN"/>
        </w:rPr>
        <w:t>10</w:t>
      </w:r>
      <w:r>
        <w:rPr>
          <w:rFonts w:hint="eastAsia" w:ascii="仿宋_GB2312"/>
          <w:szCs w:val="28"/>
        </w:rPr>
        <w:t>分。</w:t>
      </w:r>
    </w:p>
    <w:p w14:paraId="6C745361">
      <w:pPr>
        <w:pStyle w:val="4"/>
        <w:pageBreakBefore w:val="0"/>
        <w:kinsoku/>
        <w:wordWrap/>
        <w:overflowPunct/>
        <w:topLinePunct w:val="0"/>
        <w:autoSpaceDN/>
        <w:bidi w:val="0"/>
        <w:adjustRightInd/>
        <w:snapToGrid/>
        <w:spacing w:line="560" w:lineRule="exact"/>
        <w:ind w:firstLine="643"/>
        <w:textAlignment w:val="auto"/>
      </w:pPr>
      <w:bookmarkStart w:id="53" w:name="_Toc21907"/>
      <w:r>
        <w:rPr>
          <w:rFonts w:hint="eastAsia"/>
        </w:rPr>
        <w:t>2</w:t>
      </w:r>
      <w:r>
        <w:t>.</w:t>
      </w:r>
      <w:r>
        <w:rPr>
          <w:rFonts w:hint="eastAsia"/>
        </w:rPr>
        <w:t>产出质量</w:t>
      </w:r>
      <w:bookmarkEnd w:id="53"/>
    </w:p>
    <w:p w14:paraId="68E195B6">
      <w:pPr>
        <w:pageBreakBefore w:val="0"/>
        <w:kinsoku/>
        <w:wordWrap/>
        <w:overflowPunct/>
        <w:topLinePunct w:val="0"/>
        <w:autoSpaceDN/>
        <w:bidi w:val="0"/>
        <w:adjustRightInd/>
        <w:snapToGrid/>
        <w:spacing w:line="560" w:lineRule="exact"/>
        <w:ind w:firstLine="562"/>
        <w:textAlignment w:val="auto"/>
        <w:rPr>
          <w:rFonts w:ascii="仿宋_GB2312"/>
          <w:szCs w:val="28"/>
        </w:rPr>
      </w:pPr>
      <w:r>
        <w:rPr>
          <w:rFonts w:hint="eastAsia" w:ascii="仿宋_GB2312"/>
          <w:b/>
          <w:bCs/>
          <w:szCs w:val="28"/>
          <w:lang w:val="en-US" w:eastAsia="zh-CN"/>
        </w:rPr>
        <w:t>质量指标“室内设施投入使用</w:t>
      </w:r>
      <w:r>
        <w:rPr>
          <w:rFonts w:hint="eastAsia" w:ascii="仿宋_GB2312"/>
          <w:b/>
          <w:bCs/>
          <w:szCs w:val="28"/>
        </w:rPr>
        <w:t>率</w:t>
      </w:r>
      <w:r>
        <w:rPr>
          <w:rStyle w:val="21"/>
          <w:rFonts w:hint="eastAsia"/>
          <w:sz w:val="32"/>
          <w:szCs w:val="32"/>
          <w:lang w:eastAsia="zh-CN"/>
        </w:rPr>
        <w:t>”</w:t>
      </w:r>
      <w:r>
        <w:rPr>
          <w:rStyle w:val="21"/>
          <w:rFonts w:hint="eastAsia"/>
          <w:sz w:val="32"/>
          <w:szCs w:val="32"/>
          <w:lang w:val="en-US" w:eastAsia="zh-CN"/>
        </w:rPr>
        <w:t>的目标值是≥95%，2023年3月我单位完成购买后，所有室内设施均投入使用，故该指标</w:t>
      </w:r>
      <w:r>
        <w:rPr>
          <w:rFonts w:hint="eastAsia" w:ascii="仿宋_GB2312"/>
          <w:szCs w:val="28"/>
        </w:rPr>
        <w:t>得分为</w:t>
      </w:r>
      <w:r>
        <w:rPr>
          <w:rFonts w:hint="eastAsia" w:ascii="仿宋_GB2312"/>
          <w:szCs w:val="28"/>
          <w:lang w:val="en-US" w:eastAsia="zh-CN"/>
        </w:rPr>
        <w:t>10</w:t>
      </w:r>
      <w:r>
        <w:rPr>
          <w:rFonts w:hint="eastAsia" w:ascii="仿宋_GB2312"/>
          <w:szCs w:val="28"/>
        </w:rPr>
        <w:t>分。</w:t>
      </w:r>
    </w:p>
    <w:p w14:paraId="4AC6794C">
      <w:pPr>
        <w:pStyle w:val="4"/>
        <w:pageBreakBefore w:val="0"/>
        <w:kinsoku/>
        <w:wordWrap/>
        <w:overflowPunct/>
        <w:topLinePunct w:val="0"/>
        <w:autoSpaceDN/>
        <w:bidi w:val="0"/>
        <w:adjustRightInd/>
        <w:snapToGrid/>
        <w:spacing w:line="560" w:lineRule="exact"/>
        <w:ind w:firstLine="643"/>
        <w:textAlignment w:val="auto"/>
      </w:pPr>
      <w:bookmarkStart w:id="54" w:name="_Toc26511"/>
      <w:r>
        <w:rPr>
          <w:rFonts w:hint="eastAsia"/>
        </w:rPr>
        <w:t>3</w:t>
      </w:r>
      <w:r>
        <w:t>.</w:t>
      </w:r>
      <w:r>
        <w:rPr>
          <w:rFonts w:hint="eastAsia"/>
        </w:rPr>
        <w:t>产出时效</w:t>
      </w:r>
      <w:bookmarkEnd w:id="54"/>
    </w:p>
    <w:p w14:paraId="6A9B6061">
      <w:pPr>
        <w:bidi w:val="0"/>
      </w:pPr>
      <w:r>
        <w:rPr>
          <w:rFonts w:hint="eastAsia"/>
          <w:lang w:val="en-US" w:eastAsia="zh-CN"/>
        </w:rPr>
        <w:t>时效指标“设备采购完成</w:t>
      </w:r>
      <w:r>
        <w:rPr>
          <w:rFonts w:hint="eastAsia"/>
        </w:rPr>
        <w:t>及时率</w:t>
      </w:r>
      <w:r>
        <w:rPr>
          <w:rFonts w:hint="eastAsia"/>
          <w:lang w:eastAsia="zh-CN"/>
        </w:rPr>
        <w:t>”</w:t>
      </w:r>
      <w:r>
        <w:rPr>
          <w:rFonts w:hint="eastAsia"/>
          <w:lang w:val="en-US" w:eastAsia="zh-CN"/>
        </w:rPr>
        <w:t>的目标值为≥90%，2023年3月资金到位后，我单位于3月30日前完成了所有采购和支付工作，并联系供应商送货安装，于2023年4月正式投入使用，故该指标</w:t>
      </w:r>
      <w:r>
        <w:rPr>
          <w:rFonts w:hint="eastAsia"/>
        </w:rPr>
        <w:t>得分为</w:t>
      </w:r>
      <w:r>
        <w:rPr>
          <w:rFonts w:hint="eastAsia"/>
          <w:lang w:val="en-US" w:eastAsia="zh-CN"/>
        </w:rPr>
        <w:t>10</w:t>
      </w:r>
      <w:r>
        <w:rPr>
          <w:rFonts w:hint="eastAsia"/>
        </w:rPr>
        <w:t>分。</w:t>
      </w:r>
    </w:p>
    <w:p w14:paraId="6D2506F4">
      <w:pPr>
        <w:pStyle w:val="4"/>
        <w:pageBreakBefore w:val="0"/>
        <w:kinsoku/>
        <w:wordWrap/>
        <w:overflowPunct/>
        <w:topLinePunct w:val="0"/>
        <w:autoSpaceDN/>
        <w:bidi w:val="0"/>
        <w:adjustRightInd/>
        <w:snapToGrid/>
        <w:spacing w:line="560" w:lineRule="exact"/>
        <w:ind w:firstLine="643"/>
        <w:textAlignment w:val="auto"/>
      </w:pPr>
      <w:bookmarkStart w:id="55" w:name="_Toc8211"/>
      <w:r>
        <w:rPr>
          <w:rFonts w:hint="eastAsia"/>
        </w:rPr>
        <w:t>4</w:t>
      </w:r>
      <w:r>
        <w:t>.</w:t>
      </w:r>
      <w:r>
        <w:rPr>
          <w:rFonts w:hint="eastAsia"/>
        </w:rPr>
        <w:t>产出成本</w:t>
      </w:r>
      <w:bookmarkEnd w:id="55"/>
    </w:p>
    <w:p w14:paraId="2E0FF608">
      <w:pPr>
        <w:bidi w:val="0"/>
        <w:rPr>
          <w:rFonts w:hint="eastAsia"/>
          <w:lang w:val="en-US" w:eastAsia="zh-CN"/>
        </w:rPr>
      </w:pPr>
      <w:r>
        <w:rPr>
          <w:rFonts w:hint="eastAsia"/>
          <w:lang w:val="en-US" w:eastAsia="zh-CN"/>
        </w:rPr>
        <w:t>经济成本指标“购买书架及展示柜设计服务”的目标值为2.17万元，实际支出2.17万元，无超支情况，故该指标得分2分。</w:t>
      </w:r>
    </w:p>
    <w:p w14:paraId="471F6515">
      <w:pPr>
        <w:bidi w:val="0"/>
        <w:rPr>
          <w:rFonts w:hint="eastAsia"/>
          <w:lang w:val="en-US" w:eastAsia="zh-CN"/>
        </w:rPr>
      </w:pPr>
      <w:r>
        <w:rPr>
          <w:rFonts w:hint="eastAsia"/>
          <w:lang w:val="en-US" w:eastAsia="zh-CN"/>
        </w:rPr>
        <w:t>经济成本指标“购买投影仪等配套设备”的目标值为1.75万元，实际支出1.75万元，无超支情况，故该指标得分4分。</w:t>
      </w:r>
    </w:p>
    <w:p w14:paraId="66AC87FD">
      <w:pPr>
        <w:bidi w:val="0"/>
        <w:rPr>
          <w:rFonts w:hint="eastAsia"/>
          <w:lang w:val="en-US" w:eastAsia="zh-CN"/>
        </w:rPr>
      </w:pPr>
      <w:r>
        <w:rPr>
          <w:rFonts w:hint="eastAsia"/>
          <w:lang w:val="en-US" w:eastAsia="zh-CN"/>
        </w:rPr>
        <w:t>经济成本指标“购买办公家具”的目标值为1.77万元，实际支出1.77万元，无超支情况，故该指标得分2分。</w:t>
      </w:r>
    </w:p>
    <w:p w14:paraId="043ADE17">
      <w:pPr>
        <w:bidi w:val="0"/>
      </w:pPr>
      <w:r>
        <w:rPr>
          <w:rFonts w:hint="eastAsia"/>
        </w:rPr>
        <w:t>综上，该部分指标满分</w:t>
      </w:r>
      <w:r>
        <w:t>40</w:t>
      </w:r>
      <w:r>
        <w:rPr>
          <w:rFonts w:hint="eastAsia"/>
        </w:rPr>
        <w:t>分，得分</w:t>
      </w:r>
      <w:r>
        <w:rPr>
          <w:rFonts w:hint="eastAsia"/>
          <w:lang w:val="en-US" w:eastAsia="zh-CN"/>
        </w:rPr>
        <w:t xml:space="preserve">40 </w:t>
      </w:r>
      <w:r>
        <w:rPr>
          <w:rFonts w:hint="eastAsia"/>
        </w:rPr>
        <w:t>分。</w:t>
      </w:r>
    </w:p>
    <w:p w14:paraId="75A93771">
      <w:pPr>
        <w:pStyle w:val="3"/>
        <w:pageBreakBefore w:val="0"/>
        <w:kinsoku/>
        <w:wordWrap/>
        <w:overflowPunct/>
        <w:topLinePunct w:val="0"/>
        <w:autoSpaceDN/>
        <w:bidi w:val="0"/>
        <w:adjustRightInd/>
        <w:snapToGrid/>
        <w:spacing w:line="560" w:lineRule="exact"/>
        <w:ind w:firstLine="643"/>
        <w:textAlignment w:val="auto"/>
        <w:rPr>
          <w:rFonts w:ascii="仿宋" w:hAnsi="仿宋" w:eastAsia="仿宋"/>
          <w:lang w:bidi="en-US"/>
        </w:rPr>
      </w:pPr>
      <w:bookmarkStart w:id="56" w:name="_Toc67911615"/>
      <w:bookmarkStart w:id="57" w:name="_Toc4876"/>
      <w:r>
        <w:rPr>
          <w:rFonts w:hint="eastAsia" w:ascii="仿宋" w:hAnsi="仿宋" w:eastAsia="仿宋"/>
          <w:lang w:bidi="en-US"/>
        </w:rPr>
        <w:t>（四）项目效益情况</w:t>
      </w:r>
      <w:bookmarkEnd w:id="56"/>
      <w:bookmarkEnd w:id="57"/>
    </w:p>
    <w:p w14:paraId="0D22B4D1">
      <w:pPr>
        <w:pageBreakBefore w:val="0"/>
        <w:kinsoku/>
        <w:wordWrap/>
        <w:overflowPunct/>
        <w:topLinePunct w:val="0"/>
        <w:autoSpaceDN/>
        <w:bidi w:val="0"/>
        <w:adjustRightInd/>
        <w:snapToGrid/>
        <w:spacing w:line="560" w:lineRule="exact"/>
        <w:ind w:firstLine="560"/>
        <w:textAlignment w:val="auto"/>
        <w:rPr>
          <w:rFonts w:ascii="仿宋_GB2312"/>
          <w:szCs w:val="28"/>
        </w:rPr>
      </w:pPr>
      <w:r>
        <w:rPr>
          <w:rFonts w:hint="eastAsia" w:ascii="仿宋_GB2312"/>
          <w:szCs w:val="28"/>
        </w:rPr>
        <w:t>项目效益指标由</w:t>
      </w:r>
      <w:r>
        <w:rPr>
          <w:rFonts w:ascii="仿宋_GB2312"/>
          <w:szCs w:val="28"/>
        </w:rPr>
        <w:t>1</w:t>
      </w:r>
      <w:r>
        <w:rPr>
          <w:rFonts w:hint="eastAsia" w:ascii="仿宋_GB2312"/>
          <w:szCs w:val="28"/>
        </w:rPr>
        <w:t>个二级指标和</w:t>
      </w:r>
      <w:r>
        <w:rPr>
          <w:rFonts w:hint="eastAsia" w:ascii="仿宋_GB2312"/>
          <w:szCs w:val="28"/>
          <w:lang w:val="en-US" w:eastAsia="zh-CN"/>
        </w:rPr>
        <w:t>1</w:t>
      </w:r>
      <w:r>
        <w:rPr>
          <w:rFonts w:hint="eastAsia" w:ascii="仿宋_GB2312"/>
          <w:szCs w:val="28"/>
        </w:rPr>
        <w:t>个三级指标构成，权重为</w:t>
      </w:r>
      <w:r>
        <w:rPr>
          <w:rFonts w:hint="eastAsia" w:ascii="仿宋_GB2312"/>
          <w:szCs w:val="28"/>
          <w:lang w:val="en-US" w:eastAsia="zh-CN"/>
        </w:rPr>
        <w:t>15</w:t>
      </w:r>
      <w:r>
        <w:rPr>
          <w:rFonts w:hint="eastAsia" w:ascii="仿宋_GB2312"/>
          <w:szCs w:val="28"/>
        </w:rPr>
        <w:t>分，实际得分</w:t>
      </w:r>
      <w:r>
        <w:rPr>
          <w:rFonts w:hint="eastAsia" w:ascii="仿宋_GB2312"/>
          <w:szCs w:val="28"/>
          <w:lang w:val="en-US" w:eastAsia="zh-CN"/>
        </w:rPr>
        <w:t>15</w:t>
      </w:r>
      <w:r>
        <w:rPr>
          <w:rFonts w:hint="eastAsia" w:ascii="仿宋_GB2312"/>
          <w:szCs w:val="28"/>
        </w:rPr>
        <w:t>分。</w:t>
      </w:r>
      <w:r>
        <w:rPr>
          <w:rFonts w:ascii="仿宋_GB2312"/>
          <w:szCs w:val="28"/>
        </w:rPr>
        <w:t xml:space="preserve"> </w:t>
      </w:r>
    </w:p>
    <w:p w14:paraId="1E3D676A">
      <w:pPr>
        <w:pStyle w:val="4"/>
        <w:pageBreakBefore w:val="0"/>
        <w:kinsoku/>
        <w:wordWrap/>
        <w:overflowPunct/>
        <w:topLinePunct w:val="0"/>
        <w:autoSpaceDN/>
        <w:bidi w:val="0"/>
        <w:adjustRightInd/>
        <w:snapToGrid/>
        <w:spacing w:line="560" w:lineRule="exact"/>
        <w:ind w:firstLine="643"/>
        <w:textAlignment w:val="auto"/>
      </w:pPr>
      <w:bookmarkStart w:id="58" w:name="_Toc27845"/>
      <w:r>
        <w:rPr>
          <w:rFonts w:hint="eastAsia"/>
        </w:rPr>
        <w:t>1</w:t>
      </w:r>
      <w:r>
        <w:t>.</w:t>
      </w:r>
      <w:r>
        <w:rPr>
          <w:rFonts w:hint="eastAsia"/>
        </w:rPr>
        <w:t>项目效益</w:t>
      </w:r>
      <w:bookmarkEnd w:id="58"/>
    </w:p>
    <w:p w14:paraId="6BC72A7B">
      <w:pPr>
        <w:pageBreakBefore w:val="0"/>
        <w:kinsoku/>
        <w:wordWrap/>
        <w:overflowPunct/>
        <w:topLinePunct w:val="0"/>
        <w:autoSpaceDN/>
        <w:bidi w:val="0"/>
        <w:adjustRightInd/>
        <w:snapToGrid/>
        <w:spacing w:line="560" w:lineRule="exact"/>
        <w:ind w:firstLine="562"/>
        <w:textAlignment w:val="auto"/>
        <w:rPr>
          <w:rFonts w:ascii="仿宋_GB2312"/>
          <w:szCs w:val="28"/>
        </w:rPr>
      </w:pPr>
      <w:r>
        <w:rPr>
          <w:rFonts w:hint="eastAsia" w:ascii="仿宋_GB2312"/>
          <w:b/>
          <w:bCs/>
          <w:szCs w:val="28"/>
        </w:rPr>
        <w:t>经济效益指标：</w:t>
      </w:r>
      <w:r>
        <w:rPr>
          <w:rFonts w:hint="eastAsia" w:ascii="仿宋_GB2312"/>
          <w:szCs w:val="28"/>
        </w:rPr>
        <w:t>不适用。</w:t>
      </w:r>
      <w:r>
        <w:rPr>
          <w:rFonts w:ascii="仿宋_GB2312"/>
          <w:szCs w:val="28"/>
        </w:rPr>
        <w:t xml:space="preserve"> </w:t>
      </w:r>
    </w:p>
    <w:p w14:paraId="2EF8C711">
      <w:pPr>
        <w:pageBreakBefore w:val="0"/>
        <w:kinsoku/>
        <w:wordWrap/>
        <w:overflowPunct/>
        <w:topLinePunct w:val="0"/>
        <w:autoSpaceDN/>
        <w:bidi w:val="0"/>
        <w:adjustRightInd/>
        <w:snapToGrid/>
        <w:spacing w:line="560" w:lineRule="exact"/>
        <w:ind w:firstLine="562"/>
        <w:textAlignment w:val="auto"/>
        <w:rPr>
          <w:rFonts w:ascii="仿宋_GB2312"/>
          <w:szCs w:val="28"/>
        </w:rPr>
      </w:pPr>
      <w:r>
        <w:rPr>
          <w:rFonts w:hint="eastAsia" w:ascii="仿宋_GB2312"/>
          <w:b/>
          <w:bCs/>
          <w:szCs w:val="28"/>
        </w:rPr>
        <w:t>社会效益指标</w:t>
      </w:r>
      <w:r>
        <w:rPr>
          <w:rFonts w:hint="eastAsia" w:ascii="仿宋_GB2312"/>
          <w:szCs w:val="28"/>
        </w:rPr>
        <w:t>：评价指标“</w:t>
      </w:r>
      <w:r>
        <w:rPr>
          <w:rFonts w:hint="eastAsia" w:ascii="仿宋_GB2312"/>
          <w:szCs w:val="28"/>
          <w:lang w:val="en-US" w:eastAsia="zh-CN"/>
        </w:rPr>
        <w:t>增强与归侨侨眷的紧密联系</w:t>
      </w:r>
      <w:r>
        <w:rPr>
          <w:rFonts w:hint="eastAsia" w:ascii="仿宋_GB2312"/>
          <w:szCs w:val="28"/>
        </w:rPr>
        <w:t>”，指标值：</w:t>
      </w:r>
      <w:r>
        <w:rPr>
          <w:rFonts w:hint="eastAsia" w:ascii="仿宋_GB2312"/>
          <w:szCs w:val="28"/>
          <w:lang w:val="en-US" w:eastAsia="zh-CN"/>
        </w:rPr>
        <w:t>有效提高</w:t>
      </w:r>
      <w:r>
        <w:rPr>
          <w:rFonts w:hint="eastAsia" w:ascii="仿宋_GB2312"/>
          <w:szCs w:val="28"/>
        </w:rPr>
        <w:t>，实际完成值：达成年度指标。本项目的实施</w:t>
      </w:r>
      <w:r>
        <w:rPr>
          <w:rFonts w:hint="eastAsia" w:ascii="仿宋_GB2312"/>
          <w:szCs w:val="28"/>
          <w:lang w:val="en-US" w:eastAsia="zh-CN"/>
        </w:rPr>
        <w:t>过程中按照计划完成了“侨胞之家”室内设施的购买和布置工作，并于2023年3月开展侨界活动，全年共在该“侨胞之家”开展活动4次，会议3次，覆盖侨界群众200余人，活动类型包括宣传侨法、宪法，举办读书会，组织义诊活动，极大的增强了与侨界群众的紧密联系，完全达成项目预期。</w:t>
      </w:r>
    </w:p>
    <w:p w14:paraId="27DE2AEC">
      <w:pPr>
        <w:pageBreakBefore w:val="0"/>
        <w:kinsoku/>
        <w:wordWrap/>
        <w:overflowPunct/>
        <w:topLinePunct w:val="0"/>
        <w:autoSpaceDN/>
        <w:bidi w:val="0"/>
        <w:adjustRightInd/>
        <w:snapToGrid/>
        <w:spacing w:line="560" w:lineRule="exact"/>
        <w:ind w:firstLine="562"/>
        <w:textAlignment w:val="auto"/>
        <w:rPr>
          <w:rFonts w:ascii="仿宋_GB2312"/>
          <w:szCs w:val="28"/>
        </w:rPr>
      </w:pPr>
      <w:r>
        <w:rPr>
          <w:rFonts w:hint="eastAsia" w:ascii="仿宋_GB2312"/>
          <w:b/>
          <w:bCs/>
          <w:szCs w:val="28"/>
        </w:rPr>
        <w:t>生态效益指标</w:t>
      </w:r>
      <w:r>
        <w:rPr>
          <w:rFonts w:hint="eastAsia" w:ascii="仿宋_GB2312"/>
          <w:szCs w:val="28"/>
        </w:rPr>
        <w:t>：不适用。</w:t>
      </w:r>
    </w:p>
    <w:p w14:paraId="74844FFA">
      <w:pPr>
        <w:pageBreakBefore w:val="0"/>
        <w:kinsoku/>
        <w:wordWrap/>
        <w:overflowPunct/>
        <w:topLinePunct w:val="0"/>
        <w:autoSpaceDE w:val="0"/>
        <w:autoSpaceDN/>
        <w:bidi w:val="0"/>
        <w:adjustRightInd/>
        <w:snapToGrid/>
        <w:spacing w:line="560" w:lineRule="exact"/>
        <w:ind w:firstLine="562"/>
        <w:textAlignment w:val="auto"/>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1</w:t>
      </w:r>
      <w:r>
        <w:rPr>
          <w:rFonts w:hint="eastAsia" w:ascii="仿宋_GB2312" w:hAnsi="仿宋" w:cs="宋体"/>
          <w:b/>
          <w:kern w:val="0"/>
          <w:szCs w:val="28"/>
          <w:lang w:val="en-US" w:eastAsia="zh-CN"/>
        </w:rPr>
        <w:t>5</w:t>
      </w:r>
      <w:r>
        <w:rPr>
          <w:rFonts w:hint="eastAsia" w:ascii="仿宋_GB2312" w:hAnsi="仿宋" w:cs="宋体"/>
          <w:b/>
          <w:kern w:val="0"/>
          <w:szCs w:val="28"/>
        </w:rPr>
        <w:t>分，得分</w:t>
      </w:r>
      <w:r>
        <w:rPr>
          <w:rFonts w:hint="eastAsia" w:ascii="仿宋_GB2312" w:hAnsi="仿宋" w:cs="宋体"/>
          <w:b/>
          <w:kern w:val="0"/>
          <w:szCs w:val="28"/>
          <w:lang w:val="en-US" w:eastAsia="zh-CN"/>
        </w:rPr>
        <w:t>15</w:t>
      </w:r>
      <w:r>
        <w:rPr>
          <w:rFonts w:hint="eastAsia" w:ascii="仿宋_GB2312" w:hAnsi="仿宋" w:cs="宋体"/>
          <w:b/>
          <w:kern w:val="0"/>
          <w:szCs w:val="28"/>
        </w:rPr>
        <w:t>分。</w:t>
      </w:r>
    </w:p>
    <w:p w14:paraId="51DBEF52">
      <w:pPr>
        <w:pStyle w:val="4"/>
        <w:pageBreakBefore w:val="0"/>
        <w:kinsoku/>
        <w:wordWrap/>
        <w:overflowPunct/>
        <w:topLinePunct w:val="0"/>
        <w:autoSpaceDN/>
        <w:bidi w:val="0"/>
        <w:adjustRightInd/>
        <w:snapToGrid/>
        <w:spacing w:line="560" w:lineRule="exact"/>
        <w:ind w:firstLine="643"/>
        <w:textAlignment w:val="auto"/>
      </w:pPr>
      <w:bookmarkStart w:id="59" w:name="_Toc28449"/>
      <w:r>
        <w:t>2. 满意度指标完成情况分析</w:t>
      </w:r>
      <w:bookmarkEnd w:id="59"/>
    </w:p>
    <w:p w14:paraId="314798DE">
      <w:pPr>
        <w:pageBreakBefore w:val="0"/>
        <w:kinsoku/>
        <w:wordWrap/>
        <w:overflowPunct/>
        <w:topLinePunct w:val="0"/>
        <w:autoSpaceDN/>
        <w:bidi w:val="0"/>
        <w:adjustRightInd/>
        <w:snapToGrid/>
        <w:spacing w:line="560" w:lineRule="exact"/>
        <w:ind w:firstLine="562"/>
        <w:textAlignment w:val="auto"/>
        <w:rPr>
          <w:rFonts w:ascii="仿宋_GB2312"/>
          <w:szCs w:val="28"/>
        </w:rPr>
      </w:pPr>
      <w:r>
        <w:rPr>
          <w:rFonts w:hint="eastAsia" w:ascii="仿宋_GB2312"/>
          <w:b/>
          <w:bCs/>
          <w:szCs w:val="28"/>
        </w:rPr>
        <w:t>（</w:t>
      </w:r>
      <w:r>
        <w:rPr>
          <w:rFonts w:ascii="仿宋_GB2312"/>
          <w:b/>
          <w:bCs/>
          <w:szCs w:val="28"/>
        </w:rPr>
        <w:t>1</w:t>
      </w:r>
      <w:r>
        <w:rPr>
          <w:rFonts w:hint="eastAsia" w:ascii="仿宋_GB2312"/>
          <w:b/>
          <w:bCs/>
          <w:szCs w:val="28"/>
        </w:rPr>
        <w:t>）满意度指标</w:t>
      </w:r>
      <w:r>
        <w:rPr>
          <w:rFonts w:hint="eastAsia" w:ascii="仿宋_GB2312"/>
          <w:b/>
          <w:bCs/>
          <w:szCs w:val="28"/>
          <w:lang w:eastAsia="zh-CN"/>
        </w:rPr>
        <w:t>：</w:t>
      </w:r>
      <w:r>
        <w:rPr>
          <w:rFonts w:hint="eastAsia" w:ascii="仿宋_GB2312"/>
          <w:szCs w:val="28"/>
        </w:rPr>
        <w:t>“</w:t>
      </w:r>
      <w:r>
        <w:rPr>
          <w:rFonts w:hint="eastAsia" w:ascii="仿宋_GB2312"/>
          <w:szCs w:val="28"/>
          <w:lang w:val="en-US" w:eastAsia="zh-CN"/>
        </w:rPr>
        <w:t>归侨侨眷满意度</w:t>
      </w:r>
      <w:r>
        <w:rPr>
          <w:rFonts w:hint="eastAsia" w:ascii="仿宋_GB2312"/>
          <w:szCs w:val="28"/>
        </w:rPr>
        <w:t>”，指标值：</w:t>
      </w:r>
      <w:r>
        <w:rPr>
          <w:rFonts w:hint="eastAsia" w:ascii="华文宋体" w:hAnsi="华文宋体" w:eastAsia="华文宋体"/>
          <w:szCs w:val="28"/>
        </w:rPr>
        <w:t>≥</w:t>
      </w:r>
      <w:r>
        <w:rPr>
          <w:rFonts w:hint="eastAsia" w:ascii="华文宋体" w:hAnsi="华文宋体" w:eastAsia="华文宋体"/>
          <w:szCs w:val="28"/>
          <w:lang w:val="en-US" w:eastAsia="zh-CN"/>
        </w:rPr>
        <w:t>95</w:t>
      </w:r>
      <w:r>
        <w:rPr>
          <w:rFonts w:hint="eastAsia" w:ascii="仿宋_GB2312"/>
          <w:szCs w:val="28"/>
        </w:rPr>
        <w:t>%，实际完成值：</w:t>
      </w:r>
      <w:r>
        <w:rPr>
          <w:rFonts w:hint="eastAsia" w:ascii="华文宋体" w:hAnsi="华文宋体" w:eastAsia="华文宋体"/>
          <w:szCs w:val="28"/>
        </w:rPr>
        <w:t>≥</w:t>
      </w:r>
      <w:r>
        <w:rPr>
          <w:rFonts w:hint="eastAsia" w:ascii="华文宋体" w:hAnsi="华文宋体" w:eastAsia="华文宋体"/>
          <w:szCs w:val="28"/>
          <w:lang w:val="en-US" w:eastAsia="zh-CN"/>
        </w:rPr>
        <w:t>95</w:t>
      </w:r>
      <w:r>
        <w:rPr>
          <w:rFonts w:hint="eastAsia" w:ascii="仿宋_GB2312"/>
          <w:szCs w:val="28"/>
        </w:rPr>
        <w:t>%。通过设置问卷调查的方式进行考评评价，共计调查样本总量为</w:t>
      </w:r>
      <w:r>
        <w:rPr>
          <w:rFonts w:hint="eastAsia" w:ascii="仿宋_GB2312"/>
          <w:szCs w:val="28"/>
          <w:lang w:val="en-US" w:eastAsia="zh-CN"/>
        </w:rPr>
        <w:t>40</w:t>
      </w:r>
      <w:r>
        <w:rPr>
          <w:rFonts w:hint="eastAsia" w:ascii="仿宋_GB2312"/>
          <w:szCs w:val="28"/>
        </w:rPr>
        <w:t>个样本，有效调查问卷</w:t>
      </w:r>
      <w:r>
        <w:rPr>
          <w:rFonts w:hint="eastAsia" w:ascii="仿宋_GB2312"/>
          <w:szCs w:val="28"/>
          <w:lang w:val="en-US" w:eastAsia="zh-CN"/>
        </w:rPr>
        <w:t>40</w:t>
      </w:r>
      <w:r>
        <w:rPr>
          <w:rFonts w:hint="eastAsia" w:ascii="仿宋_GB2312"/>
          <w:szCs w:val="28"/>
        </w:rPr>
        <w:t>份。其中，统计“</w:t>
      </w:r>
      <w:r>
        <w:rPr>
          <w:rFonts w:hint="eastAsia" w:ascii="仿宋_GB2312"/>
          <w:szCs w:val="28"/>
          <w:lang w:val="en-US" w:eastAsia="zh-CN"/>
        </w:rPr>
        <w:t>归侨侨眷满意度</w:t>
      </w:r>
      <w:r>
        <w:rPr>
          <w:rFonts w:hint="eastAsia" w:ascii="仿宋_GB2312"/>
          <w:szCs w:val="28"/>
        </w:rPr>
        <w:t>”的平均值为</w:t>
      </w:r>
      <w:r>
        <w:rPr>
          <w:rFonts w:hint="eastAsia" w:ascii="仿宋_GB2312"/>
          <w:szCs w:val="28"/>
          <w:lang w:val="en-US" w:eastAsia="zh-CN"/>
        </w:rPr>
        <w:t>100</w:t>
      </w:r>
      <w:r>
        <w:rPr>
          <w:rFonts w:hint="eastAsia" w:ascii="仿宋_GB2312"/>
          <w:szCs w:val="28"/>
        </w:rPr>
        <w:t>%。故满意度指标得分为</w:t>
      </w:r>
      <w:r>
        <w:rPr>
          <w:rFonts w:hint="eastAsia" w:ascii="仿宋_GB2312"/>
          <w:szCs w:val="28"/>
          <w:lang w:val="en-US" w:eastAsia="zh-CN"/>
        </w:rPr>
        <w:t>5</w:t>
      </w:r>
      <w:r>
        <w:rPr>
          <w:rFonts w:hint="eastAsia" w:ascii="仿宋_GB2312"/>
          <w:szCs w:val="28"/>
        </w:rPr>
        <w:t>分。</w:t>
      </w:r>
    </w:p>
    <w:p w14:paraId="55547038">
      <w:pPr>
        <w:pageBreakBefore w:val="0"/>
        <w:kinsoku/>
        <w:wordWrap/>
        <w:overflowPunct/>
        <w:topLinePunct w:val="0"/>
        <w:autoSpaceDN/>
        <w:bidi w:val="0"/>
        <w:adjustRightInd/>
        <w:snapToGrid/>
        <w:spacing w:line="560" w:lineRule="exact"/>
        <w:ind w:firstLine="562"/>
        <w:textAlignment w:val="auto"/>
        <w:rPr>
          <w:rFonts w:ascii="仿宋_GB2312"/>
          <w:b/>
          <w:bCs/>
          <w:szCs w:val="28"/>
        </w:rPr>
      </w:pPr>
    </w:p>
    <w:p w14:paraId="6D8175CD">
      <w:pPr>
        <w:pageBreakBefore w:val="0"/>
        <w:kinsoku/>
        <w:wordWrap/>
        <w:overflowPunct/>
        <w:topLinePunct w:val="0"/>
        <w:autoSpaceDE w:val="0"/>
        <w:autoSpaceDN/>
        <w:bidi w:val="0"/>
        <w:adjustRightInd/>
        <w:snapToGrid/>
        <w:spacing w:line="560" w:lineRule="exact"/>
        <w:ind w:firstLine="562"/>
        <w:textAlignment w:val="auto"/>
        <w:rPr>
          <w:rFonts w:ascii="仿宋_GB2312" w:hAnsi="仿宋" w:cs="宋体"/>
          <w:b/>
          <w:kern w:val="0"/>
          <w:szCs w:val="28"/>
        </w:rPr>
      </w:pPr>
      <w:r>
        <w:rPr>
          <w:rFonts w:hint="eastAsia" w:ascii="仿宋_GB2312"/>
          <w:b/>
          <w:bCs/>
          <w:szCs w:val="28"/>
          <w:lang w:val="en-US" w:eastAsia="zh-CN"/>
        </w:rPr>
        <w:t>归侨侨眷</w:t>
      </w:r>
      <w:r>
        <w:rPr>
          <w:rFonts w:hint="eastAsia" w:ascii="仿宋_GB2312"/>
          <w:b/>
          <w:bCs/>
          <w:szCs w:val="28"/>
        </w:rPr>
        <w:t>满意度：</w:t>
      </w:r>
      <w:r>
        <w:rPr>
          <w:rFonts w:hint="eastAsia" w:ascii="仿宋_GB2312" w:hAnsi="仿宋" w:cs="宋体"/>
          <w:b/>
          <w:kern w:val="0"/>
          <w:szCs w:val="28"/>
        </w:rPr>
        <w:t>综上，该指标满分</w:t>
      </w:r>
      <w:r>
        <w:rPr>
          <w:rFonts w:hint="eastAsia" w:ascii="仿宋_GB2312" w:hAnsi="仿宋" w:cs="宋体"/>
          <w:b/>
          <w:kern w:val="0"/>
          <w:szCs w:val="28"/>
          <w:lang w:val="en-US" w:eastAsia="zh-CN"/>
        </w:rPr>
        <w:t>5</w:t>
      </w:r>
      <w:r>
        <w:rPr>
          <w:rFonts w:hint="eastAsia" w:ascii="仿宋_GB2312" w:hAnsi="仿宋" w:cs="宋体"/>
          <w:b/>
          <w:kern w:val="0"/>
          <w:szCs w:val="28"/>
        </w:rPr>
        <w:t>分，得分</w:t>
      </w:r>
      <w:r>
        <w:rPr>
          <w:rFonts w:hint="eastAsia" w:ascii="仿宋_GB2312" w:hAnsi="仿宋" w:cs="宋体"/>
          <w:b/>
          <w:kern w:val="0"/>
          <w:szCs w:val="28"/>
          <w:lang w:val="en-US" w:eastAsia="zh-CN"/>
        </w:rPr>
        <w:t>5</w:t>
      </w:r>
      <w:r>
        <w:rPr>
          <w:rFonts w:hint="eastAsia" w:ascii="仿宋_GB2312" w:hAnsi="仿宋" w:cs="宋体"/>
          <w:b/>
          <w:kern w:val="0"/>
          <w:szCs w:val="28"/>
        </w:rPr>
        <w:t>分。</w:t>
      </w:r>
    </w:p>
    <w:p w14:paraId="769C5167">
      <w:pPr>
        <w:pStyle w:val="2"/>
        <w:pageBreakBefore w:val="0"/>
        <w:kinsoku/>
        <w:wordWrap/>
        <w:overflowPunct/>
        <w:topLinePunct w:val="0"/>
        <w:autoSpaceDN/>
        <w:bidi w:val="0"/>
        <w:adjustRightInd/>
        <w:snapToGrid/>
        <w:spacing w:line="560" w:lineRule="exact"/>
        <w:ind w:firstLine="0" w:firstLineChars="0"/>
        <w:jc w:val="left"/>
        <w:textAlignment w:val="auto"/>
        <w:rPr>
          <w:rFonts w:ascii="仿宋" w:hAnsi="仿宋" w:eastAsia="仿宋"/>
          <w:sz w:val="36"/>
          <w:szCs w:val="36"/>
          <w:lang w:bidi="en-US"/>
        </w:rPr>
      </w:pPr>
      <w:bookmarkStart w:id="60" w:name="_Toc1005"/>
      <w:bookmarkStart w:id="61" w:name="_Toc67911617"/>
      <w:bookmarkStart w:id="62" w:name="_Toc809"/>
      <w:r>
        <w:rPr>
          <w:rFonts w:hint="eastAsia" w:ascii="仿宋" w:hAnsi="仿宋" w:eastAsia="仿宋"/>
          <w:sz w:val="36"/>
          <w:szCs w:val="36"/>
          <w:lang w:bidi="en-US"/>
        </w:rPr>
        <w:t>五、主要经验及做法、存在的问题及原因分析</w:t>
      </w:r>
      <w:bookmarkEnd w:id="60"/>
      <w:bookmarkEnd w:id="61"/>
      <w:bookmarkEnd w:id="62"/>
    </w:p>
    <w:p w14:paraId="45E01E31">
      <w:pPr>
        <w:pStyle w:val="3"/>
        <w:pageBreakBefore w:val="0"/>
        <w:kinsoku/>
        <w:wordWrap/>
        <w:overflowPunct/>
        <w:topLinePunct w:val="0"/>
        <w:autoSpaceDN/>
        <w:bidi w:val="0"/>
        <w:adjustRightInd/>
        <w:snapToGrid/>
        <w:spacing w:line="560" w:lineRule="exact"/>
        <w:ind w:firstLine="643"/>
        <w:textAlignment w:val="auto"/>
        <w:rPr>
          <w:rFonts w:ascii="仿宋" w:hAnsi="仿宋" w:eastAsia="仿宋"/>
          <w:lang w:bidi="en-US"/>
        </w:rPr>
      </w:pPr>
      <w:bookmarkStart w:id="63" w:name="_Toc67911618"/>
      <w:bookmarkStart w:id="64" w:name="_Toc22699"/>
      <w:r>
        <w:rPr>
          <w:rFonts w:hint="eastAsia" w:ascii="仿宋" w:hAnsi="仿宋" w:eastAsia="仿宋"/>
          <w:lang w:bidi="en-US"/>
        </w:rPr>
        <w:t>（一）主要经验及做法</w:t>
      </w:r>
      <w:bookmarkEnd w:id="63"/>
      <w:bookmarkEnd w:id="64"/>
    </w:p>
    <w:p w14:paraId="315F414E">
      <w:pPr>
        <w:bidi w:val="0"/>
        <w:rPr>
          <w:rFonts w:hint="eastAsia"/>
        </w:rPr>
      </w:pPr>
      <w:r>
        <w:rPr>
          <w:rFonts w:hint="eastAsia"/>
          <w:lang w:val="en-US" w:eastAsia="zh-CN"/>
        </w:rPr>
        <w:t>1</w:t>
      </w:r>
      <w:r>
        <w:rPr>
          <w:rFonts w:hint="eastAsia"/>
        </w:rPr>
        <w:t>、严格按照要求进行项目立项、实施、分析、评价</w:t>
      </w:r>
      <w:r>
        <w:rPr>
          <w:rFonts w:hint="eastAsia"/>
          <w:lang w:eastAsia="zh-CN"/>
        </w:rPr>
        <w:t>，</w:t>
      </w:r>
      <w:r>
        <w:rPr>
          <w:rFonts w:hint="eastAsia"/>
        </w:rPr>
        <w:t>资金到位是</w:t>
      </w:r>
      <w:r>
        <w:rPr>
          <w:rFonts w:hint="eastAsia"/>
          <w:lang w:val="en-US" w:eastAsia="zh-CN"/>
        </w:rPr>
        <w:t>本项目</w:t>
      </w:r>
      <w:r>
        <w:rPr>
          <w:rFonts w:hint="eastAsia"/>
        </w:rPr>
        <w:t>开展的重要保障。</w:t>
      </w:r>
    </w:p>
    <w:p w14:paraId="5581F41A">
      <w:pPr>
        <w:bidi w:val="0"/>
        <w:rPr>
          <w:rFonts w:hint="eastAsia"/>
        </w:rPr>
      </w:pPr>
      <w:r>
        <w:rPr>
          <w:rFonts w:hint="eastAsia"/>
          <w:lang w:val="en-US" w:eastAsia="zh-CN"/>
        </w:rPr>
        <w:t>2、领</w:t>
      </w:r>
      <w:r>
        <w:rPr>
          <w:rFonts w:hint="eastAsia"/>
        </w:rPr>
        <w:t>导的高度重视。项目实施过程中，</w:t>
      </w:r>
      <w:r>
        <w:rPr>
          <w:rFonts w:hint="eastAsia"/>
          <w:lang w:val="en-US" w:eastAsia="zh-CN"/>
        </w:rPr>
        <w:t>领导对项目的全局把控</w:t>
      </w:r>
      <w:r>
        <w:rPr>
          <w:rFonts w:hint="eastAsia"/>
        </w:rPr>
        <w:t>起到了</w:t>
      </w:r>
      <w:r>
        <w:rPr>
          <w:rFonts w:hint="eastAsia"/>
          <w:lang w:val="en-US" w:eastAsia="zh-CN"/>
        </w:rPr>
        <w:t>很好地</w:t>
      </w:r>
      <w:r>
        <w:rPr>
          <w:rFonts w:hint="eastAsia"/>
        </w:rPr>
        <w:t>指导和推动作用。项目的复杂性和全面性决定了领导能够从更全面、更高层面来推动项目的发展。</w:t>
      </w:r>
    </w:p>
    <w:p w14:paraId="780FA775">
      <w:pPr>
        <w:bidi w:val="0"/>
        <w:rPr>
          <w:rFonts w:hint="eastAsia"/>
        </w:rPr>
      </w:pPr>
      <w:r>
        <w:rPr>
          <w:rFonts w:hint="eastAsia"/>
          <w:lang w:val="en-US" w:eastAsia="zh-CN"/>
        </w:rPr>
        <w:t>3.通过</w:t>
      </w:r>
      <w:r>
        <w:rPr>
          <w:rFonts w:hint="eastAsia"/>
        </w:rPr>
        <w:t>内控体系来保障项目的执行。通过单位的内部控制体系来保障规范项目的收支、审批和管理的规范性。</w:t>
      </w:r>
    </w:p>
    <w:p w14:paraId="6DFCC827">
      <w:pPr>
        <w:bidi w:val="0"/>
        <w:rPr>
          <w:rFonts w:hint="default"/>
          <w:lang w:val="en-US" w:eastAsia="zh-CN"/>
        </w:rPr>
      </w:pPr>
      <w:r>
        <w:rPr>
          <w:rFonts w:hint="eastAsia"/>
          <w:lang w:val="en-US" w:eastAsia="zh-CN"/>
        </w:rPr>
        <w:t>4.项目中涉及的活动及时留存音像资料和文字资料，便于后续的宣传工作，扩大侨联在侨界的声量和影响力。</w:t>
      </w:r>
    </w:p>
    <w:p w14:paraId="0FFEF178">
      <w:pPr>
        <w:pStyle w:val="3"/>
        <w:pageBreakBefore w:val="0"/>
        <w:kinsoku/>
        <w:wordWrap/>
        <w:overflowPunct/>
        <w:topLinePunct w:val="0"/>
        <w:autoSpaceDN/>
        <w:bidi w:val="0"/>
        <w:adjustRightInd/>
        <w:snapToGrid/>
        <w:spacing w:line="560" w:lineRule="exact"/>
        <w:ind w:firstLine="643"/>
        <w:textAlignment w:val="auto"/>
        <w:rPr>
          <w:rFonts w:ascii="仿宋" w:hAnsi="仿宋" w:eastAsia="仿宋"/>
          <w:lang w:bidi="en-US"/>
        </w:rPr>
      </w:pPr>
      <w:bookmarkStart w:id="65" w:name="_Toc14978"/>
      <w:r>
        <w:rPr>
          <w:rFonts w:hint="eastAsia" w:ascii="仿宋" w:hAnsi="仿宋" w:eastAsia="仿宋"/>
          <w:lang w:bidi="en-US"/>
        </w:rPr>
        <w:t>（二）存在的问题及原因分析</w:t>
      </w:r>
      <w:bookmarkEnd w:id="65"/>
    </w:p>
    <w:p w14:paraId="46EF7F19">
      <w:pPr>
        <w:bidi w:val="0"/>
        <w:rPr>
          <w:rFonts w:hint="eastAsia"/>
        </w:rPr>
      </w:pPr>
      <w:r>
        <w:rPr>
          <w:rFonts w:hint="eastAsia"/>
          <w:lang w:val="en-US" w:eastAsia="zh-CN"/>
        </w:rPr>
        <w:t>1.项目进行中偶有</w:t>
      </w:r>
      <w:r>
        <w:rPr>
          <w:rFonts w:hint="eastAsia"/>
        </w:rPr>
        <w:t>工作职能不明确</w:t>
      </w:r>
      <w:r>
        <w:rPr>
          <w:rFonts w:hint="eastAsia"/>
          <w:lang w:val="en-US" w:eastAsia="zh-CN"/>
        </w:rPr>
        <w:t>的问题</w:t>
      </w:r>
      <w:r>
        <w:rPr>
          <w:rFonts w:hint="eastAsia"/>
        </w:rPr>
        <w:t xml:space="preserve">，个别工作分工不清晰，业务工作与财务工作沟通不畅，存在信息差；  </w:t>
      </w:r>
    </w:p>
    <w:p w14:paraId="59A7962C">
      <w:pPr>
        <w:bidi w:val="0"/>
      </w:pPr>
      <w:r>
        <w:rPr>
          <w:rFonts w:hint="eastAsia"/>
          <w:lang w:val="en-US" w:eastAsia="zh-CN"/>
        </w:rPr>
        <w:t>2.部分项目</w:t>
      </w:r>
      <w:r>
        <w:rPr>
          <w:rFonts w:hint="eastAsia"/>
        </w:rPr>
        <w:t>绩效指标冗余。绩效目标条目多却不能很好地反映</w:t>
      </w:r>
      <w:r>
        <w:rPr>
          <w:rFonts w:hint="eastAsia"/>
          <w:lang w:val="en-US" w:eastAsia="zh-CN"/>
        </w:rPr>
        <w:t>项目执</w:t>
      </w:r>
      <w:r>
        <w:rPr>
          <w:rFonts w:hint="eastAsia"/>
        </w:rPr>
        <w:t>行的情况，部分指标不能量化考核，增加了考核的不准确性。</w:t>
      </w:r>
    </w:p>
    <w:p w14:paraId="4CEAC0B5">
      <w:pPr>
        <w:pStyle w:val="2"/>
        <w:pageBreakBefore w:val="0"/>
        <w:kinsoku/>
        <w:wordWrap/>
        <w:overflowPunct/>
        <w:topLinePunct w:val="0"/>
        <w:autoSpaceDN/>
        <w:bidi w:val="0"/>
        <w:adjustRightInd/>
        <w:snapToGrid/>
        <w:spacing w:line="560" w:lineRule="exact"/>
        <w:ind w:firstLine="0" w:firstLineChars="0"/>
        <w:jc w:val="left"/>
        <w:textAlignment w:val="auto"/>
        <w:rPr>
          <w:rFonts w:ascii="仿宋" w:hAnsi="仿宋" w:eastAsia="仿宋"/>
          <w:sz w:val="36"/>
          <w:szCs w:val="36"/>
          <w:lang w:bidi="en-US"/>
        </w:rPr>
      </w:pPr>
      <w:bookmarkStart w:id="66" w:name="_Toc23304"/>
      <w:bookmarkStart w:id="67" w:name="_Toc26715"/>
      <w:bookmarkStart w:id="68" w:name="_Toc67911620"/>
      <w:bookmarkStart w:id="69" w:name="_Toc67911619"/>
      <w:r>
        <w:rPr>
          <w:rFonts w:hint="eastAsia" w:ascii="仿宋" w:hAnsi="仿宋" w:eastAsia="仿宋"/>
          <w:sz w:val="36"/>
          <w:szCs w:val="36"/>
          <w:lang w:bidi="en-US"/>
        </w:rPr>
        <w:t>六、有关建议</w:t>
      </w:r>
      <w:bookmarkEnd w:id="66"/>
      <w:bookmarkEnd w:id="67"/>
    </w:p>
    <w:bookmarkEnd w:id="68"/>
    <w:p w14:paraId="28DDDC1A">
      <w:pPr>
        <w:bidi w:val="0"/>
      </w:pPr>
      <w:r>
        <w:rPr>
          <w:rFonts w:hint="eastAsia"/>
        </w:rP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14:paraId="5469A076">
      <w:pPr>
        <w:pStyle w:val="2"/>
        <w:pageBreakBefore w:val="0"/>
        <w:kinsoku/>
        <w:wordWrap/>
        <w:overflowPunct/>
        <w:topLinePunct w:val="0"/>
        <w:autoSpaceDN/>
        <w:bidi w:val="0"/>
        <w:adjustRightInd/>
        <w:snapToGrid/>
        <w:spacing w:line="560" w:lineRule="exact"/>
        <w:ind w:firstLine="0" w:firstLineChars="0"/>
        <w:jc w:val="left"/>
        <w:textAlignment w:val="auto"/>
        <w:rPr>
          <w:rFonts w:ascii="仿宋" w:hAnsi="仿宋" w:eastAsia="仿宋"/>
          <w:sz w:val="36"/>
          <w:szCs w:val="36"/>
          <w:lang w:bidi="en-US"/>
        </w:rPr>
      </w:pPr>
      <w:bookmarkStart w:id="70" w:name="_Toc13674"/>
      <w:bookmarkStart w:id="71" w:name="_Toc29811"/>
      <w:r>
        <w:rPr>
          <w:rFonts w:hint="eastAsia" w:ascii="仿宋" w:hAnsi="仿宋" w:eastAsia="仿宋"/>
          <w:sz w:val="36"/>
          <w:szCs w:val="36"/>
          <w:lang w:bidi="en-US"/>
        </w:rPr>
        <w:t>七、其他需要说明的问题</w:t>
      </w:r>
      <w:bookmarkEnd w:id="69"/>
      <w:bookmarkEnd w:id="70"/>
      <w:bookmarkEnd w:id="71"/>
    </w:p>
    <w:p w14:paraId="5E75D951">
      <w:pPr>
        <w:bidi w:val="0"/>
      </w:pPr>
      <w:r>
        <w:rPr>
          <w:rFonts w:hint="eastAsia"/>
        </w:rPr>
        <w:t>1</w:t>
      </w:r>
      <w:r>
        <w:t>.</w:t>
      </w:r>
      <w:r>
        <w:rPr>
          <w:rFonts w:hint="eastAsia"/>
        </w:rPr>
        <w:t>项目支出政策和路径设计科学，符合实际需要；</w:t>
      </w:r>
    </w:p>
    <w:p w14:paraId="7A140D9D">
      <w:pPr>
        <w:bidi w:val="0"/>
      </w:pPr>
      <w:r>
        <w:t>2.</w:t>
      </w:r>
      <w:r>
        <w:rPr>
          <w:rFonts w:hint="eastAsia"/>
        </w:rPr>
        <w:t>项目安排准确，未发现背离项目立项初衷的情况；</w:t>
      </w:r>
    </w:p>
    <w:p w14:paraId="4048C9A4">
      <w:pPr>
        <w:bidi w:val="0"/>
      </w:pPr>
      <w:r>
        <w:t>3.</w:t>
      </w:r>
      <w:r>
        <w:rPr>
          <w:rFonts w:hint="eastAsia"/>
        </w:rPr>
        <w:t>项目的申报、审核机制完善；</w:t>
      </w:r>
    </w:p>
    <w:p w14:paraId="6330A434">
      <w:pPr>
        <w:bidi w:val="0"/>
      </w:pPr>
      <w:r>
        <w:t>4.</w:t>
      </w:r>
      <w:r>
        <w:rPr>
          <w:rFonts w:hint="eastAsia"/>
        </w:rPr>
        <w:t>未发现虚假行为和骗取财政资金的问题。</w:t>
      </w:r>
    </w:p>
    <w:p w14:paraId="19D4A104">
      <w:pPr>
        <w:bidi w:val="0"/>
      </w:pPr>
    </w:p>
    <w:sectPr>
      <w:headerReference r:id="rId8" w:type="default"/>
      <w:footerReference r:id="rId9" w:type="default"/>
      <w:footnotePr>
        <w:numFmt w:val="decimalEnclosedCircleChinese"/>
        <w:numRestart w:val="eachPage"/>
      </w:footnotePr>
      <w:type w:val="continuous"/>
      <w:pgSz w:w="11906" w:h="16838"/>
      <w:pgMar w:top="1440" w:right="1800" w:bottom="1440" w:left="1800" w:header="992" w:footer="992" w:gutter="0"/>
      <w:pgNumType w:fmt="decimal"/>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68E5E43-7AF1-4D88-9C67-32E0B85BDCA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DE037024-6C79-4DDD-A3FC-072C9E362CA1}"/>
  </w:font>
  <w:font w:name="方正公文小标宋">
    <w:panose1 w:val="02000500000000000000"/>
    <w:charset w:val="86"/>
    <w:family w:val="auto"/>
    <w:pitch w:val="default"/>
    <w:sig w:usb0="A00002BF" w:usb1="38CF7CFA" w:usb2="00000016" w:usb3="00000000" w:csb0="00040001" w:csb1="00000000"/>
  </w:font>
  <w:font w:name="等线">
    <w:panose1 w:val="02010600030101010101"/>
    <w:charset w:val="86"/>
    <w:family w:val="auto"/>
    <w:pitch w:val="default"/>
    <w:sig w:usb0="A00002BF" w:usb1="38CF7CFA" w:usb2="00000016" w:usb3="00000000" w:csb0="0004000F" w:csb1="00000000"/>
    <w:embedRegular r:id="rId3" w:fontKey="{93E2889C-19D7-4723-9D2C-4D73ABA2057A}"/>
  </w:font>
  <w:font w:name="等线 Light">
    <w:panose1 w:val="02010600030101010101"/>
    <w:charset w:val="86"/>
    <w:family w:val="auto"/>
    <w:pitch w:val="default"/>
    <w:sig w:usb0="A00002BF" w:usb1="38CF7CFA" w:usb2="00000016" w:usb3="00000000" w:csb0="0004000F" w:csb1="00000000"/>
  </w:font>
  <w:font w:name="方正小标宋_GBK">
    <w:panose1 w:val="02000000000000000000"/>
    <w:charset w:val="86"/>
    <w:family w:val="auto"/>
    <w:pitch w:val="default"/>
    <w:sig w:usb0="00000001" w:usb1="080E0000" w:usb2="00000000" w:usb3="00000000" w:csb0="00040000" w:csb1="00000000"/>
    <w:embedRegular r:id="rId4" w:fontKey="{C9EFEC9F-0DC8-4CE9-B825-7AD0523DE259}"/>
  </w:font>
  <w:font w:name="仿宋">
    <w:panose1 w:val="02010609060101010101"/>
    <w:charset w:val="86"/>
    <w:family w:val="modern"/>
    <w:pitch w:val="default"/>
    <w:sig w:usb0="800002BF" w:usb1="38CF7CFA" w:usb2="00000016" w:usb3="00000000" w:csb0="00040001" w:csb1="00000000"/>
    <w:embedRegular r:id="rId5" w:fontKey="{F935FF5A-9675-4623-A39B-1A0BA1E22646}"/>
  </w:font>
  <w:font w:name="Gungsuh">
    <w:altName w:val="Malgun Gothic"/>
    <w:panose1 w:val="02030600000101010101"/>
    <w:charset w:val="81"/>
    <w:family w:val="roman"/>
    <w:pitch w:val="default"/>
    <w:sig w:usb0="00000000" w:usb1="00000000" w:usb2="00000030" w:usb3="00000000" w:csb0="0008009F" w:csb1="00000000"/>
    <w:embedRegular r:id="rId6" w:fontKey="{C85D0B88-C313-4104-B984-F7E21BA5D427}"/>
  </w:font>
  <w:font w:name="华文宋体">
    <w:panose1 w:val="02010600040101010101"/>
    <w:charset w:val="86"/>
    <w:family w:val="auto"/>
    <w:pitch w:val="default"/>
    <w:sig w:usb0="00000287" w:usb1="080F0000" w:usb2="00000000" w:usb3="00000000" w:csb0="0004009F" w:csb1="DFD70000"/>
    <w:embedRegular r:id="rId7" w:fontKey="{B0645458-0FC7-41DB-9D12-ED1FE9E68E9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5FC15A">
    <w:pPr>
      <w:pStyle w:val="10"/>
      <w:rPr>
        <w:rFonts w:ascii="仿宋_GB2312" w:eastAsia="仿宋_GB2312"/>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5A4378">
    <w:pPr>
      <w:pStyle w:val="10"/>
      <w:ind w:firstLine="560"/>
      <w:jc w:val="center"/>
      <w:rPr>
        <w:rFonts w:ascii="仿宋_GB2312" w:eastAsia="仿宋_GB2312"/>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1B57B4">
                          <w:pPr>
                            <w:pStyle w:val="10"/>
                            <w:rPr>
                              <w:rFonts w:hint="default" w:ascii="Times New Roman" w:hAnsi="Times New Roman" w:cs="Times New Roman"/>
                              <w:sz w:val="30"/>
                              <w:szCs w:val="30"/>
                            </w:rPr>
                          </w:pPr>
                          <w:r>
                            <w:rPr>
                              <w:rFonts w:hint="default" w:ascii="Times New Roman" w:hAnsi="Times New Roman" w:cs="Times New Roman"/>
                              <w:sz w:val="30"/>
                              <w:szCs w:val="30"/>
                            </w:rPr>
                            <w:t xml:space="preserve">— </w:t>
                          </w:r>
                          <w:r>
                            <w:rPr>
                              <w:rFonts w:hint="default" w:ascii="Times New Roman" w:hAnsi="Times New Roman" w:cs="Times New Roman"/>
                              <w:sz w:val="30"/>
                              <w:szCs w:val="30"/>
                            </w:rPr>
                            <w:fldChar w:fldCharType="begin"/>
                          </w:r>
                          <w:r>
                            <w:rPr>
                              <w:rFonts w:hint="default" w:ascii="Times New Roman" w:hAnsi="Times New Roman" w:cs="Times New Roman"/>
                              <w:sz w:val="30"/>
                              <w:szCs w:val="30"/>
                            </w:rPr>
                            <w:instrText xml:space="preserve"> PAGE  \* MERGEFORMAT </w:instrText>
                          </w:r>
                          <w:r>
                            <w:rPr>
                              <w:rFonts w:hint="default" w:ascii="Times New Roman" w:hAnsi="Times New Roman" w:cs="Times New Roman"/>
                              <w:sz w:val="30"/>
                              <w:szCs w:val="30"/>
                            </w:rPr>
                            <w:fldChar w:fldCharType="separate"/>
                          </w:r>
                          <w:r>
                            <w:rPr>
                              <w:rFonts w:hint="default" w:ascii="Times New Roman" w:hAnsi="Times New Roman" w:cs="Times New Roman"/>
                              <w:sz w:val="30"/>
                              <w:szCs w:val="30"/>
                            </w:rPr>
                            <w:t>1</w:t>
                          </w:r>
                          <w:r>
                            <w:rPr>
                              <w:rFonts w:hint="default" w:ascii="Times New Roman" w:hAnsi="Times New Roman" w:cs="Times New Roman"/>
                              <w:sz w:val="30"/>
                              <w:szCs w:val="30"/>
                            </w:rPr>
                            <w:fldChar w:fldCharType="end"/>
                          </w:r>
                          <w:r>
                            <w:rPr>
                              <w:rFonts w:hint="default" w:ascii="Times New Roman" w:hAnsi="Times New Roman" w:cs="Times New Roman"/>
                              <w:sz w:val="30"/>
                              <w:szCs w:val="30"/>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F1B57B4">
                    <w:pPr>
                      <w:pStyle w:val="10"/>
                      <w:rPr>
                        <w:rFonts w:hint="default" w:ascii="Times New Roman" w:hAnsi="Times New Roman" w:cs="Times New Roman"/>
                        <w:sz w:val="30"/>
                        <w:szCs w:val="30"/>
                      </w:rPr>
                    </w:pPr>
                    <w:r>
                      <w:rPr>
                        <w:rFonts w:hint="default" w:ascii="Times New Roman" w:hAnsi="Times New Roman" w:cs="Times New Roman"/>
                        <w:sz w:val="30"/>
                        <w:szCs w:val="30"/>
                      </w:rPr>
                      <w:t xml:space="preserve">— </w:t>
                    </w:r>
                    <w:r>
                      <w:rPr>
                        <w:rFonts w:hint="default" w:ascii="Times New Roman" w:hAnsi="Times New Roman" w:cs="Times New Roman"/>
                        <w:sz w:val="30"/>
                        <w:szCs w:val="30"/>
                      </w:rPr>
                      <w:fldChar w:fldCharType="begin"/>
                    </w:r>
                    <w:r>
                      <w:rPr>
                        <w:rFonts w:hint="default" w:ascii="Times New Roman" w:hAnsi="Times New Roman" w:cs="Times New Roman"/>
                        <w:sz w:val="30"/>
                        <w:szCs w:val="30"/>
                      </w:rPr>
                      <w:instrText xml:space="preserve"> PAGE  \* MERGEFORMAT </w:instrText>
                    </w:r>
                    <w:r>
                      <w:rPr>
                        <w:rFonts w:hint="default" w:ascii="Times New Roman" w:hAnsi="Times New Roman" w:cs="Times New Roman"/>
                        <w:sz w:val="30"/>
                        <w:szCs w:val="30"/>
                      </w:rPr>
                      <w:fldChar w:fldCharType="separate"/>
                    </w:r>
                    <w:r>
                      <w:rPr>
                        <w:rFonts w:hint="default" w:ascii="Times New Roman" w:hAnsi="Times New Roman" w:cs="Times New Roman"/>
                        <w:sz w:val="30"/>
                        <w:szCs w:val="30"/>
                      </w:rPr>
                      <w:t>1</w:t>
                    </w:r>
                    <w:r>
                      <w:rPr>
                        <w:rFonts w:hint="default" w:ascii="Times New Roman" w:hAnsi="Times New Roman" w:cs="Times New Roman"/>
                        <w:sz w:val="30"/>
                        <w:szCs w:val="30"/>
                      </w:rPr>
                      <w:fldChar w:fldCharType="end"/>
                    </w:r>
                    <w:r>
                      <w:rPr>
                        <w:rFonts w:hint="default" w:ascii="Times New Roman" w:hAnsi="Times New Roman" w:cs="Times New Roman"/>
                        <w:sz w:val="30"/>
                        <w:szCs w:val="30"/>
                      </w:rPr>
                      <w:t xml:space="preserve"> —</w:t>
                    </w:r>
                  </w:p>
                </w:txbxContent>
              </v:textbox>
            </v:shape>
          </w:pict>
        </mc:Fallback>
      </mc:AlternateContent>
    </w:r>
  </w:p>
  <w:p w14:paraId="1C4C8F59">
    <w:pPr>
      <w:pStyle w:val="10"/>
      <w:rPr>
        <w:rFonts w:ascii="仿宋_GB2312" w:eastAsia="仿宋_GB2312"/>
        <w:sz w:val="21"/>
        <w:szCs w:val="2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B39F1B">
    <w:pPr>
      <w:pStyle w:val="10"/>
      <w:ind w:firstLine="560"/>
      <w:jc w:val="center"/>
      <w:rPr>
        <w:rFonts w:ascii="仿宋_GB2312" w:eastAsia="仿宋_GB2312"/>
        <w:sz w:val="21"/>
        <w:szCs w:val="21"/>
      </w:rPr>
    </w:pPr>
    <w:r>
      <w:rPr>
        <w:sz w:val="21"/>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AAA76C">
                          <w:pPr>
                            <w:pStyle w:val="10"/>
                            <w:rPr>
                              <w:rFonts w:hint="default" w:ascii="Times New Roman" w:hAnsi="Times New Roman" w:cs="Times New Roman"/>
                              <w:sz w:val="30"/>
                              <w:szCs w:val="30"/>
                            </w:rPr>
                          </w:pPr>
                          <w:r>
                            <w:rPr>
                              <w:rFonts w:hint="default" w:ascii="Times New Roman" w:hAnsi="Times New Roman" w:cs="Times New Roman"/>
                              <w:sz w:val="30"/>
                              <w:szCs w:val="30"/>
                            </w:rPr>
                            <w:t xml:space="preserve">— </w:t>
                          </w:r>
                          <w:r>
                            <w:rPr>
                              <w:rFonts w:hint="default" w:ascii="Times New Roman" w:hAnsi="Times New Roman" w:cs="Times New Roman"/>
                              <w:sz w:val="30"/>
                              <w:szCs w:val="30"/>
                            </w:rPr>
                            <w:fldChar w:fldCharType="begin"/>
                          </w:r>
                          <w:r>
                            <w:rPr>
                              <w:rFonts w:hint="default" w:ascii="Times New Roman" w:hAnsi="Times New Roman" w:cs="Times New Roman"/>
                              <w:sz w:val="30"/>
                              <w:szCs w:val="30"/>
                            </w:rPr>
                            <w:instrText xml:space="preserve"> PAGE  \* MERGEFORMAT </w:instrText>
                          </w:r>
                          <w:r>
                            <w:rPr>
                              <w:rFonts w:hint="default" w:ascii="Times New Roman" w:hAnsi="Times New Roman" w:cs="Times New Roman"/>
                              <w:sz w:val="30"/>
                              <w:szCs w:val="30"/>
                            </w:rPr>
                            <w:fldChar w:fldCharType="separate"/>
                          </w:r>
                          <w:r>
                            <w:rPr>
                              <w:rFonts w:hint="default" w:ascii="Times New Roman" w:hAnsi="Times New Roman" w:cs="Times New Roman"/>
                              <w:sz w:val="30"/>
                              <w:szCs w:val="30"/>
                            </w:rPr>
                            <w:t>16</w:t>
                          </w:r>
                          <w:r>
                            <w:rPr>
                              <w:rFonts w:hint="default" w:ascii="Times New Roman" w:hAnsi="Times New Roman" w:cs="Times New Roman"/>
                              <w:sz w:val="30"/>
                              <w:szCs w:val="30"/>
                            </w:rPr>
                            <w:fldChar w:fldCharType="end"/>
                          </w:r>
                          <w:r>
                            <w:rPr>
                              <w:rFonts w:hint="default" w:ascii="Times New Roman" w:hAnsi="Times New Roman" w:cs="Times New Roman"/>
                              <w:sz w:val="30"/>
                              <w:szCs w:val="30"/>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20AAA76C">
                    <w:pPr>
                      <w:pStyle w:val="10"/>
                      <w:rPr>
                        <w:rFonts w:hint="default" w:ascii="Times New Roman" w:hAnsi="Times New Roman" w:cs="Times New Roman"/>
                        <w:sz w:val="30"/>
                        <w:szCs w:val="30"/>
                      </w:rPr>
                    </w:pPr>
                    <w:r>
                      <w:rPr>
                        <w:rFonts w:hint="default" w:ascii="Times New Roman" w:hAnsi="Times New Roman" w:cs="Times New Roman"/>
                        <w:sz w:val="30"/>
                        <w:szCs w:val="30"/>
                      </w:rPr>
                      <w:t xml:space="preserve">— </w:t>
                    </w:r>
                    <w:r>
                      <w:rPr>
                        <w:rFonts w:hint="default" w:ascii="Times New Roman" w:hAnsi="Times New Roman" w:cs="Times New Roman"/>
                        <w:sz w:val="30"/>
                        <w:szCs w:val="30"/>
                      </w:rPr>
                      <w:fldChar w:fldCharType="begin"/>
                    </w:r>
                    <w:r>
                      <w:rPr>
                        <w:rFonts w:hint="default" w:ascii="Times New Roman" w:hAnsi="Times New Roman" w:cs="Times New Roman"/>
                        <w:sz w:val="30"/>
                        <w:szCs w:val="30"/>
                      </w:rPr>
                      <w:instrText xml:space="preserve"> PAGE  \* MERGEFORMAT </w:instrText>
                    </w:r>
                    <w:r>
                      <w:rPr>
                        <w:rFonts w:hint="default" w:ascii="Times New Roman" w:hAnsi="Times New Roman" w:cs="Times New Roman"/>
                        <w:sz w:val="30"/>
                        <w:szCs w:val="30"/>
                      </w:rPr>
                      <w:fldChar w:fldCharType="separate"/>
                    </w:r>
                    <w:r>
                      <w:rPr>
                        <w:rFonts w:hint="default" w:ascii="Times New Roman" w:hAnsi="Times New Roman" w:cs="Times New Roman"/>
                        <w:sz w:val="30"/>
                        <w:szCs w:val="30"/>
                      </w:rPr>
                      <w:t>16</w:t>
                    </w:r>
                    <w:r>
                      <w:rPr>
                        <w:rFonts w:hint="default" w:ascii="Times New Roman" w:hAnsi="Times New Roman" w:cs="Times New Roman"/>
                        <w:sz w:val="30"/>
                        <w:szCs w:val="30"/>
                      </w:rPr>
                      <w:fldChar w:fldCharType="end"/>
                    </w:r>
                    <w:r>
                      <w:rPr>
                        <w:rFonts w:hint="default" w:ascii="Times New Roman" w:hAnsi="Times New Roman" w:cs="Times New Roman"/>
                        <w:sz w:val="30"/>
                        <w:szCs w:val="30"/>
                      </w:rPr>
                      <w:t xml:space="preserve"> —</w:t>
                    </w:r>
                  </w:p>
                </w:txbxContent>
              </v:textbox>
            </v:shape>
          </w:pict>
        </mc:Fallback>
      </mc:AlternateContent>
    </w:r>
  </w:p>
  <w:p w14:paraId="5E653B2A">
    <w:pPr>
      <w:pStyle w:val="10"/>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spacing w:line="240" w:lineRule="auto"/>
        <w:ind w:firstLine="640"/>
      </w:pPr>
      <w:r>
        <w:separator/>
      </w:r>
    </w:p>
  </w:footnote>
  <w:footnote w:type="continuationSeparator" w:id="5">
    <w:p>
      <w:pPr>
        <w:spacing w:line="240" w:lineRule="auto"/>
        <w:ind w:firstLine="640"/>
      </w:pPr>
      <w:r>
        <w:continuationSeparator/>
      </w:r>
    </w:p>
  </w:footnote>
  <w:footnote w:id="0">
    <w:p w14:paraId="2197CAD3">
      <w:pPr>
        <w:pStyle w:val="13"/>
        <w:ind w:firstLine="0" w:firstLineChars="0"/>
        <w:jc w:val="both"/>
        <w:rPr>
          <w:rFonts w:ascii="仿宋_GB2312"/>
        </w:rPr>
      </w:pPr>
      <w:r>
        <w:rPr>
          <w:rStyle w:val="22"/>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14:paraId="0EA49DB2">
      <w:pPr>
        <w:pStyle w:val="13"/>
        <w:ind w:firstLine="0" w:firstLineChars="0"/>
        <w:jc w:val="both"/>
        <w:rPr>
          <w:rFonts w:ascii="仿宋_GB2312"/>
        </w:rPr>
      </w:pPr>
      <w:r>
        <w:rPr>
          <w:rFonts w:hint="eastAsia" w:ascii="仿宋_GB2312"/>
        </w:rPr>
        <w:t>本次绩效评价结果实施百分制和四级分类，其中90（含）-100分为优、80（含）-90分为良、</w:t>
      </w:r>
      <w:r>
        <w:rPr>
          <w:rFonts w:ascii="仿宋_GB2312"/>
        </w:rPr>
        <w:t>7</w:t>
      </w:r>
      <w:r>
        <w:rPr>
          <w:rFonts w:hint="eastAsia" w:ascii="仿宋_GB2312"/>
        </w:rPr>
        <w:t>0（含）-80分为中、</w:t>
      </w:r>
      <w:r>
        <w:rPr>
          <w:rFonts w:ascii="仿宋_GB2312"/>
        </w:rPr>
        <w:t>7</w:t>
      </w:r>
      <w:r>
        <w:rPr>
          <w:rFonts w:hint="eastAsia" w:ascii="仿宋_GB2312"/>
        </w:rPr>
        <w:t>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13F2F5">
    <w:pPr>
      <w:pStyle w:val="11"/>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AB9F52">
    <w:pPr>
      <w:pStyle w:val="11"/>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numFmt w:val="decimalEnclosedCircleChinese"/>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OTJjODg4NDdhYjc3MWE2ZDRiZDRkNzM1YWUwZWEifQ=="/>
  </w:docVars>
  <w:rsids>
    <w:rsidRoot w:val="00A43A0A"/>
    <w:rsid w:val="00031A7F"/>
    <w:rsid w:val="00042151"/>
    <w:rsid w:val="000438A0"/>
    <w:rsid w:val="0007002C"/>
    <w:rsid w:val="00071C0F"/>
    <w:rsid w:val="00086724"/>
    <w:rsid w:val="000A2B58"/>
    <w:rsid w:val="000A43E8"/>
    <w:rsid w:val="000B520E"/>
    <w:rsid w:val="000B6FA0"/>
    <w:rsid w:val="000C22A1"/>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2817"/>
    <w:rsid w:val="00213964"/>
    <w:rsid w:val="00220DC6"/>
    <w:rsid w:val="0022245F"/>
    <w:rsid w:val="0022294C"/>
    <w:rsid w:val="00225A82"/>
    <w:rsid w:val="00247354"/>
    <w:rsid w:val="00250131"/>
    <w:rsid w:val="00261F2F"/>
    <w:rsid w:val="00262533"/>
    <w:rsid w:val="00262B75"/>
    <w:rsid w:val="002767C9"/>
    <w:rsid w:val="002810AA"/>
    <w:rsid w:val="002A6E59"/>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611E"/>
    <w:rsid w:val="003D74DE"/>
    <w:rsid w:val="00404C10"/>
    <w:rsid w:val="004249EE"/>
    <w:rsid w:val="00425C1F"/>
    <w:rsid w:val="00437C39"/>
    <w:rsid w:val="00453D4B"/>
    <w:rsid w:val="004925F6"/>
    <w:rsid w:val="004957B3"/>
    <w:rsid w:val="004B12BE"/>
    <w:rsid w:val="004B5A40"/>
    <w:rsid w:val="004D4759"/>
    <w:rsid w:val="004E0DF3"/>
    <w:rsid w:val="004F17C9"/>
    <w:rsid w:val="004F66E9"/>
    <w:rsid w:val="00502EC2"/>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A76A5"/>
    <w:rsid w:val="005B7A28"/>
    <w:rsid w:val="005D02D3"/>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063A"/>
    <w:rsid w:val="00783118"/>
    <w:rsid w:val="00794639"/>
    <w:rsid w:val="007A772C"/>
    <w:rsid w:val="007C3F63"/>
    <w:rsid w:val="007F185A"/>
    <w:rsid w:val="007F6051"/>
    <w:rsid w:val="007F6745"/>
    <w:rsid w:val="007F77F3"/>
    <w:rsid w:val="008123C5"/>
    <w:rsid w:val="00831695"/>
    <w:rsid w:val="008327EB"/>
    <w:rsid w:val="00835535"/>
    <w:rsid w:val="00845BE2"/>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1224"/>
    <w:rsid w:val="009F55B0"/>
    <w:rsid w:val="00A00443"/>
    <w:rsid w:val="00A106CE"/>
    <w:rsid w:val="00A2064E"/>
    <w:rsid w:val="00A22963"/>
    <w:rsid w:val="00A425B1"/>
    <w:rsid w:val="00A43A0A"/>
    <w:rsid w:val="00A52E6C"/>
    <w:rsid w:val="00A52E72"/>
    <w:rsid w:val="00A675F9"/>
    <w:rsid w:val="00A92F9F"/>
    <w:rsid w:val="00AB7184"/>
    <w:rsid w:val="00AD5430"/>
    <w:rsid w:val="00AE1DCD"/>
    <w:rsid w:val="00AE6C31"/>
    <w:rsid w:val="00B22F6F"/>
    <w:rsid w:val="00B4167E"/>
    <w:rsid w:val="00B56B1B"/>
    <w:rsid w:val="00B72218"/>
    <w:rsid w:val="00B90BA4"/>
    <w:rsid w:val="00B928FF"/>
    <w:rsid w:val="00B962E0"/>
    <w:rsid w:val="00BA0A35"/>
    <w:rsid w:val="00BA10B1"/>
    <w:rsid w:val="00BA13B7"/>
    <w:rsid w:val="00BA65B8"/>
    <w:rsid w:val="00BA76B5"/>
    <w:rsid w:val="00BC5C63"/>
    <w:rsid w:val="00BD263E"/>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35A3"/>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E20A2"/>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14420E84"/>
    <w:rsid w:val="2879029B"/>
    <w:rsid w:val="2E186CE5"/>
    <w:rsid w:val="2EF434B6"/>
    <w:rsid w:val="34976BAD"/>
    <w:rsid w:val="3B93604E"/>
    <w:rsid w:val="3EC8641B"/>
    <w:rsid w:val="3F2473F8"/>
    <w:rsid w:val="43862DDC"/>
    <w:rsid w:val="4FAB1AAC"/>
    <w:rsid w:val="62334761"/>
    <w:rsid w:val="780014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560" w:lineRule="exact"/>
      <w:ind w:firstLine="600" w:firstLineChars="200"/>
      <w:jc w:val="both"/>
    </w:pPr>
    <w:rPr>
      <w:rFonts w:ascii="Times New Roman" w:hAnsi="Times New Roman" w:eastAsia="仿宋_GB2312" w:cs="黑体"/>
      <w:kern w:val="2"/>
      <w:sz w:val="32"/>
      <w:szCs w:val="22"/>
      <w:lang w:val="en-US" w:eastAsia="zh-CN" w:bidi="ar-SA"/>
    </w:rPr>
  </w:style>
  <w:style w:type="paragraph" w:styleId="2">
    <w:name w:val="heading 1"/>
    <w:basedOn w:val="1"/>
    <w:next w:val="1"/>
    <w:link w:val="30"/>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6"/>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5"/>
    <w:autoRedefine/>
    <w:unhideWhenUsed/>
    <w:qFormat/>
    <w:uiPriority w:val="9"/>
    <w:pPr>
      <w:keepNext/>
      <w:keepLines/>
      <w:spacing w:before="260" w:after="260" w:line="416" w:lineRule="auto"/>
      <w:outlineLvl w:val="2"/>
    </w:pPr>
    <w:rPr>
      <w:b/>
      <w:bCs/>
      <w:sz w:val="32"/>
      <w:szCs w:val="32"/>
    </w:rPr>
  </w:style>
  <w:style w:type="character" w:default="1" w:styleId="19">
    <w:name w:val="Default Paragraph Font"/>
    <w:autoRedefine/>
    <w:semiHidden/>
    <w:unhideWhenUsed/>
    <w:qFormat/>
    <w:uiPriority w:val="1"/>
  </w:style>
  <w:style w:type="table" w:default="1" w:styleId="17">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link w:val="32"/>
    <w:autoRedefine/>
    <w:unhideWhenUsed/>
    <w:qFormat/>
    <w:uiPriority w:val="99"/>
    <w:pPr>
      <w:jc w:val="left"/>
    </w:pPr>
  </w:style>
  <w:style w:type="paragraph" w:styleId="6">
    <w:name w:val="Body Text Indent"/>
    <w:basedOn w:val="1"/>
    <w:autoRedefine/>
    <w:unhideWhenUsed/>
    <w:qFormat/>
    <w:uiPriority w:val="99"/>
    <w:pPr>
      <w:spacing w:after="120"/>
      <w:ind w:left="420" w:leftChars="200"/>
    </w:pPr>
  </w:style>
  <w:style w:type="paragraph" w:styleId="7">
    <w:name w:val="toc 3"/>
    <w:basedOn w:val="1"/>
    <w:next w:val="1"/>
    <w:autoRedefine/>
    <w:unhideWhenUsed/>
    <w:qFormat/>
    <w:uiPriority w:val="39"/>
    <w:pPr>
      <w:ind w:left="840" w:leftChars="400" w:firstLine="0" w:firstLineChars="0"/>
    </w:pPr>
    <w:rPr>
      <w:rFonts w:ascii="Times New Roman" w:hAnsi="Times New Roman"/>
    </w:rPr>
  </w:style>
  <w:style w:type="paragraph" w:styleId="8">
    <w:name w:val="Date"/>
    <w:basedOn w:val="1"/>
    <w:next w:val="1"/>
    <w:link w:val="25"/>
    <w:autoRedefine/>
    <w:semiHidden/>
    <w:unhideWhenUsed/>
    <w:qFormat/>
    <w:uiPriority w:val="99"/>
    <w:pPr>
      <w:ind w:left="100" w:leftChars="2500"/>
    </w:pPr>
  </w:style>
  <w:style w:type="paragraph" w:styleId="9">
    <w:name w:val="Balloon Text"/>
    <w:basedOn w:val="1"/>
    <w:link w:val="34"/>
    <w:autoRedefine/>
    <w:semiHidden/>
    <w:unhideWhenUsed/>
    <w:qFormat/>
    <w:uiPriority w:val="99"/>
    <w:rPr>
      <w:sz w:val="18"/>
      <w:szCs w:val="18"/>
    </w:rPr>
  </w:style>
  <w:style w:type="paragraph" w:styleId="10">
    <w:name w:val="footer"/>
    <w:basedOn w:val="1"/>
    <w:link w:val="24"/>
    <w:autoRedefine/>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1">
    <w:name w:val="header"/>
    <w:basedOn w:val="1"/>
    <w:link w:val="23"/>
    <w:autoRedefine/>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2">
    <w:name w:val="toc 1"/>
    <w:basedOn w:val="1"/>
    <w:next w:val="1"/>
    <w:autoRedefine/>
    <w:unhideWhenUsed/>
    <w:qFormat/>
    <w:uiPriority w:val="39"/>
    <w:pPr>
      <w:ind w:firstLine="0" w:firstLineChars="0"/>
    </w:pPr>
    <w:rPr>
      <w:rFonts w:ascii="Times New Roman" w:hAnsi="Times New Roman"/>
    </w:rPr>
  </w:style>
  <w:style w:type="paragraph" w:styleId="13">
    <w:name w:val="footnote text"/>
    <w:basedOn w:val="1"/>
    <w:link w:val="27"/>
    <w:autoRedefine/>
    <w:semiHidden/>
    <w:unhideWhenUsed/>
    <w:qFormat/>
    <w:uiPriority w:val="99"/>
    <w:pPr>
      <w:snapToGrid w:val="0"/>
      <w:jc w:val="left"/>
    </w:pPr>
    <w:rPr>
      <w:sz w:val="18"/>
      <w:szCs w:val="18"/>
    </w:rPr>
  </w:style>
  <w:style w:type="paragraph" w:styleId="14">
    <w:name w:val="toc 2"/>
    <w:basedOn w:val="1"/>
    <w:next w:val="1"/>
    <w:autoRedefine/>
    <w:unhideWhenUsed/>
    <w:qFormat/>
    <w:uiPriority w:val="39"/>
    <w:pPr>
      <w:ind w:left="420" w:leftChars="200" w:firstLine="0" w:firstLineChars="0"/>
    </w:pPr>
    <w:rPr>
      <w:rFonts w:ascii="Times New Roman" w:hAnsi="Times New Roman"/>
    </w:rPr>
  </w:style>
  <w:style w:type="paragraph" w:styleId="15">
    <w:name w:val="annotation subject"/>
    <w:basedOn w:val="5"/>
    <w:next w:val="5"/>
    <w:link w:val="33"/>
    <w:autoRedefine/>
    <w:semiHidden/>
    <w:unhideWhenUsed/>
    <w:qFormat/>
    <w:uiPriority w:val="99"/>
    <w:rPr>
      <w:b/>
      <w:bCs/>
    </w:rPr>
  </w:style>
  <w:style w:type="paragraph" w:styleId="16">
    <w:name w:val="Body Text First Indent 2"/>
    <w:basedOn w:val="6"/>
    <w:next w:val="1"/>
    <w:autoRedefine/>
    <w:unhideWhenUsed/>
    <w:qFormat/>
    <w:uiPriority w:val="99"/>
    <w:pPr>
      <w:ind w:firstLine="420" w:firstLineChars="200"/>
    </w:pPr>
  </w:style>
  <w:style w:type="table" w:styleId="18">
    <w:name w:val="Table Grid"/>
    <w:basedOn w:val="17"/>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Hyperlink"/>
    <w:basedOn w:val="19"/>
    <w:autoRedefine/>
    <w:unhideWhenUsed/>
    <w:qFormat/>
    <w:uiPriority w:val="99"/>
    <w:rPr>
      <w:color w:val="0563C1" w:themeColor="hyperlink"/>
      <w:u w:val="single"/>
      <w14:textFill>
        <w14:solidFill>
          <w14:schemeClr w14:val="hlink"/>
        </w14:solidFill>
      </w14:textFill>
    </w:rPr>
  </w:style>
  <w:style w:type="character" w:styleId="21">
    <w:name w:val="annotation reference"/>
    <w:basedOn w:val="19"/>
    <w:autoRedefine/>
    <w:semiHidden/>
    <w:unhideWhenUsed/>
    <w:qFormat/>
    <w:uiPriority w:val="99"/>
    <w:rPr>
      <w:sz w:val="21"/>
      <w:szCs w:val="21"/>
    </w:rPr>
  </w:style>
  <w:style w:type="character" w:styleId="22">
    <w:name w:val="footnote reference"/>
    <w:basedOn w:val="19"/>
    <w:autoRedefine/>
    <w:semiHidden/>
    <w:unhideWhenUsed/>
    <w:qFormat/>
    <w:uiPriority w:val="99"/>
    <w:rPr>
      <w:vertAlign w:val="superscript"/>
    </w:rPr>
  </w:style>
  <w:style w:type="character" w:customStyle="1" w:styleId="23">
    <w:name w:val="页眉 Char"/>
    <w:basedOn w:val="19"/>
    <w:link w:val="11"/>
    <w:autoRedefine/>
    <w:qFormat/>
    <w:uiPriority w:val="99"/>
    <w:rPr>
      <w:sz w:val="18"/>
      <w:szCs w:val="18"/>
    </w:rPr>
  </w:style>
  <w:style w:type="character" w:customStyle="1" w:styleId="24">
    <w:name w:val="页脚 Char"/>
    <w:basedOn w:val="19"/>
    <w:link w:val="10"/>
    <w:autoRedefine/>
    <w:qFormat/>
    <w:uiPriority w:val="99"/>
    <w:rPr>
      <w:sz w:val="18"/>
      <w:szCs w:val="18"/>
    </w:rPr>
  </w:style>
  <w:style w:type="character" w:customStyle="1" w:styleId="25">
    <w:name w:val="日期 Char"/>
    <w:basedOn w:val="19"/>
    <w:link w:val="8"/>
    <w:autoRedefine/>
    <w:semiHidden/>
    <w:qFormat/>
    <w:uiPriority w:val="99"/>
    <w:rPr>
      <w:rFonts w:ascii="Calibri" w:hAnsi="Calibri" w:eastAsia="仿宋_GB2312" w:cs="黑体"/>
      <w:sz w:val="28"/>
    </w:rPr>
  </w:style>
  <w:style w:type="character" w:customStyle="1" w:styleId="26">
    <w:name w:val="标题 2 Char"/>
    <w:basedOn w:val="19"/>
    <w:link w:val="3"/>
    <w:autoRedefine/>
    <w:qFormat/>
    <w:uiPriority w:val="9"/>
    <w:rPr>
      <w:rFonts w:asciiTheme="majorHAnsi" w:hAnsiTheme="majorHAnsi" w:eastAsiaTheme="majorEastAsia" w:cstheme="majorBidi"/>
      <w:b/>
      <w:bCs/>
      <w:sz w:val="32"/>
      <w:szCs w:val="32"/>
    </w:rPr>
  </w:style>
  <w:style w:type="character" w:customStyle="1" w:styleId="27">
    <w:name w:val="脚注文本 Char"/>
    <w:basedOn w:val="19"/>
    <w:link w:val="13"/>
    <w:autoRedefine/>
    <w:semiHidden/>
    <w:qFormat/>
    <w:uiPriority w:val="99"/>
    <w:rPr>
      <w:rFonts w:ascii="Calibri" w:hAnsi="Calibri" w:eastAsia="仿宋_GB2312" w:cs="黑体"/>
      <w:sz w:val="18"/>
      <w:szCs w:val="18"/>
    </w:rPr>
  </w:style>
  <w:style w:type="paragraph" w:styleId="28">
    <w:name w:val="List Paragraph"/>
    <w:basedOn w:val="1"/>
    <w:autoRedefine/>
    <w:qFormat/>
    <w:uiPriority w:val="34"/>
    <w:pPr>
      <w:ind w:firstLine="420"/>
    </w:pPr>
  </w:style>
  <w:style w:type="table" w:customStyle="1" w:styleId="29">
    <w:name w:val="网格型1"/>
    <w:basedOn w:val="17"/>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0">
    <w:name w:val="标题 1 Char"/>
    <w:basedOn w:val="19"/>
    <w:link w:val="2"/>
    <w:autoRedefine/>
    <w:qFormat/>
    <w:uiPriority w:val="9"/>
    <w:rPr>
      <w:rFonts w:ascii="Calibri" w:hAnsi="Calibri" w:eastAsia="仿宋_GB2312" w:cs="黑体"/>
      <w:b/>
      <w:bCs/>
      <w:kern w:val="44"/>
      <w:sz w:val="44"/>
      <w:szCs w:val="44"/>
    </w:rPr>
  </w:style>
  <w:style w:type="paragraph" w:customStyle="1" w:styleId="31">
    <w:name w:val="TOC Heading"/>
    <w:basedOn w:val="2"/>
    <w:next w:val="1"/>
    <w:autoRedefine/>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2">
    <w:name w:val="批注文字 Char"/>
    <w:basedOn w:val="19"/>
    <w:link w:val="5"/>
    <w:autoRedefine/>
    <w:qFormat/>
    <w:uiPriority w:val="99"/>
    <w:rPr>
      <w:rFonts w:ascii="Calibri" w:hAnsi="Calibri" w:eastAsia="仿宋_GB2312" w:cs="黑体"/>
      <w:sz w:val="28"/>
    </w:rPr>
  </w:style>
  <w:style w:type="character" w:customStyle="1" w:styleId="33">
    <w:name w:val="批注主题 Char"/>
    <w:basedOn w:val="32"/>
    <w:link w:val="15"/>
    <w:autoRedefine/>
    <w:semiHidden/>
    <w:qFormat/>
    <w:uiPriority w:val="99"/>
    <w:rPr>
      <w:rFonts w:ascii="Calibri" w:hAnsi="Calibri" w:eastAsia="仿宋_GB2312" w:cs="黑体"/>
      <w:b/>
      <w:bCs/>
      <w:sz w:val="28"/>
    </w:rPr>
  </w:style>
  <w:style w:type="character" w:customStyle="1" w:styleId="34">
    <w:name w:val="批注框文本 Char"/>
    <w:basedOn w:val="19"/>
    <w:link w:val="9"/>
    <w:autoRedefine/>
    <w:semiHidden/>
    <w:qFormat/>
    <w:uiPriority w:val="99"/>
    <w:rPr>
      <w:rFonts w:ascii="Calibri" w:hAnsi="Calibri" w:eastAsia="仿宋_GB2312" w:cs="黑体"/>
      <w:sz w:val="18"/>
      <w:szCs w:val="18"/>
    </w:rPr>
  </w:style>
  <w:style w:type="character" w:customStyle="1" w:styleId="35">
    <w:name w:val="标题 3 Char"/>
    <w:basedOn w:val="19"/>
    <w:link w:val="4"/>
    <w:autoRedefine/>
    <w:qFormat/>
    <w:uiPriority w:val="9"/>
    <w:rPr>
      <w:rFonts w:ascii="Calibri" w:hAnsi="Calibri" w:eastAsia="仿宋_GB2312" w:cs="黑体"/>
      <w:b/>
      <w:bCs/>
      <w:sz w:val="32"/>
      <w:szCs w:val="32"/>
    </w:rPr>
  </w:style>
  <w:style w:type="paragraph" w:customStyle="1" w:styleId="36">
    <w:name w:val="WPSOffice手动目录 1"/>
    <w:qFormat/>
    <w:uiPriority w:val="0"/>
    <w:pPr>
      <w:ind w:leftChars="0"/>
    </w:pPr>
    <w:rPr>
      <w:rFonts w:asciiTheme="minorHAnsi" w:hAnsiTheme="minorHAnsi" w:eastAsiaTheme="minorEastAsia" w:cstheme="minorBidi"/>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9DA0CF6-DD1A-4376-8413-2CCF2B668F46}">
  <ds:schemaRefs/>
</ds:datastoreItem>
</file>

<file path=docProps/app.xml><?xml version="1.0" encoding="utf-8"?>
<Properties xmlns="http://schemas.openxmlformats.org/officeDocument/2006/extended-properties" xmlns:vt="http://schemas.openxmlformats.org/officeDocument/2006/docPropsVTypes">
  <Template>Normal</Template>
  <Pages>32</Pages>
  <Words>11037</Words>
  <Characters>11493</Characters>
  <Lines>82</Lines>
  <Paragraphs>23</Paragraphs>
  <TotalTime>5</TotalTime>
  <ScaleCrop>false</ScaleCrop>
  <LinksUpToDate>false</LinksUpToDate>
  <CharactersWithSpaces>11635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2024-04-12T07:46:00Z</dcterms:created>
  <dc:creator>张 宇</dc:creator>
  <cp:lastModifiedBy>琛</cp:lastModifiedBy>
  <cp:lastPrinted>2024-05-20T04:13:00Z</cp:lastPrinted>
  <dcterms:modified xsi:type="dcterms:W3CDTF">2024-09-12T08:57:43Z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8AD2176E79924C9BB15B72A4CAC88BF2_13</vt:lpwstr>
  </property>
</Properties>
</file>