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b w:val="0"/>
          <w:bCs/>
          <w:color w:val="auto"/>
          <w:sz w:val="44"/>
          <w:szCs w:val="44"/>
        </w:rPr>
      </w:pPr>
      <w:r>
        <w:rPr>
          <w:rFonts w:hint="eastAsia" w:ascii="方正小标宋_GBK" w:hAnsi="方正小标宋_GBK" w:eastAsia="方正小标宋_GBK" w:cs="方正小标宋_GBK"/>
          <w:sz w:val="44"/>
          <w:szCs w:val="44"/>
        </w:rPr>
        <w:t>《</w:t>
      </w:r>
      <w:r>
        <w:rPr>
          <w:rFonts w:hint="default" w:ascii="Times New Roman" w:hAnsi="Times New Roman" w:eastAsia="方正小标宋_GBK" w:cs="Times New Roman"/>
          <w:b w:val="0"/>
          <w:bCs/>
          <w:color w:val="auto"/>
          <w:sz w:val="44"/>
          <w:szCs w:val="44"/>
        </w:rPr>
        <w:t>关于加强新建建筑工程室内给水系统生活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b w:val="0"/>
          <w:bCs/>
          <w:color w:val="auto"/>
          <w:sz w:val="44"/>
          <w:szCs w:val="44"/>
        </w:rPr>
        <w:t>饮用水水质管理的通知</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征求意见稿</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的起草说明</w:t>
      </w:r>
    </w:p>
    <w:p>
      <w:pPr>
        <w:keepNext w:val="0"/>
        <w:keepLines w:val="0"/>
        <w:pageBreakBefore w:val="0"/>
        <w:widowControl w:val="0"/>
        <w:kinsoku/>
        <w:wordWrap/>
        <w:overflowPunct w:val="0"/>
        <w:topLinePunct w:val="0"/>
        <w:bidi w:val="0"/>
        <w:spacing w:line="560" w:lineRule="exact"/>
        <w:ind w:left="0" w:leftChars="0" w:right="0" w:rightChars="0"/>
        <w:textAlignment w:val="auto"/>
        <w:outlineLvl w:val="9"/>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一、起草背景与目的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自2025年5月，市检察院开展“源头水”到“水龙头”饮用水</w:t>
      </w:r>
      <w:r>
        <w:rPr>
          <w:rFonts w:hint="eastAsia" w:ascii="Times New Roman" w:hAnsi="Times New Roman" w:eastAsia="方正仿宋_GBK" w:cs="Times New Roman"/>
          <w:sz w:val="32"/>
          <w:szCs w:val="32"/>
          <w:lang w:eastAsia="zh-CN"/>
        </w:rPr>
        <w:t>公益诉讼专项监督工作并向我局提出了整改建议，</w:t>
      </w:r>
      <w:r>
        <w:rPr>
          <w:rFonts w:hint="eastAsia" w:ascii="Times New Roman" w:hAnsi="Times New Roman" w:eastAsia="方正仿宋_GBK"/>
          <w:sz w:val="32"/>
          <w:szCs w:val="32"/>
          <w:lang w:val="en-US" w:eastAsia="zh-CN"/>
        </w:rPr>
        <w:t>要求我局与水务局、卫健委积极履行职责，建立对二次供水设施的设计、审查、竣工验收监管工作机制</w:t>
      </w:r>
      <w:r>
        <w:rPr>
          <w:rFonts w:hint="eastAsia" w:ascii="Times New Roman" w:hAnsi="Times New Roman" w:eastAsia="方正仿宋_GBK"/>
          <w:sz w:val="32"/>
          <w:szCs w:val="32"/>
          <w:lang w:eastAsia="zh-CN"/>
        </w:rPr>
        <w:t>。为</w:t>
      </w:r>
      <w:r>
        <w:rPr>
          <w:rFonts w:hint="default" w:ascii="Times New Roman" w:hAnsi="Times New Roman" w:eastAsia="方正仿宋_GBK" w:cs="Times New Roman"/>
          <w:color w:val="auto"/>
          <w:sz w:val="32"/>
          <w:szCs w:val="32"/>
        </w:rPr>
        <w:t>落实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源头水</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水龙头</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饮用水安全公益诉讼专项监督任务部署</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强化新建建筑工程室内给水系统水质</w:t>
      </w:r>
      <w:r>
        <w:rPr>
          <w:rFonts w:hint="eastAsia" w:ascii="Times New Roman" w:hAnsi="Times New Roman" w:eastAsia="方正仿宋_GBK" w:cs="Times New Roman"/>
          <w:color w:val="auto"/>
          <w:kern w:val="2"/>
          <w:sz w:val="32"/>
          <w:szCs w:val="32"/>
          <w:lang w:val="en-US" w:eastAsia="zh-CN" w:bidi="ar-SA"/>
        </w:rPr>
        <w:t>的</w:t>
      </w:r>
      <w:r>
        <w:rPr>
          <w:rFonts w:hint="default" w:ascii="Times New Roman" w:hAnsi="Times New Roman" w:eastAsia="方正仿宋_GBK" w:cs="Times New Roman"/>
          <w:color w:val="auto"/>
          <w:sz w:val="32"/>
          <w:szCs w:val="32"/>
        </w:rPr>
        <w:t>全过程监管，防范因材料、施工等环节导致的水质污染</w:t>
      </w:r>
      <w:r>
        <w:rPr>
          <w:rFonts w:hint="eastAsia" w:ascii="Times New Roman" w:hAnsi="Times New Roman" w:eastAsia="方正仿宋_GBK" w:cs="Times New Roman"/>
          <w:color w:val="auto"/>
          <w:kern w:val="2"/>
          <w:sz w:val="32"/>
          <w:szCs w:val="32"/>
          <w:lang w:val="en-US" w:eastAsia="zh-CN" w:bidi="ar-SA"/>
        </w:rPr>
        <w:t>问题</w:t>
      </w:r>
      <w:r>
        <w:rPr>
          <w:rFonts w:hint="default" w:ascii="Times New Roman" w:hAnsi="Times New Roman" w:eastAsia="方正仿宋_GBK" w:cs="Times New Roman"/>
          <w:color w:val="auto"/>
          <w:sz w:val="32"/>
          <w:szCs w:val="32"/>
        </w:rPr>
        <w:t>，切实保障群众生活饮用水安全，</w:t>
      </w:r>
      <w:r>
        <w:rPr>
          <w:rFonts w:hint="eastAsia" w:ascii="Times New Roman" w:hAnsi="Times New Roman" w:eastAsia="方正仿宋_GBK" w:cs="Times New Roman"/>
          <w:color w:val="auto"/>
          <w:sz w:val="32"/>
          <w:szCs w:val="32"/>
          <w:lang w:eastAsia="zh-CN"/>
        </w:rPr>
        <w:t>我局依据</w:t>
      </w:r>
      <w:r>
        <w:rPr>
          <w:rFonts w:hint="default" w:ascii="Times New Roman" w:hAnsi="Times New Roman" w:eastAsia="方正仿宋_GBK" w:cs="Times New Roman"/>
          <w:color w:val="auto"/>
          <w:sz w:val="32"/>
          <w:szCs w:val="32"/>
        </w:rPr>
        <w:t>现行国家有关标准规范要求，</w:t>
      </w:r>
      <w:r>
        <w:rPr>
          <w:rFonts w:hint="eastAsia" w:ascii="Times New Roman" w:hAnsi="Times New Roman" w:eastAsia="方正仿宋_GBK" w:cs="Times New Roman"/>
          <w:color w:val="auto"/>
          <w:sz w:val="32"/>
          <w:szCs w:val="32"/>
          <w:lang w:eastAsia="zh-CN"/>
        </w:rPr>
        <w:t>结合工作职责，起草了《关于加强新建建筑工程室内给水系统生活饮用水水质管理的通知》。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工作过程</w:t>
      </w:r>
    </w:p>
    <w:p>
      <w:pPr>
        <w:keepNext w:val="0"/>
        <w:keepLines w:val="0"/>
        <w:pageBreakBefore w:val="0"/>
        <w:widowControl w:val="0"/>
        <w:tabs>
          <w:tab w:val="left" w:pos="588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_GBK"/>
          <w:b w:val="0"/>
          <w:bCs w:val="0"/>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在2025年9月初稿完成后，我局向第三方审图机构、市建设工程质量监督站及我市供排水领域资深专家征询了意见建议，并根据反馈的意见建议进行了修改完善，形成了</w:t>
      </w:r>
      <w:r>
        <w:rPr>
          <w:rFonts w:hint="eastAsia" w:ascii="Times New Roman" w:hAnsi="Times New Roman" w:eastAsia="方正仿宋_GBK" w:cs="Times New Roman"/>
          <w:color w:val="auto"/>
          <w:sz w:val="32"/>
          <w:szCs w:val="32"/>
          <w:lang w:eastAsia="zh-CN"/>
        </w:rPr>
        <w:t>《关于加强新建建筑工程室内给水系统生活饮用水水质管理的通知（拟定稿）》</w:t>
      </w:r>
      <w:r>
        <w:rPr>
          <w:rFonts w:hint="eastAsia" w:ascii="Times New Roman" w:hAnsi="Times New Roman" w:eastAsia="方正仿宋_GBK" w:cs="Times New Roman"/>
          <w:b w:val="0"/>
          <w:bCs w:val="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w:t>
      </w:r>
      <w:r>
        <w:rPr>
          <w:rFonts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核心内容框架</w:t>
      </w:r>
      <w:bookmarkStart w:id="0" w:name="_GoBack"/>
      <w:bookmarkEnd w:id="0"/>
    </w:p>
    <w:p>
      <w:pPr>
        <w:keepNext w:val="0"/>
        <w:keepLines w:val="0"/>
        <w:pageBreakBefore w:val="0"/>
        <w:widowControl w:val="0"/>
        <w:tabs>
          <w:tab w:val="left" w:pos="588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本通知围绕新建建筑工程室内给水系统水质管理，分四个维度明确要求，覆盖项目全周期：</w:t>
      </w:r>
    </w:p>
    <w:p>
      <w:pPr>
        <w:keepNext w:val="0"/>
        <w:keepLines w:val="0"/>
        <w:pageBreakBefore w:val="0"/>
        <w:widowControl w:val="0"/>
        <w:tabs>
          <w:tab w:val="left" w:pos="588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（一）事前预防：深化设计审查与技术交底</w:t>
      </w:r>
    </w:p>
    <w:p>
      <w:pPr>
        <w:keepNext w:val="0"/>
        <w:keepLines w:val="0"/>
        <w:pageBreakBefore w:val="0"/>
        <w:widowControl w:val="0"/>
        <w:tabs>
          <w:tab w:val="left" w:pos="588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将给水系统水质保障措施列为施工图审查核心内容，未明确水质保障措施的设计文件，一律不予通过审查。设计单位须向施工、监理单位专项交底，明确管道冲洗、消毒工艺、压力试验参数等强制性要求；施工单位需将交底内容纳入施工组织设计，编制水质防控专项方案，明确管网末梢水取样检测流程与责任。</w:t>
      </w:r>
    </w:p>
    <w:p>
      <w:pPr>
        <w:keepNext w:val="0"/>
        <w:keepLines w:val="0"/>
        <w:pageBreakBefore w:val="0"/>
        <w:widowControl w:val="0"/>
        <w:tabs>
          <w:tab w:val="left" w:pos="588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（二）事中监督：强化过程管控与材料、施工管理</w:t>
      </w:r>
    </w:p>
    <w:p>
      <w:pPr>
        <w:keepNext w:val="0"/>
        <w:keepLines w:val="0"/>
        <w:pageBreakBefore w:val="0"/>
        <w:widowControl w:val="0"/>
        <w:tabs>
          <w:tab w:val="left" w:pos="588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建设单位需专项列支水质管理费用，不得降低水质标准；施工单位建立水质防控任务书，规范管道清洗、接口密封等工序，严禁使用非食品级材料；监理单位将水质管控纳入监理细则，对关键环节旁站监理，见证取样过程并监督整改。</w:t>
      </w:r>
    </w:p>
    <w:p>
      <w:pPr>
        <w:keepNext w:val="0"/>
        <w:keepLines w:val="0"/>
        <w:pageBreakBefore w:val="0"/>
        <w:widowControl w:val="0"/>
        <w:tabs>
          <w:tab w:val="left" w:pos="588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明确管材、管件、阀门等须符合《生活饮用水输配水设备及防护材料的安全性评价标准》（GB/T 17219），实行“先检后用”制度，施工、监理单位核查质量证明文件与检测报告，不合格材料一律清退，鼓励选用绿色建材。同时，规范施工与交叉作业，重点管控管道压力试验、冲洗消毒、临时密封保护；严禁给水管道施工与油漆、水泥搅拌等污染性工序同步进行，确需同步需采取隔离措施。</w:t>
      </w:r>
    </w:p>
    <w:p>
      <w:pPr>
        <w:keepNext w:val="0"/>
        <w:keepLines w:val="0"/>
        <w:pageBreakBefore w:val="0"/>
        <w:widowControl w:val="0"/>
        <w:tabs>
          <w:tab w:val="left" w:pos="588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（三）事后验收：严把检测关口与整改闭环</w:t>
      </w:r>
    </w:p>
    <w:p>
      <w:pPr>
        <w:keepNext w:val="0"/>
        <w:keepLines w:val="0"/>
        <w:pageBreakBefore w:val="0"/>
        <w:widowControl w:val="0"/>
        <w:tabs>
          <w:tab w:val="left" w:pos="588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通水前，建设单位须委托具备法定资质的第三方机构检测；取样位置随机确定，微生物检测前需消毒水龙头，检测项目覆盖 国家标准常规项目，检测信息接入乌鲁木齐市智慧工地监管服务平台，与卫健、水务部门共享。</w:t>
      </w:r>
    </w:p>
    <w:p>
      <w:pPr>
        <w:keepNext w:val="0"/>
        <w:keepLines w:val="0"/>
        <w:pageBreakBefore w:val="0"/>
        <w:widowControl w:val="0"/>
        <w:tabs>
          <w:tab w:val="left" w:pos="588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检测不合格的，由质量监督机构责令施工单位限期整改，监理单位旁站跟踪；水质检测合格报告作为竣工验收必备资料，未完成冲洗消毒或检测不合格的，不得组织竣工验收。</w:t>
      </w:r>
    </w:p>
    <w:p>
      <w:pPr>
        <w:keepNext w:val="0"/>
        <w:keepLines w:val="0"/>
        <w:pageBreakBefore w:val="0"/>
        <w:widowControl w:val="0"/>
        <w:tabs>
          <w:tab w:val="left" w:pos="588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（四）保障措施：强化监管与长效机制</w:t>
      </w:r>
    </w:p>
    <w:p>
      <w:pPr>
        <w:keepNext w:val="0"/>
        <w:keepLines w:val="0"/>
        <w:pageBreakBefore w:val="0"/>
        <w:widowControl w:val="0"/>
        <w:tabs>
          <w:tab w:val="left" w:pos="588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市、区（县）质量监督机构将水质管理纳入监督重点，通过定期巡查、随机抽查监督参建单位行为，对违法违规行为从严处罚，记入信用档案并“红黑榜”公示。定期组织参建单位开展专项培训，解读材料验收、取样流程、检测标准；督促建设单位完善二次供水水质群众线索回应机制，交付后每半年回访，解决群众诉求。</w:t>
      </w:r>
    </w:p>
    <w:p>
      <w:pPr>
        <w:keepNext w:val="0"/>
        <w:keepLines w:val="0"/>
        <w:pageBreakBefore w:val="0"/>
        <w:widowControl w:val="0"/>
        <w:tabs>
          <w:tab w:val="left" w:pos="588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为进一步细化实操标准，《通知》附《建筑工程给水系统管材管件质量进场验收及生活饮用水水质见证检测要求》，明确检验依据、材料验收要求、水质检测细则及检测机构资质。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2312" w:cs="Times New Roman"/>
          <w:color w:val="auto"/>
          <w:sz w:val="32"/>
          <w:szCs w:val="32"/>
        </w:rPr>
      </w:pPr>
    </w:p>
    <w:p>
      <w:pPr>
        <w:keepNext w:val="0"/>
        <w:keepLines w:val="0"/>
        <w:pageBreakBefore w:val="0"/>
        <w:widowControl w:val="0"/>
        <w:kinsoku/>
        <w:wordWrap/>
        <w:overflowPunct/>
        <w:topLinePunct w:val="0"/>
        <w:autoSpaceDE/>
        <w:autoSpaceDN/>
        <w:bidi w:val="0"/>
        <w:spacing w:line="560" w:lineRule="exact"/>
        <w:ind w:firstLine="420" w:firstLineChars="200"/>
        <w:textAlignment w:val="auto"/>
      </w:pPr>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9F6A40"/>
    <w:rsid w:val="DB9F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2025-10-14T17:40:00Z</dcterms:created>
  <dc:creator>user</dc:creator>
  <cp:lastModifiedBy>user</cp:lastModifiedBy>
  <dcterms:modified xsi:type="dcterms:W3CDTF">2025-10-14T17:44:58Z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6B07DC3F55ACC48AA81AEE682D3201F2_41</vt:lpwstr>
  </property>
</Properties>
</file>