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仿宋_GBK" w:cs="Times New Roman"/>
          <w:sz w:val="32"/>
          <w:szCs w:val="32"/>
        </w:rPr>
        <w:t>乌政办</w:t>
      </w:r>
      <w:r>
        <w:rPr>
          <w:rFonts w:hint="eastAsia" w:ascii="Times New Roman" w:hAnsi="Times New Roman" w:eastAsia="方正仿宋_GBK" w:cs="Times New Roman"/>
          <w:sz w:val="32"/>
          <w:szCs w:val="32"/>
          <w:lang w:eastAsia="zh-CN"/>
        </w:rPr>
        <w:t>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号</w:t>
      </w: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kinsoku/>
        <w:wordWrap/>
        <w:topLinePunct w:val="0"/>
        <w:autoSpaceDE/>
        <w:autoSpaceDN/>
        <w:bidi w:val="0"/>
        <w:spacing w:line="56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乌鲁木齐市人民政府办公室</w:t>
      </w: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印发《关于支持铜产业高质量发展的若干措施》</w:t>
      </w:r>
      <w:r>
        <w:rPr>
          <w:rFonts w:ascii="Times New Roman" w:hAnsi="Times New Roman" w:eastAsia="方正小标宋_GBK" w:cs="Times New Roman"/>
          <w:sz w:val="44"/>
          <w:szCs w:val="44"/>
        </w:rPr>
        <w:t>的通知</w:t>
      </w:r>
    </w:p>
    <w:p>
      <w:pPr>
        <w:keepNext w:val="0"/>
        <w:keepLines w:val="0"/>
        <w:pageBreakBefore w:val="0"/>
        <w:widowControl/>
        <w:kinsoku/>
        <w:wordWrap/>
        <w:topLinePunct w:val="0"/>
        <w:autoSpaceDE/>
        <w:autoSpaceDN/>
        <w:bidi w:val="0"/>
        <w:spacing w:line="560" w:lineRule="exact"/>
        <w:ind w:firstLine="640" w:firstLineChars="200"/>
        <w:textAlignment w:val="auto"/>
        <w:rPr>
          <w:rFonts w:ascii="Times New Roman" w:hAnsi="Times New Roman" w:eastAsia="仿宋" w:cs="Times New Roman"/>
          <w:sz w:val="32"/>
          <w:szCs w:val="32"/>
        </w:rPr>
      </w:pPr>
    </w:p>
    <w:p>
      <w:pPr>
        <w:keepNext w:val="0"/>
        <w:keepLines w:val="0"/>
        <w:pageBreakBefore w:val="0"/>
        <w:widowControl/>
        <w:kinsoku/>
        <w:wordWrap/>
        <w:overflowPunct w:val="0"/>
        <w:topLinePunct w:val="0"/>
        <w:autoSpaceDE/>
        <w:autoSpaceDN/>
        <w:bidi w:val="0"/>
        <w:spacing w:line="56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乌鲁木齐县、各区人民政府，乌鲁木齐经济技术开发区、高新技术产业开发区、甘泉堡经济技术开发区（工业区）管委会，市发展改革委、科学技术局、工业和信息化局、财政局、自然资源局、生态环境局、城市管理局、水务局、商务局、统计局、税务局</w:t>
      </w:r>
      <w:r>
        <w:rPr>
          <w:rFonts w:hint="eastAsia" w:ascii="Times New Roman" w:hAnsi="Times New Roman" w:eastAsia="方正仿宋_GBK" w:cs="Times New Roman"/>
          <w:sz w:val="32"/>
          <w:szCs w:val="32"/>
        </w:rPr>
        <w:t>：</w:t>
      </w:r>
    </w:p>
    <w:p>
      <w:pPr>
        <w:keepNext w:val="0"/>
        <w:keepLines w:val="0"/>
        <w:pageBreakBefore w:val="0"/>
        <w:widowControl/>
        <w:kinsoku/>
        <w:wordWrap/>
        <w:overflowPunct w:val="0"/>
        <w:topLinePunct w:val="0"/>
        <w:autoSpaceDE/>
        <w:autoSpaceDN/>
        <w:bidi w:val="0"/>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关于支持铜产业高质量发展的若干措施</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已经市十七届人民政府第</w:t>
      </w:r>
      <w:r>
        <w:rPr>
          <w:rFonts w:hint="eastAsia" w:ascii="Times New Roman" w:hAnsi="Times New Roman" w:eastAsia="方正仿宋_GBK" w:cs="Times New Roman"/>
          <w:sz w:val="32"/>
          <w:szCs w:val="32"/>
          <w:lang w:val="en-US" w:eastAsia="zh-CN"/>
        </w:rPr>
        <w:t>104</w:t>
      </w:r>
      <w:r>
        <w:rPr>
          <w:rFonts w:hint="eastAsia" w:ascii="Times New Roman" w:hAnsi="Times New Roman" w:eastAsia="方正仿宋_GBK" w:cs="Times New Roman"/>
          <w:sz w:val="32"/>
          <w:szCs w:val="32"/>
        </w:rPr>
        <w:t>次常务会议研究同意，现印发</w:t>
      </w:r>
      <w:r>
        <w:rPr>
          <w:rFonts w:hint="eastAsia" w:ascii="Times New Roman" w:hAnsi="Times New Roman" w:eastAsia="方正仿宋_GBK" w:cs="Times New Roman"/>
          <w:sz w:val="32"/>
          <w:szCs w:val="32"/>
          <w:lang w:eastAsia="zh-CN"/>
        </w:rPr>
        <w:t>给</w:t>
      </w:r>
      <w:r>
        <w:rPr>
          <w:rFonts w:hint="eastAsia" w:ascii="Times New Roman" w:hAnsi="Times New Roman" w:eastAsia="方正仿宋_GBK" w:cs="Times New Roman"/>
          <w:sz w:val="32"/>
          <w:szCs w:val="32"/>
        </w:rPr>
        <w:t>你们，</w:t>
      </w:r>
      <w:r>
        <w:rPr>
          <w:rFonts w:ascii="Times New Roman" w:hAnsi="Times New Roman" w:eastAsia="方正仿宋_GBK" w:cs="Times New Roman"/>
          <w:sz w:val="32"/>
          <w:szCs w:val="32"/>
        </w:rPr>
        <w:t>请认真贯彻</w:t>
      </w:r>
      <w:r>
        <w:rPr>
          <w:rFonts w:hint="eastAsia" w:ascii="Times New Roman" w:hAnsi="Times New Roman" w:eastAsia="方正仿宋_GBK" w:cs="Times New Roman"/>
          <w:sz w:val="32"/>
          <w:szCs w:val="32"/>
        </w:rPr>
        <w:t>落实</w:t>
      </w:r>
      <w:r>
        <w:rPr>
          <w:rFonts w:ascii="Times New Roman" w:hAnsi="Times New Roman" w:eastAsia="方正仿宋_GBK" w:cs="Times New Roman"/>
          <w:sz w:val="32"/>
          <w:szCs w:val="32"/>
        </w:rPr>
        <w:t>。</w:t>
      </w:r>
    </w:p>
    <w:p>
      <w:pPr>
        <w:keepNext w:val="0"/>
        <w:keepLines w:val="0"/>
        <w:pageBreakBefore w:val="0"/>
        <w:widowControl/>
        <w:kinsoku/>
        <w:wordWrap/>
        <w:overflowPunct w:val="0"/>
        <w:topLinePunct w:val="0"/>
        <w:autoSpaceDE/>
        <w:autoSpaceDN/>
        <w:bidi w:val="0"/>
        <w:spacing w:line="560" w:lineRule="exact"/>
        <w:ind w:firstLine="640" w:firstLineChars="200"/>
        <w:textAlignment w:val="auto"/>
        <w:rPr>
          <w:rFonts w:ascii="Times New Roman" w:hAnsi="Times New Roman" w:eastAsia="方正仿宋_GBK" w:cs="Times New Roman"/>
          <w:sz w:val="32"/>
          <w:szCs w:val="32"/>
        </w:rPr>
      </w:pPr>
      <w:bookmarkStart w:id="0" w:name="_GoBack"/>
      <w:bookmarkEnd w:id="0"/>
    </w:p>
    <w:p>
      <w:pPr>
        <w:keepNext w:val="0"/>
        <w:keepLines w:val="0"/>
        <w:pageBreakBefore w:val="0"/>
        <w:widowControl/>
        <w:kinsoku/>
        <w:wordWrap/>
        <w:overflowPunct w:val="0"/>
        <w:topLinePunct w:val="0"/>
        <w:autoSpaceDE/>
        <w:autoSpaceDN/>
        <w:bidi w:val="0"/>
        <w:spacing w:line="56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kinsoku/>
        <w:wordWrap/>
        <w:overflowPunct w:val="0"/>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kinsoku/>
        <w:wordWrap/>
        <w:overflowPunct w:val="0"/>
        <w:topLinePunct w:val="0"/>
        <w:autoSpaceDE/>
        <w:autoSpaceDN/>
        <w:bidi w:val="0"/>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乌鲁木齐</w:t>
      </w:r>
      <w:r>
        <w:rPr>
          <w:rFonts w:hint="eastAsia" w:ascii="Times New Roman" w:hAnsi="Times New Roman" w:eastAsia="方正仿宋_GBK" w:cs="Times New Roman"/>
          <w:sz w:val="32"/>
          <w:szCs w:val="32"/>
        </w:rPr>
        <w:t>市人民政府办公室</w:t>
      </w:r>
    </w:p>
    <w:p>
      <w:pPr>
        <w:keepNext w:val="0"/>
        <w:keepLines w:val="0"/>
        <w:pageBreakBefore w:val="0"/>
        <w:widowControl w:val="0"/>
        <w:kinsoku/>
        <w:wordWrap/>
        <w:overflowPunct w:val="0"/>
        <w:topLinePunct w:val="0"/>
        <w:autoSpaceDE/>
        <w:autoSpaceDN/>
        <w:bidi w:val="0"/>
        <w:spacing w:line="560" w:lineRule="exact"/>
        <w:ind w:left="0" w:leftChars="0" w:right="0" w:rightChars="0" w:firstLine="0" w:firstLineChars="0"/>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eastAsia"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rPr>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关于支持铜产业高质量发展的若干措施</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为深入贯彻党的</w:t>
      </w:r>
      <w:r>
        <w:rPr>
          <w:rFonts w:hint="eastAsia" w:ascii="Times New Roman" w:hAnsi="Times New Roman" w:eastAsia="方正仿宋_GBK" w:cs="Times New Roman"/>
          <w:sz w:val="32"/>
          <w:szCs w:val="32"/>
          <w:shd w:val="clear" w:color="auto" w:fill="FFFFFF"/>
          <w:lang w:eastAsia="zh-CN"/>
        </w:rPr>
        <w:t>二十大和</w:t>
      </w:r>
      <w:r>
        <w:rPr>
          <w:rFonts w:hint="default" w:ascii="Times New Roman" w:hAnsi="Times New Roman" w:eastAsia="方正仿宋_GBK" w:cs="Times New Roman"/>
          <w:sz w:val="32"/>
          <w:szCs w:val="32"/>
          <w:shd w:val="clear" w:color="auto" w:fill="FFFFFF"/>
        </w:rPr>
        <w:t>二十届</w:t>
      </w:r>
      <w:r>
        <w:rPr>
          <w:rFonts w:hint="eastAsia" w:ascii="Times New Roman" w:hAnsi="Times New Roman" w:eastAsia="方正仿宋_GBK" w:cs="Times New Roman"/>
          <w:sz w:val="32"/>
          <w:szCs w:val="32"/>
          <w:shd w:val="clear" w:color="auto" w:fill="FFFFFF"/>
          <w:lang w:eastAsia="zh-CN"/>
        </w:rPr>
        <w:t>二中、</w:t>
      </w:r>
      <w:r>
        <w:rPr>
          <w:rFonts w:hint="default" w:ascii="Times New Roman" w:hAnsi="Times New Roman" w:eastAsia="方正仿宋_GBK" w:cs="Times New Roman"/>
          <w:sz w:val="32"/>
          <w:szCs w:val="32"/>
          <w:shd w:val="clear" w:color="auto" w:fill="FFFFFF"/>
        </w:rPr>
        <w:t>三中</w:t>
      </w:r>
      <w:r>
        <w:rPr>
          <w:rFonts w:hint="eastAsia" w:ascii="Times New Roman" w:hAnsi="Times New Roman" w:eastAsia="方正仿宋_GBK" w:cs="Times New Roman"/>
          <w:sz w:val="32"/>
          <w:szCs w:val="32"/>
          <w:shd w:val="clear" w:color="auto" w:fill="FFFFFF"/>
          <w:lang w:eastAsia="zh-CN"/>
        </w:rPr>
        <w:t>、四中</w:t>
      </w:r>
      <w:r>
        <w:rPr>
          <w:rFonts w:hint="default" w:ascii="Times New Roman" w:hAnsi="Times New Roman" w:eastAsia="方正仿宋_GBK" w:cs="Times New Roman"/>
          <w:sz w:val="32"/>
          <w:szCs w:val="32"/>
          <w:shd w:val="clear" w:color="auto" w:fill="FFFFFF"/>
        </w:rPr>
        <w:t>全会精神</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落实</w:t>
      </w:r>
      <w:r>
        <w:rPr>
          <w:rFonts w:hint="default" w:ascii="Times New Roman" w:hAnsi="Times New Roman" w:eastAsia="方正仿宋_GBK" w:cs="Times New Roman"/>
          <w:sz w:val="32"/>
          <w:szCs w:val="32"/>
          <w:shd w:val="clear" w:color="auto" w:fill="FFFFFF"/>
          <w:lang w:eastAsia="zh-CN"/>
        </w:rPr>
        <w:t>工业和信息化部等十一部门联合印发的</w:t>
      </w:r>
      <w:r>
        <w:rPr>
          <w:rFonts w:hint="default" w:ascii="Times New Roman" w:hAnsi="Times New Roman" w:eastAsia="方正仿宋_GBK" w:cs="Times New Roman"/>
          <w:sz w:val="32"/>
          <w:szCs w:val="32"/>
          <w:shd w:val="clear" w:color="auto" w:fill="FFFFFF"/>
        </w:rPr>
        <w:t>《铜产业高质量发展实施方案（2025—2027 年）》</w:t>
      </w:r>
      <w:r>
        <w:rPr>
          <w:rFonts w:hint="default" w:ascii="Times New Roman" w:hAnsi="Times New Roman" w:eastAsia="方正仿宋_GBK" w:cs="Times New Roman"/>
          <w:sz w:val="32"/>
          <w:szCs w:val="32"/>
          <w:shd w:val="clear" w:color="auto" w:fill="FFFFFF"/>
          <w:lang w:eastAsia="zh-CN"/>
        </w:rPr>
        <w:t>有关要求</w:t>
      </w:r>
      <w:r>
        <w:rPr>
          <w:rFonts w:hint="default" w:ascii="Times New Roman" w:hAnsi="Times New Roman" w:eastAsia="方正仿宋_GBK" w:cs="Times New Roman"/>
          <w:sz w:val="32"/>
          <w:szCs w:val="32"/>
          <w:shd w:val="clear" w:color="auto" w:fill="FFFFFF"/>
        </w:rPr>
        <w:t>，完善我市</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5+2</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现代工业体系重点产业链，推动铜产业高质量发展，制定</w:t>
      </w:r>
      <w:r>
        <w:rPr>
          <w:rFonts w:hint="eastAsia" w:ascii="Times New Roman" w:hAnsi="Times New Roman" w:eastAsia="方正仿宋_GBK" w:cs="Times New Roman"/>
          <w:sz w:val="32"/>
          <w:szCs w:val="32"/>
          <w:shd w:val="clear" w:color="auto" w:fill="FFFFFF"/>
          <w:lang w:eastAsia="zh-CN"/>
        </w:rPr>
        <w:t>如下</w:t>
      </w:r>
      <w:r>
        <w:rPr>
          <w:rFonts w:hint="default" w:ascii="Times New Roman" w:hAnsi="Times New Roman" w:eastAsia="方正仿宋_GBK" w:cs="Times New Roman"/>
          <w:sz w:val="32"/>
          <w:szCs w:val="32"/>
          <w:shd w:val="clear" w:color="auto" w:fill="FFFFFF"/>
        </w:rPr>
        <w:t>措施。</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eastAsia" w:ascii="方正黑体_GBK" w:hAnsi="方正黑体_GBK" w:eastAsia="方正黑体_GBK" w:cs="方正黑体_GBK"/>
          <w:sz w:val="32"/>
          <w:szCs w:val="32"/>
          <w:shd w:val="clear" w:color="auto" w:fill="FFFFFF"/>
        </w:rPr>
        <w:t>一、培育优质企业。</w:t>
      </w:r>
      <w:r>
        <w:rPr>
          <w:rFonts w:hint="default" w:ascii="Times New Roman" w:hAnsi="Times New Roman" w:eastAsia="方正仿宋_GBK" w:cs="Times New Roman"/>
          <w:sz w:val="32"/>
          <w:szCs w:val="32"/>
          <w:shd w:val="clear" w:color="auto" w:fill="FFFFFF"/>
          <w:lang w:val="en-US" w:eastAsia="zh-CN"/>
        </w:rPr>
        <w:t>深入实施优质企业培育工程，鼓励有条件的企业开展兼并重组，培育引进一批</w:t>
      </w:r>
      <w:r>
        <w:rPr>
          <w:rFonts w:hint="default" w:ascii="Times New Roman" w:hAnsi="Times New Roman" w:eastAsia="方正仿宋_GBK" w:cs="Times New Roman"/>
          <w:sz w:val="32"/>
          <w:szCs w:val="32"/>
          <w:shd w:val="clear" w:color="auto" w:fill="FFFFFF"/>
        </w:rPr>
        <w:t>高附加值</w:t>
      </w:r>
      <w:r>
        <w:rPr>
          <w:rFonts w:hint="default" w:ascii="Times New Roman" w:hAnsi="Times New Roman" w:eastAsia="方正仿宋_GBK" w:cs="Times New Roman"/>
          <w:sz w:val="32"/>
          <w:szCs w:val="32"/>
          <w:shd w:val="clear" w:color="auto" w:fill="FFFFFF"/>
          <w:lang w:eastAsia="zh-CN"/>
        </w:rPr>
        <w:t>铜</w:t>
      </w:r>
      <w:r>
        <w:rPr>
          <w:rFonts w:hint="default" w:ascii="Times New Roman" w:hAnsi="Times New Roman" w:eastAsia="方正仿宋_GBK" w:cs="Times New Roman"/>
          <w:sz w:val="32"/>
          <w:szCs w:val="32"/>
          <w:shd w:val="clear" w:color="auto" w:fill="FFFFFF"/>
        </w:rPr>
        <w:t>产品生产加工企业，</w:t>
      </w:r>
      <w:r>
        <w:rPr>
          <w:rFonts w:hint="default" w:ascii="Times New Roman" w:hAnsi="Times New Roman" w:eastAsia="方正仿宋_GBK" w:cs="Times New Roman"/>
          <w:sz w:val="32"/>
          <w:szCs w:val="32"/>
          <w:shd w:val="clear" w:color="auto" w:fill="FFFFFF"/>
          <w:lang w:val="en-US" w:eastAsia="zh-CN"/>
        </w:rPr>
        <w:t>推动打造具有行业影响力的一流企业。</w:t>
      </w:r>
      <w:r>
        <w:rPr>
          <w:rFonts w:hint="default" w:ascii="Times New Roman" w:hAnsi="Times New Roman" w:eastAsia="方正仿宋_GBK" w:cs="Times New Roman"/>
          <w:sz w:val="32"/>
          <w:szCs w:val="32"/>
          <w:shd w:val="clear" w:color="auto" w:fill="FFFFFF"/>
        </w:rPr>
        <w:t>〔责任单位：</w:t>
      </w:r>
      <w:r>
        <w:rPr>
          <w:rFonts w:hint="default" w:ascii="Times New Roman" w:hAnsi="Times New Roman" w:eastAsia="方正仿宋_GBK" w:cs="Times New Roman"/>
          <w:sz w:val="32"/>
          <w:szCs w:val="32"/>
          <w:shd w:val="clear" w:color="auto" w:fill="FFFFFF"/>
          <w:lang w:eastAsia="zh-CN"/>
        </w:rPr>
        <w:t>各区（县）</w:t>
      </w:r>
      <w:r>
        <w:rPr>
          <w:rFonts w:hint="default" w:ascii="Times New Roman" w:hAnsi="Times New Roman" w:eastAsia="方正仿宋_GBK" w:cs="Times New Roman"/>
          <w:sz w:val="32"/>
          <w:szCs w:val="32"/>
          <w:shd w:val="clear" w:color="auto" w:fill="FFFFFF"/>
        </w:rPr>
        <w:t>，市工信局〕</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rPr>
        <w:t>二、提高产业链</w:t>
      </w:r>
      <w:r>
        <w:rPr>
          <w:rFonts w:hint="default" w:ascii="方正黑体_GBK" w:hAnsi="方正黑体_GBK" w:eastAsia="方正黑体_GBK" w:cs="方正黑体_GBK"/>
          <w:sz w:val="32"/>
          <w:szCs w:val="32"/>
          <w:shd w:val="clear" w:color="auto" w:fill="FFFFFF"/>
          <w:lang w:eastAsia="zh-CN"/>
        </w:rPr>
        <w:t>协同</w:t>
      </w:r>
      <w:r>
        <w:rPr>
          <w:rFonts w:hint="default" w:ascii="方正黑体_GBK" w:hAnsi="方正黑体_GBK" w:eastAsia="方正黑体_GBK" w:cs="方正黑体_GBK"/>
          <w:sz w:val="32"/>
          <w:szCs w:val="32"/>
          <w:shd w:val="clear" w:color="auto" w:fill="FFFFFF"/>
        </w:rPr>
        <w:t>配套。</w:t>
      </w:r>
      <w:r>
        <w:rPr>
          <w:rFonts w:hint="default" w:ascii="Times New Roman" w:hAnsi="Times New Roman" w:eastAsia="方正仿宋_GBK" w:cs="Times New Roman"/>
          <w:sz w:val="32"/>
          <w:szCs w:val="32"/>
          <w:shd w:val="clear" w:color="auto" w:fill="FFFFFF"/>
        </w:rPr>
        <w:t>举办产销对接、产业专题推介等活动，完善企业供需对接信息平台，支持</w:t>
      </w:r>
      <w:r>
        <w:rPr>
          <w:rFonts w:hint="default" w:ascii="Times New Roman" w:hAnsi="Times New Roman" w:eastAsia="方正仿宋_GBK" w:cs="Times New Roman"/>
          <w:sz w:val="32"/>
          <w:szCs w:val="32"/>
          <w:shd w:val="clear" w:color="auto" w:fill="FFFFFF"/>
          <w:lang w:eastAsia="zh-CN"/>
        </w:rPr>
        <w:t>铜行业企业</w:t>
      </w:r>
      <w:r>
        <w:rPr>
          <w:rFonts w:hint="default" w:ascii="Times New Roman" w:hAnsi="Times New Roman" w:eastAsia="方正仿宋_GBK" w:cs="Times New Roman"/>
          <w:sz w:val="32"/>
          <w:szCs w:val="32"/>
          <w:shd w:val="clear" w:color="auto" w:fill="FFFFFF"/>
        </w:rPr>
        <w:t>和下游应用企业开展多方位供需对接，提高行业协同配套率和跨行业耦合发展度。〔责任单位：</w:t>
      </w:r>
      <w:r>
        <w:rPr>
          <w:rFonts w:hint="default" w:ascii="Times New Roman" w:hAnsi="Times New Roman" w:eastAsia="方正仿宋_GBK" w:cs="Times New Roman"/>
          <w:sz w:val="32"/>
          <w:szCs w:val="32"/>
          <w:shd w:val="clear" w:color="auto" w:fill="FFFFFF"/>
          <w:lang w:eastAsia="zh-CN"/>
        </w:rPr>
        <w:t>各区（县）</w:t>
      </w:r>
      <w:r>
        <w:rPr>
          <w:rFonts w:hint="default" w:ascii="Times New Roman" w:hAnsi="Times New Roman" w:eastAsia="方正仿宋_GBK" w:cs="Times New Roman"/>
          <w:sz w:val="32"/>
          <w:szCs w:val="32"/>
          <w:shd w:val="clear" w:color="auto" w:fill="FFFFFF"/>
        </w:rPr>
        <w:t>，市工信局〕</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lang w:eastAsia="zh-CN"/>
        </w:rPr>
        <w:t>三</w:t>
      </w:r>
      <w:r>
        <w:rPr>
          <w:rFonts w:hint="default" w:ascii="方正黑体_GBK" w:hAnsi="方正黑体_GBK" w:eastAsia="方正黑体_GBK" w:cs="方正黑体_GBK"/>
          <w:sz w:val="32"/>
          <w:szCs w:val="32"/>
          <w:shd w:val="clear" w:color="auto" w:fill="FFFFFF"/>
        </w:rPr>
        <w:t>、提升资源保供能力。</w:t>
      </w:r>
      <w:r>
        <w:rPr>
          <w:rFonts w:hint="default" w:ascii="Times New Roman" w:hAnsi="Times New Roman" w:eastAsia="方正仿宋_GBK" w:cs="Times New Roman"/>
          <w:sz w:val="32"/>
          <w:szCs w:val="32"/>
          <w:shd w:val="clear" w:color="auto" w:fill="FFFFFF"/>
          <w:lang w:val="en-US" w:eastAsia="zh-CN"/>
        </w:rPr>
        <w:t>全力推进新一轮找矿突破战略行动，加大铜矿资源勘查力度，鼓励和支持铜矿企业在采矿权范围内开展上部或深部找矿工作。支持铜矿企业开展技改和资源整合，提升原料保供能力</w:t>
      </w:r>
      <w:r>
        <w:rPr>
          <w:rFonts w:hint="default" w:ascii="Times New Roman" w:hAnsi="Times New Roman" w:eastAsia="方正仿宋_GBK" w:cs="Times New Roman"/>
          <w:sz w:val="32"/>
          <w:szCs w:val="32"/>
          <w:shd w:val="clear" w:color="auto" w:fill="FFFFFF"/>
        </w:rPr>
        <w:t>。〔责任单位：</w:t>
      </w:r>
      <w:r>
        <w:rPr>
          <w:rFonts w:hint="default" w:ascii="Times New Roman" w:hAnsi="Times New Roman" w:eastAsia="方正仿宋_GBK" w:cs="Times New Roman"/>
          <w:sz w:val="32"/>
          <w:szCs w:val="32"/>
          <w:shd w:val="clear" w:color="auto" w:fill="FFFFFF"/>
          <w:lang w:eastAsia="zh-CN"/>
        </w:rPr>
        <w:t>各区（县）</w:t>
      </w:r>
      <w:r>
        <w:rPr>
          <w:rFonts w:hint="default" w:ascii="Times New Roman" w:hAnsi="Times New Roman" w:eastAsia="方正仿宋_GBK" w:cs="Times New Roman"/>
          <w:sz w:val="32"/>
          <w:szCs w:val="32"/>
          <w:shd w:val="clear" w:color="auto" w:fill="FFFFFF"/>
        </w:rPr>
        <w:t>，市自然资源局〕</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lang w:eastAsia="zh-CN"/>
        </w:rPr>
        <w:t>四</w:t>
      </w:r>
      <w:r>
        <w:rPr>
          <w:rFonts w:hint="default" w:ascii="方正黑体_GBK" w:hAnsi="方正黑体_GBK" w:eastAsia="方正黑体_GBK" w:cs="方正黑体_GBK"/>
          <w:sz w:val="32"/>
          <w:szCs w:val="32"/>
          <w:shd w:val="clear" w:color="auto" w:fill="FFFFFF"/>
        </w:rPr>
        <w:t>、强化科技创新支撑。</w:t>
      </w:r>
      <w:r>
        <w:rPr>
          <w:rFonts w:hint="default" w:ascii="Times New Roman" w:hAnsi="Times New Roman" w:eastAsia="方正仿宋_GBK" w:cs="Times New Roman"/>
          <w:sz w:val="32"/>
          <w:szCs w:val="32"/>
          <w:shd w:val="clear" w:color="auto" w:fill="FFFFFF"/>
          <w:lang w:eastAsia="zh-CN"/>
        </w:rPr>
        <w:t>支持铜行业企业建立</w:t>
      </w:r>
      <w:r>
        <w:rPr>
          <w:rFonts w:hint="default" w:ascii="Times New Roman" w:hAnsi="Times New Roman" w:eastAsia="方正仿宋_GBK" w:cs="Times New Roman"/>
          <w:b w:val="0"/>
          <w:bCs w:val="0"/>
          <w:sz w:val="32"/>
          <w:szCs w:val="32"/>
          <w:highlight w:val="none"/>
          <w:lang w:val="en-US" w:eastAsia="zh-CN"/>
        </w:rPr>
        <w:t>企业技术中心、</w:t>
      </w:r>
      <w:r>
        <w:rPr>
          <w:rFonts w:hint="default" w:ascii="Times New Roman" w:hAnsi="Times New Roman" w:eastAsia="方正仿宋_GBK" w:cs="Times New Roman"/>
          <w:sz w:val="32"/>
          <w:szCs w:val="32"/>
          <w:shd w:val="clear" w:color="auto" w:fill="FFFFFF"/>
          <w:lang w:val="en-US" w:eastAsia="zh-CN"/>
        </w:rPr>
        <w:t>制造业创新中心、工程技术中心等创新平台，提升创新能力。</w:t>
      </w:r>
      <w:r>
        <w:rPr>
          <w:rFonts w:hint="default" w:ascii="Times New Roman" w:hAnsi="Times New Roman" w:eastAsia="方正仿宋_GBK" w:cs="Times New Roman"/>
          <w:sz w:val="32"/>
          <w:szCs w:val="32"/>
          <w:shd w:val="clear" w:color="auto" w:fill="FFFFFF"/>
        </w:rPr>
        <w:t>鼓励企业联合科研院所、高等院校开展技术研发与应用研究，</w:t>
      </w:r>
      <w:r>
        <w:rPr>
          <w:rFonts w:hint="default" w:ascii="Times New Roman" w:hAnsi="Times New Roman" w:eastAsia="方正仿宋_GBK" w:cs="Times New Roman"/>
          <w:sz w:val="32"/>
          <w:szCs w:val="32"/>
          <w:shd w:val="clear" w:color="auto" w:fill="FFFFFF"/>
          <w:lang w:eastAsia="zh-CN"/>
        </w:rPr>
        <w:t>推进</w:t>
      </w:r>
      <w:r>
        <w:rPr>
          <w:rFonts w:hint="default" w:ascii="Times New Roman" w:hAnsi="Times New Roman" w:eastAsia="方正仿宋_GBK" w:cs="Times New Roman"/>
          <w:sz w:val="32"/>
          <w:szCs w:val="32"/>
          <w:shd w:val="clear" w:color="auto" w:fill="FFFFFF"/>
        </w:rPr>
        <w:t>产业科技成果及技术需求常态化对接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〔责任单位：</w:t>
      </w:r>
      <w:r>
        <w:rPr>
          <w:rFonts w:hint="default" w:ascii="Times New Roman" w:hAnsi="Times New Roman" w:eastAsia="方正仿宋_GBK" w:cs="Times New Roman"/>
          <w:sz w:val="32"/>
          <w:szCs w:val="32"/>
          <w:shd w:val="clear" w:color="auto" w:fill="FFFFFF"/>
          <w:lang w:eastAsia="zh-CN"/>
        </w:rPr>
        <w:t>各区（县）</w:t>
      </w:r>
      <w:r>
        <w:rPr>
          <w:rFonts w:hint="default" w:ascii="Times New Roman" w:hAnsi="Times New Roman" w:eastAsia="方正仿宋_GBK" w:cs="Times New Roman"/>
          <w:sz w:val="32"/>
          <w:szCs w:val="32"/>
          <w:shd w:val="clear" w:color="auto" w:fill="FFFFFF"/>
        </w:rPr>
        <w:t>，市科技局、</w:t>
      </w:r>
      <w:r>
        <w:rPr>
          <w:rFonts w:hint="default" w:ascii="Times New Roman" w:hAnsi="Times New Roman" w:eastAsia="方正仿宋_GBK" w:cs="Times New Roman"/>
          <w:sz w:val="32"/>
          <w:szCs w:val="32"/>
          <w:shd w:val="clear" w:color="auto" w:fill="FFFFFF"/>
          <w:lang w:eastAsia="zh-CN"/>
        </w:rPr>
        <w:t>工信局</w:t>
      </w:r>
      <w:r>
        <w:rPr>
          <w:rFonts w:hint="default" w:ascii="Times New Roman" w:hAnsi="Times New Roman" w:eastAsia="方正仿宋_GBK" w:cs="Times New Roman"/>
          <w:sz w:val="32"/>
          <w:szCs w:val="32"/>
          <w:shd w:val="clear" w:color="auto" w:fill="FFFFFF"/>
        </w:rPr>
        <w:t>〕</w:t>
      </w:r>
    </w:p>
    <w:p>
      <w:pPr>
        <w:keepNext w:val="0"/>
        <w:keepLines w:val="0"/>
        <w:pageBreakBefore w:val="0"/>
        <w:kinsoku/>
        <w:wordWrap/>
        <w:topLinePunct w:val="0"/>
        <w:autoSpaceDE/>
        <w:autoSpaceDN/>
        <w:bidi w:val="0"/>
        <w:spacing w:line="560" w:lineRule="exact"/>
        <w:ind w:firstLine="640"/>
        <w:textAlignment w:val="auto"/>
        <w:rPr>
          <w:rFonts w:hint="default" w:ascii="Times New Roman" w:hAnsi="Times New Roman" w:eastAsia="方正仿宋_GBK" w:cs="Times New Roman"/>
          <w:sz w:val="32"/>
          <w:szCs w:val="32"/>
          <w:shd w:val="clear" w:color="auto" w:fill="FFFFFF"/>
          <w:lang w:val="en-US" w:eastAsia="zh-CN"/>
        </w:rPr>
      </w:pPr>
      <w:r>
        <w:rPr>
          <w:rFonts w:hint="default" w:ascii="方正黑体_GBK" w:hAnsi="方正黑体_GBK" w:eastAsia="方正黑体_GBK" w:cs="方正黑体_GBK"/>
          <w:sz w:val="32"/>
          <w:szCs w:val="32"/>
          <w:shd w:val="clear" w:color="auto" w:fill="FFFFFF"/>
          <w:lang w:eastAsia="zh-CN"/>
        </w:rPr>
        <w:t>五</w:t>
      </w:r>
      <w:r>
        <w:rPr>
          <w:rFonts w:hint="default" w:ascii="方正黑体_GBK" w:hAnsi="方正黑体_GBK" w:eastAsia="方正黑体_GBK" w:cs="方正黑体_GBK"/>
          <w:sz w:val="32"/>
          <w:szCs w:val="32"/>
          <w:shd w:val="clear" w:color="auto" w:fill="FFFFFF"/>
        </w:rPr>
        <w:t>、加强再生资源高效利用。</w:t>
      </w:r>
      <w:r>
        <w:rPr>
          <w:rFonts w:hint="default" w:ascii="Times New Roman" w:hAnsi="Times New Roman" w:eastAsia="方正仿宋_GBK" w:cs="Times New Roman"/>
          <w:sz w:val="32"/>
          <w:szCs w:val="32"/>
          <w:shd w:val="clear" w:color="auto" w:fill="FFFFFF"/>
          <w:lang w:val="en-US" w:eastAsia="zh-CN"/>
        </w:rPr>
        <w:t>加快发展铜金属回收利用产业，支持企业建立废铜回收基地和产业集聚区，加强废旧家电、电线电缆等产品回收利用。</w:t>
      </w:r>
      <w:r>
        <w:rPr>
          <w:rFonts w:hint="default" w:ascii="Times New Roman" w:hAnsi="Times New Roman" w:eastAsia="方正仿宋_GBK" w:cs="Times New Roman"/>
          <w:sz w:val="32"/>
          <w:szCs w:val="32"/>
          <w:shd w:val="clear" w:color="auto" w:fill="FFFFFF"/>
        </w:rPr>
        <w:t>鼓励</w:t>
      </w:r>
      <w:r>
        <w:rPr>
          <w:rFonts w:hint="default" w:ascii="Times New Roman" w:hAnsi="Times New Roman" w:eastAsia="方正仿宋_GBK" w:cs="Times New Roman"/>
          <w:sz w:val="32"/>
          <w:szCs w:val="32"/>
          <w:shd w:val="clear" w:color="auto" w:fill="FFFFFF"/>
          <w:lang w:eastAsia="zh-CN"/>
        </w:rPr>
        <w:t>废铜</w:t>
      </w:r>
      <w:r>
        <w:rPr>
          <w:rFonts w:hint="default" w:ascii="Times New Roman" w:hAnsi="Times New Roman" w:eastAsia="方正仿宋_GBK" w:cs="Times New Roman"/>
          <w:sz w:val="32"/>
          <w:szCs w:val="32"/>
          <w:shd w:val="clear" w:color="auto" w:fill="FFFFFF"/>
        </w:rPr>
        <w:t>加工利用企业与</w:t>
      </w:r>
      <w:r>
        <w:rPr>
          <w:rFonts w:hint="default" w:ascii="Times New Roman" w:hAnsi="Times New Roman" w:eastAsia="方正仿宋_GBK" w:cs="Times New Roman"/>
          <w:sz w:val="32"/>
          <w:szCs w:val="32"/>
          <w:shd w:val="clear" w:color="auto" w:fill="FFFFFF"/>
          <w:lang w:eastAsia="zh-CN"/>
        </w:rPr>
        <w:t>其他应用行业</w:t>
      </w:r>
      <w:r>
        <w:rPr>
          <w:rFonts w:hint="default" w:ascii="Times New Roman" w:hAnsi="Times New Roman" w:eastAsia="方正仿宋_GBK" w:cs="Times New Roman"/>
          <w:sz w:val="32"/>
          <w:szCs w:val="32"/>
          <w:shd w:val="clear" w:color="auto" w:fill="FFFFFF"/>
        </w:rPr>
        <w:t>企业</w:t>
      </w:r>
      <w:r>
        <w:rPr>
          <w:rFonts w:hint="default" w:ascii="Times New Roman" w:hAnsi="Times New Roman" w:eastAsia="方正仿宋_GBK" w:cs="Times New Roman"/>
          <w:sz w:val="32"/>
          <w:szCs w:val="32"/>
          <w:shd w:val="clear" w:color="auto" w:fill="FFFFFF"/>
          <w:lang w:eastAsia="zh-CN"/>
        </w:rPr>
        <w:t>开展</w:t>
      </w:r>
      <w:r>
        <w:rPr>
          <w:rFonts w:hint="default" w:ascii="Times New Roman" w:hAnsi="Times New Roman" w:eastAsia="方正仿宋_GBK" w:cs="Times New Roman"/>
          <w:sz w:val="32"/>
          <w:szCs w:val="32"/>
          <w:shd w:val="clear" w:color="auto" w:fill="FFFFFF"/>
        </w:rPr>
        <w:t>合作，促进</w:t>
      </w:r>
      <w:r>
        <w:rPr>
          <w:rFonts w:hint="default" w:ascii="Times New Roman" w:hAnsi="Times New Roman" w:eastAsia="方正仿宋_GBK" w:cs="Times New Roman"/>
          <w:sz w:val="32"/>
          <w:szCs w:val="32"/>
          <w:shd w:val="clear" w:color="auto" w:fill="FFFFFF"/>
          <w:lang w:eastAsia="zh-CN"/>
        </w:rPr>
        <w:t>废铜</w:t>
      </w:r>
      <w:r>
        <w:rPr>
          <w:rFonts w:hint="default" w:ascii="Times New Roman" w:hAnsi="Times New Roman" w:eastAsia="方正仿宋_GBK" w:cs="Times New Roman"/>
          <w:sz w:val="32"/>
          <w:szCs w:val="32"/>
          <w:shd w:val="clear" w:color="auto" w:fill="FFFFFF"/>
        </w:rPr>
        <w:t>精深加工产业链合理延伸。〔责任单位：</w:t>
      </w:r>
      <w:r>
        <w:rPr>
          <w:rFonts w:hint="default" w:ascii="Times New Roman" w:hAnsi="Times New Roman" w:eastAsia="方正仿宋_GBK" w:cs="Times New Roman"/>
          <w:sz w:val="32"/>
          <w:szCs w:val="32"/>
          <w:shd w:val="clear" w:color="auto" w:fill="FFFFFF"/>
          <w:lang w:eastAsia="zh-CN"/>
        </w:rPr>
        <w:t>各区（县）</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市商务局、</w:t>
      </w:r>
      <w:r>
        <w:rPr>
          <w:rFonts w:hint="default" w:ascii="Times New Roman" w:hAnsi="Times New Roman" w:eastAsia="方正仿宋_GBK" w:cs="Times New Roman"/>
          <w:sz w:val="32"/>
          <w:szCs w:val="32"/>
          <w:shd w:val="clear" w:color="auto" w:fill="FFFFFF"/>
        </w:rPr>
        <w:t>工信局、生态环境局〕</w:t>
      </w:r>
    </w:p>
    <w:p>
      <w:pPr>
        <w:keepNext w:val="0"/>
        <w:keepLines w:val="0"/>
        <w:pageBreakBefore w:val="0"/>
        <w:kinsoku/>
        <w:wordWrap/>
        <w:topLinePunct w:val="0"/>
        <w:autoSpaceDE/>
        <w:autoSpaceDN/>
        <w:bidi w:val="0"/>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lang w:eastAsia="zh-CN"/>
        </w:rPr>
        <w:t>六</w:t>
      </w:r>
      <w:r>
        <w:rPr>
          <w:rFonts w:hint="default" w:ascii="方正黑体_GBK" w:hAnsi="方正黑体_GBK" w:eastAsia="方正黑体_GBK" w:cs="方正黑体_GBK"/>
          <w:sz w:val="32"/>
          <w:szCs w:val="32"/>
          <w:shd w:val="clear" w:color="auto" w:fill="FFFFFF"/>
        </w:rPr>
        <w:t>、落实税收支持政策。</w:t>
      </w:r>
      <w:r>
        <w:rPr>
          <w:rFonts w:hint="default" w:ascii="Times New Roman" w:hAnsi="Times New Roman" w:eastAsia="方正仿宋_GBK" w:cs="Times New Roman"/>
          <w:sz w:val="32"/>
          <w:szCs w:val="32"/>
          <w:shd w:val="clear" w:color="auto" w:fill="FFFFFF"/>
        </w:rPr>
        <w:t>对国家需要重点扶持的高新技术铜</w:t>
      </w:r>
      <w:r>
        <w:rPr>
          <w:rFonts w:hint="eastAsia" w:ascii="Times New Roman" w:hAnsi="Times New Roman" w:eastAsia="方正仿宋_GBK" w:cs="Times New Roman"/>
          <w:sz w:val="32"/>
          <w:szCs w:val="32"/>
          <w:shd w:val="clear" w:color="auto" w:fill="FFFFFF"/>
          <w:lang w:eastAsia="zh-CN"/>
        </w:rPr>
        <w:t>行业</w:t>
      </w:r>
      <w:r>
        <w:rPr>
          <w:rFonts w:hint="default" w:ascii="Times New Roman" w:hAnsi="Times New Roman" w:eastAsia="方正仿宋_GBK" w:cs="Times New Roman"/>
          <w:sz w:val="32"/>
          <w:szCs w:val="32"/>
          <w:shd w:val="clear" w:color="auto" w:fill="FFFFFF"/>
        </w:rPr>
        <w:t>企业，减按15%的税率征收企业所得税。</w:t>
      </w:r>
      <w:r>
        <w:rPr>
          <w:rFonts w:hint="default" w:ascii="Times New Roman" w:hAnsi="Times New Roman" w:eastAsia="方正仿宋_GBK" w:cs="Times New Roman"/>
          <w:sz w:val="32"/>
          <w:szCs w:val="32"/>
          <w:shd w:val="clear" w:color="auto" w:fill="FFFFFF"/>
          <w:lang w:eastAsia="zh-CN"/>
        </w:rPr>
        <w:t>符合条件的企业，</w:t>
      </w:r>
      <w:r>
        <w:rPr>
          <w:rFonts w:hint="default" w:ascii="Times New Roman" w:hAnsi="Times New Roman" w:eastAsia="方正仿宋_GBK" w:cs="Times New Roman"/>
          <w:sz w:val="32"/>
          <w:szCs w:val="32"/>
          <w:shd w:val="clear" w:color="auto" w:fill="FFFFFF"/>
        </w:rPr>
        <w:t>以《资源综合利用企业所得税优惠目录</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2021版</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》规定的资源作为主要原材料，生产国家非限制和禁止并符合国家和行业相关标准的产品取得的收入，减按90%计入收入总额，征收企业所得税。积极推行资源回收企业向自然人报废产品出售者</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反向开票</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，落实国家关于完善资源综合利用增值税政策，促进再生资源回收行业持续健康发展。〔责任单位：各区（县），市税务局、经开区（头屯河区）税务局</w:t>
      </w:r>
      <w:r>
        <w:rPr>
          <w:rFonts w:hint="default" w:ascii="Times New Roman" w:hAnsi="Times New Roman" w:eastAsia="方正仿宋_GBK" w:cs="Times New Roman"/>
          <w:sz w:val="32"/>
          <w:szCs w:val="32"/>
          <w:shd w:val="clear" w:color="auto" w:fill="FFFFFF"/>
          <w:lang w:eastAsia="zh-CN"/>
        </w:rPr>
        <w:t>、高新区（新市区）税务局</w:t>
      </w:r>
      <w:r>
        <w:rPr>
          <w:rFonts w:hint="default" w:ascii="Times New Roman" w:hAnsi="Times New Roman" w:eastAsia="方正仿宋_GBK" w:cs="Times New Roman"/>
          <w:sz w:val="32"/>
          <w:szCs w:val="32"/>
          <w:shd w:val="clear" w:color="auto" w:fill="FFFFFF"/>
        </w:rPr>
        <w:t>〕</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lang w:eastAsia="zh-CN"/>
        </w:rPr>
        <w:t>七</w:t>
      </w:r>
      <w:r>
        <w:rPr>
          <w:rFonts w:hint="default" w:ascii="方正黑体_GBK" w:hAnsi="方正黑体_GBK" w:eastAsia="方正黑体_GBK" w:cs="方正黑体_GBK"/>
          <w:sz w:val="32"/>
          <w:szCs w:val="32"/>
          <w:shd w:val="clear" w:color="auto" w:fill="FFFFFF"/>
        </w:rPr>
        <w:t>、支持再生铜生产加工。</w:t>
      </w:r>
      <w:r>
        <w:rPr>
          <w:rFonts w:hint="eastAsia" w:ascii="Times New Roman" w:hAnsi="Times New Roman" w:eastAsia="方正仿宋_GBK" w:cs="Times New Roman"/>
          <w:sz w:val="32"/>
          <w:szCs w:val="32"/>
          <w:shd w:val="clear" w:color="auto" w:fill="FFFFFF"/>
        </w:rPr>
        <w:t>对利用废铜生产再生铜并形成工业产值的企业，对再生铜产品按照2000元/吨给予支持，单个企业一年内最多不超过8000万元。</w:t>
      </w:r>
      <w:r>
        <w:rPr>
          <w:rFonts w:hint="default" w:ascii="Times New Roman" w:hAnsi="Times New Roman" w:eastAsia="方正仿宋_GBK" w:cs="Times New Roman"/>
          <w:sz w:val="32"/>
          <w:szCs w:val="32"/>
          <w:shd w:val="clear" w:color="auto" w:fill="FFFFFF"/>
        </w:rPr>
        <w:t>铜原料和产品纯度需按照GB/T 38471-2019《再生铜原料》和GB/T 467-2010《阴极铜》标准经由具备专业资质第三方机构认定，支持资金由市级、区（县）财政共同承担，</w:t>
      </w:r>
      <w:r>
        <w:rPr>
          <w:rFonts w:hint="default" w:ascii="Times New Roman" w:hAnsi="Times New Roman" w:eastAsia="方正仿宋_GBK" w:cs="Times New Roman"/>
          <w:sz w:val="32"/>
          <w:szCs w:val="32"/>
          <w:shd w:val="clear" w:color="auto" w:fill="FFFFFF"/>
          <w:lang w:eastAsia="zh-CN"/>
        </w:rPr>
        <w:t>按照</w:t>
      </w:r>
      <w:r>
        <w:rPr>
          <w:rFonts w:hint="eastAsia" w:ascii="方正仿宋_GBK" w:hAnsi="方正仿宋_GBK" w:eastAsia="方正仿宋_GBK" w:cs="方正仿宋_GBK"/>
          <w:sz w:val="32"/>
          <w:szCs w:val="32"/>
          <w:shd w:val="clear" w:color="auto" w:fill="FFFFFF"/>
          <w:lang w:eastAsia="zh-CN"/>
        </w:rPr>
        <w:t>“季度统计、次季度兑付”</w:t>
      </w:r>
      <w:r>
        <w:rPr>
          <w:rFonts w:hint="default" w:ascii="Times New Roman" w:hAnsi="Times New Roman" w:eastAsia="方正仿宋_GBK" w:cs="Times New Roman"/>
          <w:sz w:val="32"/>
          <w:szCs w:val="32"/>
          <w:shd w:val="clear" w:color="auto" w:fill="FFFFFF"/>
          <w:lang w:eastAsia="zh-CN"/>
        </w:rPr>
        <w:t>方式进行拨付。</w:t>
      </w:r>
      <w:r>
        <w:rPr>
          <w:rFonts w:hint="default" w:ascii="Times New Roman" w:hAnsi="Times New Roman" w:eastAsia="方正仿宋_GBK" w:cs="Times New Roman"/>
          <w:sz w:val="32"/>
          <w:szCs w:val="32"/>
          <w:shd w:val="clear" w:color="auto" w:fill="FFFFFF"/>
        </w:rPr>
        <w:t>〔责任单位：各区（县）</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市财政局、统计局〕</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shd w:val="clear" w:color="auto" w:fill="FFFFFF"/>
          <w:lang w:eastAsia="zh-CN"/>
        </w:rPr>
        <w:t>八</w:t>
      </w:r>
      <w:r>
        <w:rPr>
          <w:rFonts w:hint="default" w:ascii="方正黑体_GBK" w:hAnsi="方正黑体_GBK" w:eastAsia="方正黑体_GBK" w:cs="方正黑体_GBK"/>
          <w:sz w:val="32"/>
          <w:szCs w:val="32"/>
          <w:shd w:val="clear" w:color="auto" w:fill="FFFFFF"/>
        </w:rPr>
        <w:t>、</w:t>
      </w:r>
      <w:r>
        <w:rPr>
          <w:rFonts w:hint="default" w:ascii="方正黑体_GBK" w:hAnsi="方正黑体_GBK" w:eastAsia="方正黑体_GBK" w:cs="方正黑体_GBK"/>
          <w:sz w:val="32"/>
          <w:szCs w:val="32"/>
          <w:shd w:val="clear" w:color="auto" w:fill="FFFFFF"/>
          <w:lang w:eastAsia="zh-CN"/>
        </w:rPr>
        <w:t>加强组织保障</w:t>
      </w:r>
      <w:r>
        <w:rPr>
          <w:rFonts w:hint="default" w:ascii="方正黑体_GBK" w:hAnsi="方正黑体_GBK" w:eastAsia="方正黑体_GBK" w:cs="方正黑体_GBK"/>
          <w:sz w:val="32"/>
          <w:szCs w:val="32"/>
          <w:shd w:val="clear" w:color="auto" w:fill="FFFFFF"/>
        </w:rPr>
        <w:t>力度。</w:t>
      </w:r>
      <w:r>
        <w:rPr>
          <w:rFonts w:hint="default" w:ascii="Times New Roman" w:hAnsi="Times New Roman" w:eastAsia="方正仿宋_GBK" w:cs="Times New Roman"/>
          <w:sz w:val="32"/>
          <w:szCs w:val="32"/>
          <w:shd w:val="clear" w:color="auto" w:fill="FFFFFF"/>
        </w:rPr>
        <w:t>落实惠企服务长效机制</w:t>
      </w:r>
      <w:r>
        <w:rPr>
          <w:rFonts w:hint="default" w:ascii="Times New Roman" w:hAnsi="Times New Roman" w:eastAsia="方正仿宋_GBK" w:cs="Times New Roman"/>
          <w:sz w:val="32"/>
          <w:szCs w:val="32"/>
          <w:shd w:val="clear" w:color="auto" w:fill="FFFFFF"/>
          <w:lang w:eastAsia="zh-CN"/>
        </w:rPr>
        <w:t>，常态化入企服务，</w:t>
      </w:r>
      <w:r>
        <w:rPr>
          <w:rFonts w:hint="default" w:ascii="Times New Roman" w:hAnsi="Times New Roman" w:eastAsia="方正仿宋_GBK" w:cs="Times New Roman"/>
          <w:sz w:val="32"/>
          <w:szCs w:val="32"/>
          <w:shd w:val="clear" w:color="auto" w:fill="FFFFFF"/>
          <w:lang w:val="en-US" w:eastAsia="zh-CN"/>
        </w:rPr>
        <w:t>协调解决重大问题，支持上下游企业融通发展。</w:t>
      </w:r>
      <w:r>
        <w:rPr>
          <w:rFonts w:hint="default" w:ascii="Times New Roman" w:hAnsi="Times New Roman" w:eastAsia="方正仿宋_GBK" w:cs="Times New Roman"/>
          <w:sz w:val="32"/>
          <w:szCs w:val="32"/>
          <w:shd w:val="clear" w:color="auto" w:fill="FFFFFF"/>
          <w:lang w:eastAsia="zh-CN"/>
        </w:rPr>
        <w:t>做好铜</w:t>
      </w:r>
      <w:r>
        <w:rPr>
          <w:rFonts w:hint="eastAsia" w:ascii="Times New Roman" w:hAnsi="Times New Roman" w:eastAsia="方正仿宋_GBK" w:cs="Times New Roman"/>
          <w:sz w:val="32"/>
          <w:szCs w:val="32"/>
          <w:shd w:val="clear" w:color="auto" w:fill="FFFFFF"/>
          <w:lang w:eastAsia="zh-CN"/>
        </w:rPr>
        <w:t>企</w:t>
      </w:r>
      <w:r>
        <w:rPr>
          <w:rFonts w:hint="default" w:ascii="Times New Roman" w:hAnsi="Times New Roman" w:eastAsia="方正仿宋_GBK" w:cs="Times New Roman"/>
          <w:sz w:val="32"/>
          <w:szCs w:val="32"/>
          <w:shd w:val="clear" w:color="auto" w:fill="FFFFFF"/>
          <w:lang w:eastAsia="zh-CN"/>
        </w:rPr>
        <w:t>业</w:t>
      </w:r>
      <w:r>
        <w:rPr>
          <w:rFonts w:hint="default" w:ascii="Times New Roman" w:hAnsi="Times New Roman" w:eastAsia="方正仿宋_GBK" w:cs="Times New Roman"/>
          <w:sz w:val="32"/>
          <w:szCs w:val="32"/>
          <w:shd w:val="clear" w:color="auto" w:fill="FFFFFF"/>
        </w:rPr>
        <w:t>用电、用气</w:t>
      </w:r>
      <w:r>
        <w:rPr>
          <w:rFonts w:hint="default" w:ascii="Times New Roman" w:hAnsi="Times New Roman" w:eastAsia="方正仿宋_GBK" w:cs="Times New Roman"/>
          <w:sz w:val="32"/>
          <w:szCs w:val="32"/>
          <w:shd w:val="clear" w:color="auto" w:fill="FFFFFF"/>
          <w:lang w:eastAsia="zh-CN"/>
        </w:rPr>
        <w:t>、用水等生产要素</w:t>
      </w:r>
      <w:r>
        <w:rPr>
          <w:rFonts w:hint="default" w:ascii="Times New Roman" w:hAnsi="Times New Roman" w:eastAsia="方正仿宋_GBK" w:cs="Times New Roman"/>
          <w:sz w:val="32"/>
          <w:szCs w:val="32"/>
          <w:shd w:val="clear" w:color="auto" w:fill="FFFFFF"/>
        </w:rPr>
        <w:t>需求</w:t>
      </w:r>
      <w:r>
        <w:rPr>
          <w:rFonts w:hint="default" w:ascii="Times New Roman" w:hAnsi="Times New Roman" w:eastAsia="方正仿宋_GBK" w:cs="Times New Roman"/>
          <w:sz w:val="32"/>
          <w:szCs w:val="32"/>
          <w:shd w:val="clear" w:color="auto" w:fill="FFFFFF"/>
          <w:lang w:eastAsia="zh-CN"/>
        </w:rPr>
        <w:t>保障，促进行业平稳运行</w:t>
      </w:r>
      <w:r>
        <w:rPr>
          <w:rFonts w:hint="default" w:ascii="Times New Roman" w:hAnsi="Times New Roman" w:eastAsia="方正仿宋_GBK" w:cs="Times New Roman"/>
          <w:sz w:val="32"/>
          <w:szCs w:val="32"/>
          <w:shd w:val="clear" w:color="auto" w:fill="FFFFFF"/>
        </w:rPr>
        <w:t>。〔责任单位：各区（县），市工信局、发展改革委</w:t>
      </w:r>
      <w:r>
        <w:rPr>
          <w:rFonts w:hint="default" w:ascii="Times New Roman" w:hAnsi="Times New Roman" w:eastAsia="方正仿宋_GBK" w:cs="Times New Roman"/>
          <w:sz w:val="32"/>
          <w:szCs w:val="32"/>
          <w:shd w:val="clear" w:color="auto" w:fill="FFFFFF"/>
          <w:lang w:eastAsia="zh-CN"/>
        </w:rPr>
        <w:t>、水务局、城管局</w:t>
      </w:r>
      <w:r>
        <w:rPr>
          <w:rFonts w:hint="default" w:ascii="Times New Roman" w:hAnsi="Times New Roman" w:eastAsia="方正仿宋_GBK" w:cs="Times New Roman"/>
          <w:sz w:val="32"/>
          <w:szCs w:val="32"/>
          <w:shd w:val="clear" w:color="auto" w:fill="FFFFFF"/>
        </w:rPr>
        <w:t>〕</w:t>
      </w:r>
    </w:p>
    <w:p>
      <w:pPr>
        <w:keepNext w:val="0"/>
        <w:keepLines w:val="0"/>
        <w:pageBreakBefore w:val="0"/>
        <w:kinsoku/>
        <w:wordWrap/>
        <w:topLinePunct w:val="0"/>
        <w:autoSpaceDE/>
        <w:autoSpaceDN/>
        <w:bidi w:val="0"/>
        <w:spacing w:line="56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topLinePunct w:val="0"/>
        <w:autoSpaceDE/>
        <w:autoSpaceDN/>
        <w:bidi w:val="0"/>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本措施自公布之日起3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日后施行，有效期至2026年12月31日。</w:t>
      </w:r>
    </w:p>
    <w:p>
      <w:pPr>
        <w:keepNext w:val="0"/>
        <w:keepLines w:val="0"/>
        <w:pageBreakBefore w:val="0"/>
        <w:widowControl w:val="0"/>
        <w:kinsoku/>
        <w:wordWrap/>
        <w:overflowPunct w:val="0"/>
        <w:topLinePunct w:val="0"/>
        <w:autoSpaceDE/>
        <w:autoSpaceDN/>
        <w:bidi w:val="0"/>
        <w:spacing w:line="560" w:lineRule="exact"/>
        <w:ind w:left="0" w:leftChars="0" w:right="0" w:rightChars="0" w:firstLine="0" w:firstLineChars="0"/>
        <w:jc w:val="center"/>
        <w:textAlignment w:val="auto"/>
        <w:rPr>
          <w:rFonts w:hint="default" w:ascii="方正小标宋_GBK" w:hAnsi="方正小标宋_GBK" w:eastAsia="方正小标宋_GBK" w:cs="方正小标宋_GBK"/>
          <w:spacing w:val="0"/>
          <w:sz w:val="44"/>
          <w:szCs w:val="44"/>
          <w:u w:val="none"/>
          <w:lang w:val="en-US" w:eastAsia="zh-CN"/>
        </w:rPr>
      </w:pPr>
    </w:p>
    <w:sectPr>
      <w:footerReference r:id="rId5" w:type="default"/>
      <w:pgSz w:w="11906" w:h="16838"/>
      <w:pgMar w:top="2098" w:right="1531" w:bottom="1984"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yZW8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khIvHK7o9PXL6duP0/fP5Hk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srJlb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C064BAABLAwAADgAAAGRycy9lMm9Eb2MueG1srVNLbtswEN0XyB0I&#10;7msqLhA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z7ULTrgEAAEsD&#10;AAAOAAAAAAAAAAEAIAAAAB4BAABkcnMvZTJvRG9jLnhtbFBLBQYAAAAABgAGAFkBAAA+BQ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44075"/>
    <w:rsid w:val="197CAF53"/>
    <w:rsid w:val="1AE0A6B5"/>
    <w:rsid w:val="1DE3298C"/>
    <w:rsid w:val="1EBE784B"/>
    <w:rsid w:val="2566E893"/>
    <w:rsid w:val="275FBE13"/>
    <w:rsid w:val="2FFB30AA"/>
    <w:rsid w:val="33FBF199"/>
    <w:rsid w:val="347801BC"/>
    <w:rsid w:val="3B2FE958"/>
    <w:rsid w:val="3B979966"/>
    <w:rsid w:val="3BBF07BD"/>
    <w:rsid w:val="3D55CA00"/>
    <w:rsid w:val="3EAB0813"/>
    <w:rsid w:val="3F7E9F86"/>
    <w:rsid w:val="3FAADB86"/>
    <w:rsid w:val="3FFC203F"/>
    <w:rsid w:val="49FF4317"/>
    <w:rsid w:val="4DDD8D32"/>
    <w:rsid w:val="4EA5239C"/>
    <w:rsid w:val="53BFDD6D"/>
    <w:rsid w:val="554AAA8E"/>
    <w:rsid w:val="566FC16C"/>
    <w:rsid w:val="57FB4C9B"/>
    <w:rsid w:val="57FDF46E"/>
    <w:rsid w:val="58767E6D"/>
    <w:rsid w:val="593F2F13"/>
    <w:rsid w:val="5D560DDC"/>
    <w:rsid w:val="5D9B48DD"/>
    <w:rsid w:val="5DB61E34"/>
    <w:rsid w:val="5FAF183D"/>
    <w:rsid w:val="5FBFFE68"/>
    <w:rsid w:val="5FEEEA5D"/>
    <w:rsid w:val="5FFF8537"/>
    <w:rsid w:val="66EFDCDD"/>
    <w:rsid w:val="6774D78E"/>
    <w:rsid w:val="6775B3B9"/>
    <w:rsid w:val="6DA32F2E"/>
    <w:rsid w:val="6DFF5386"/>
    <w:rsid w:val="6F4E1EA4"/>
    <w:rsid w:val="6F9B66AE"/>
    <w:rsid w:val="6FBFBD29"/>
    <w:rsid w:val="6FFD697C"/>
    <w:rsid w:val="703F748E"/>
    <w:rsid w:val="71E431C7"/>
    <w:rsid w:val="7755281D"/>
    <w:rsid w:val="7B7E9D10"/>
    <w:rsid w:val="7BFF3637"/>
    <w:rsid w:val="7BFF650C"/>
    <w:rsid w:val="7DF7CC32"/>
    <w:rsid w:val="7DF98D28"/>
    <w:rsid w:val="7EDBE5A7"/>
    <w:rsid w:val="7EF704DC"/>
    <w:rsid w:val="7F3EA9C7"/>
    <w:rsid w:val="7F75416E"/>
    <w:rsid w:val="7FC5B858"/>
    <w:rsid w:val="7FEF458B"/>
    <w:rsid w:val="932FA996"/>
    <w:rsid w:val="B93F4FEE"/>
    <w:rsid w:val="BEFFCD84"/>
    <w:rsid w:val="C79DAB93"/>
    <w:rsid w:val="CF8D5106"/>
    <w:rsid w:val="D19F87BC"/>
    <w:rsid w:val="D27F16D8"/>
    <w:rsid w:val="D3DD6C02"/>
    <w:rsid w:val="D52FCEBD"/>
    <w:rsid w:val="D5D43FBB"/>
    <w:rsid w:val="D9FF145D"/>
    <w:rsid w:val="DBDED6F4"/>
    <w:rsid w:val="DDF5A8FE"/>
    <w:rsid w:val="DF7BE9E9"/>
    <w:rsid w:val="DFA36841"/>
    <w:rsid w:val="DFE715D2"/>
    <w:rsid w:val="E1FDD77D"/>
    <w:rsid w:val="E4BA7547"/>
    <w:rsid w:val="E7E7795E"/>
    <w:rsid w:val="E7FB654F"/>
    <w:rsid w:val="EFAB8050"/>
    <w:rsid w:val="EFCF93F1"/>
    <w:rsid w:val="F57E170D"/>
    <w:rsid w:val="F9BF91B9"/>
    <w:rsid w:val="F9BFBF7D"/>
    <w:rsid w:val="FAFE72DC"/>
    <w:rsid w:val="FB7F4FF5"/>
    <w:rsid w:val="FBBF1A2C"/>
    <w:rsid w:val="FDFF2A73"/>
    <w:rsid w:val="FE6B80D4"/>
    <w:rsid w:val="FE7DEA77"/>
    <w:rsid w:val="FEFD2253"/>
    <w:rsid w:val="FEFFA1C1"/>
    <w:rsid w:val="FF2ED0AD"/>
    <w:rsid w:val="FF56C6DE"/>
    <w:rsid w:val="FF9A8E5F"/>
    <w:rsid w:val="FFBF62E3"/>
    <w:rsid w:val="FFDFE80A"/>
    <w:rsid w:val="FFEF06BE"/>
    <w:rsid w:val="FFFF1F2B"/>
    <w:rsid w:val="FFFFC6B4"/>
    <w:rsid w:val="FFFFF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index 5"/>
    <w:next w:val="1"/>
    <w:unhideWhenUsed/>
    <w:qFormat/>
    <w:uiPriority w:val="99"/>
    <w:pPr>
      <w:widowControl w:val="0"/>
      <w:ind w:left="800" w:leftChars="800"/>
      <w:jc w:val="both"/>
    </w:pPr>
    <w:rPr>
      <w:rFonts w:ascii="Times New Roman" w:hAnsi="Times New Roman" w:eastAsia="仿宋_GB2312" w:cs="Times New Roman"/>
      <w:kern w:val="2"/>
      <w:sz w:val="32"/>
      <w:szCs w:val="32"/>
      <w:lang w:val="en-US" w:eastAsia="zh-CN" w:bidi="ar-SA"/>
    </w:rPr>
  </w:style>
  <w:style w:type="paragraph" w:styleId="3">
    <w:name w:val="Body Text"/>
    <w:basedOn w:val="1"/>
    <w:next w:val="1"/>
    <w:qFormat/>
    <w:uiPriority w:val="0"/>
    <w:pPr>
      <w:widowControl/>
      <w:adjustRightInd w:val="0"/>
      <w:snapToGrid w:val="0"/>
      <w:spacing w:after="120" w:line="560" w:lineRule="exact"/>
      <w:ind w:firstLine="200" w:firstLineChars="200"/>
    </w:pPr>
    <w:rPr>
      <w:rFonts w:ascii="方正仿宋_GBK" w:hAnsi="方正仿宋_GBK" w:eastAsia="Calibri Light" w:cs="Calibri Light"/>
      <w:kern w:val="0"/>
      <w:sz w:val="32"/>
      <w:szCs w:val="32"/>
      <w:lang w:eastAsia="en-US"/>
    </w:rPr>
  </w:style>
  <w:style w:type="paragraph" w:styleId="4">
    <w:name w:val="Body Text Indent"/>
    <w:basedOn w:val="1"/>
    <w:next w:val="5"/>
    <w:unhideWhenUsed/>
    <w:qFormat/>
    <w:uiPriority w:val="99"/>
    <w:pPr>
      <w:spacing w:after="120" w:afterLines="0" w:afterAutospacing="0"/>
      <w:ind w:left="420" w:leftChars="200"/>
    </w:pPr>
  </w:style>
  <w:style w:type="paragraph" w:customStyle="1" w:styleId="5">
    <w:name w:val="Char Char Char"/>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秘书五科</cp:lastModifiedBy>
  <cp:lastPrinted>2025-10-30T13:38:00Z</cp:lastPrinted>
  <dcterms:modified xsi:type="dcterms:W3CDTF">2025-11-03T05:00:06Z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9069266F91D97FF024CC01691B86F68F</vt:lpwstr>
  </property>
</Properties>
</file>