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val="en-US" w:eastAsia="zh-CN"/>
        </w:rPr>
        <w:t>乌鲁木齐市烟草制品零售点测距标准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Times New Roman" w:eastAsia="仿宋_GB2312"/>
          <w:b/>
          <w:bCs/>
          <w:color w:val="000000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eastAsia="zh-CN"/>
        </w:rPr>
        <w:t>第一条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为统一测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标准，确保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测距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结果的公开、公平、公正，制定本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</w:rPr>
        <w:t>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乌鲁木齐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烟草专卖局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对烟草制品零售点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间距进行测量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u w:val="none"/>
        </w:rPr>
        <w:t>第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u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u w:val="none"/>
        </w:rPr>
        <w:t>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使用乌鲁木齐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市烟草专卖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局统一发放的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测量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工具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 xml:space="preserve">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green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u w:val="none"/>
        </w:rPr>
        <w:t>第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u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u w:val="none"/>
        </w:rPr>
        <w:t>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 xml:space="preserve"> 由两名或两名以上具有执法资格的专卖人员进行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测量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，测量结果应现场由申请人确认。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 xml:space="preserve"> 零售点间隔距离（以下简称间距）是指以申请户出入口（门）中心点为圆心，按照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《乌鲁木齐市烟草制品零售点合理布局规划》（以下简称《规划》）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距离要求为半径，申请户与其周边最近持证户最短通行距离。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与中小学、中等职业学校、特殊教育学校、专门学校及幼儿园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的间距是指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申请户出入口（门）中心点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与中小学、中等职业学校、特殊教育学校、专门学校及幼儿园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最近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出入口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（门）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中心点最短通行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距离。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u w:val="none"/>
        </w:rPr>
        <w:t>第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u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u w:val="none"/>
        </w:rPr>
        <w:t>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申请户与持证户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间距测量以申请户出入口（门）中心点为起点，以相距最近的持证户出入口（门）中心点为终点进行测量。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与中小学、中等职业学校、特殊教育学校、专门学校及幼儿园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间距测量，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以两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者相距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最近出入口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（门）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中心点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进行测量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  <w:lang w:eastAsia="zh-CN"/>
        </w:rPr>
        <w:t>第七条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 xml:space="preserve"> 本标准“出入口（门）”是指经营场所供顾客进出的正式通道，通常指建筑物的主入口或营业大门，其位置和尺寸应符合建筑设计规范和安全通行要求，位置和结构真实、合法。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申请户、持证户经营场所出入口（门）包括所有营业大门；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中小学、中等职业学校、特殊教育学校、专门学校及幼儿园出入口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（门）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，包括主校门、侧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（后）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消防通道、应急通道、教职工通道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、垃圾清运通道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出入口（门）以申请烟草专卖零售许可证实地核查时认定为准。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第八条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</w:rPr>
        <w:t>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与最近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持证户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bidi="ar"/>
        </w:rPr>
        <w:t>测量应在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 w:bidi="ar"/>
        </w:rPr>
        <w:t>确认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bidi="ar"/>
        </w:rPr>
        <w:t>安全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 w:bidi="ar"/>
        </w:rPr>
        <w:t>可通行的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bidi="ar"/>
        </w:rPr>
        <w:t>前提下，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bidi="ar"/>
        </w:rPr>
        <w:t>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CN" w:bidi="ar"/>
        </w:rPr>
        <w:t>可通行最短直线距离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bidi="ar"/>
        </w:rPr>
        <w:t>测量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none"/>
          <w:lang w:eastAsia="zh-CN" w:bidi="ar"/>
        </w:rPr>
        <w:t>第九条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交通市政等部门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bidi="ar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CN" w:bidi="ar"/>
        </w:rPr>
        <w:t>道路上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设置的，行人无法跨越的硬隔离设施（如过街护栏、绿化隔离带等）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bidi="ar"/>
        </w:rPr>
        <w:t>测量时应绕行。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none"/>
          <w:lang w:eastAsia="zh-CN" w:bidi="ar"/>
        </w:rPr>
        <w:t>第十条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CN" w:bidi="ar"/>
        </w:rPr>
        <w:t>除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硬隔离设施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CN" w:bidi="ar"/>
        </w:rPr>
        <w:t>之外的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其他个人或单位设置的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物体等，如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</w:rPr>
        <w:t>货物堆积、车辆停放、路障、隔离等非常规、可移动物体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ug-CN"/>
        </w:rPr>
        <w:t>擅自设立建筑、物体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bidi="ug-CN"/>
        </w:rPr>
        <w:t>以及因阶段性施工影响通行等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ug-CN"/>
        </w:rPr>
        <w:t>统称为软隔离设施，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2"/>
          <w:szCs w:val="32"/>
          <w:highlight w:val="none"/>
          <w:u w:val="none"/>
          <w:lang w:eastAsia="zh-CN" w:bidi="ug-CN"/>
        </w:rPr>
        <w:t>测量时按最短直线距离，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绕行距离不予计算在内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eastAsia="zh-CN"/>
        </w:rPr>
        <w:t>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组成示意图的元素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  <w:drawing>
          <wp:inline distT="0" distB="0" distL="114300" distR="114300">
            <wp:extent cx="722630" cy="669925"/>
            <wp:effectExtent l="0" t="0" r="1270" b="15875"/>
            <wp:docPr id="2" name="图片 1" descr="/home/user/桌面/7.8示意图/申请户.png申请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/home/user/桌面/7.8示意图/申请户.png申请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  <w:t xml:space="preserve">  申请户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both"/>
        <w:textAlignment w:val="auto"/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  <w:drawing>
          <wp:inline distT="0" distB="0" distL="114300" distR="114300">
            <wp:extent cx="911225" cy="737870"/>
            <wp:effectExtent l="0" t="0" r="3175" b="0"/>
            <wp:docPr id="3" name="图片 2" descr="/home/user/桌面/7.8示意图/持证户.png持证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/home/user/桌面/7.8示意图/持证户.png持证户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  <w:t xml:space="preserve">  持证户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80" w:hanging="4480" w:hangingChars="1400"/>
        <w:jc w:val="both"/>
        <w:textAlignment w:val="auto"/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  <w:drawing>
          <wp:inline distT="0" distB="0" distL="114300" distR="114300">
            <wp:extent cx="2609215" cy="849630"/>
            <wp:effectExtent l="0" t="0" r="635" b="7620"/>
            <wp:docPr id="4" name="图片 3" descr="道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道路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921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  <w:t xml:space="preserve"> 街（路）（含单行道、单车道、人行道）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  <w:drawing>
          <wp:inline distT="0" distB="0" distL="114300" distR="114300">
            <wp:extent cx="884555" cy="1000125"/>
            <wp:effectExtent l="0" t="0" r="10795" b="9525"/>
            <wp:docPr id="5" name="图片 4" descr="/home/user/桌面/斑马线.png斑马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/home/user/桌面/斑马线.png斑马线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  <w:t xml:space="preserve">  斑马线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560" w:hanging="2560" w:hangingChars="800"/>
        <w:jc w:val="both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none"/>
        </w:rPr>
        <w:drawing>
          <wp:inline distT="0" distB="0" distL="114300" distR="114300">
            <wp:extent cx="1330325" cy="1065530"/>
            <wp:effectExtent l="0" t="0" r="3175" b="1270"/>
            <wp:docPr id="6" name="图片 5" descr="学校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学校图片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none"/>
        </w:rPr>
        <w:t>中小学、中等职业学校、特殊教育学校、专门学校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none"/>
          <w:lang w:val="en-US" w:eastAsia="zh-CN"/>
        </w:rPr>
        <w:t>或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none"/>
        </w:rPr>
        <w:t>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560" w:hanging="2560" w:hangingChars="800"/>
        <w:jc w:val="both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  <w:drawing>
          <wp:inline distT="0" distB="0" distL="114300" distR="114300">
            <wp:extent cx="1414145" cy="225425"/>
            <wp:effectExtent l="0" t="0" r="14605" b="3175"/>
            <wp:docPr id="7" name="图片 6" descr="/home/user/桌面/硬隔离.png硬隔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/home/user/桌面/硬隔离.png硬隔离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  <w:t xml:space="preserve">  硬隔离设施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both"/>
        <w:textAlignment w:val="auto"/>
        <w:rPr>
          <w:rFonts w:hint="default" w:ascii="仿宋_GB2312" w:hAnsi="宋体" w:eastAsia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仿宋_GB2312" w:hAnsi="宋体" w:eastAsia="仿宋_GB2312"/>
          <w:color w:val="000000"/>
          <w:sz w:val="32"/>
          <w:szCs w:val="32"/>
          <w:u w:val="none"/>
          <w:lang w:val="en-US" w:eastAsia="zh-CN"/>
        </w:rPr>
        <w:drawing>
          <wp:inline distT="0" distB="0" distL="114300" distR="114300">
            <wp:extent cx="934720" cy="76200"/>
            <wp:effectExtent l="0" t="0" r="17780" b="0"/>
            <wp:docPr id="8" name="图片 7" descr="/home/user/桌面/示意图/测量路径.png测量路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/home/user/桌面/示意图/测量路径.png测量路径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472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  <w:t xml:space="preserve">     间距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宋体" w:eastAsia="仿宋_GB2312"/>
          <w:b/>
          <w:bCs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 xml:space="preserve">第十二条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与最近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持证户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位于同侧且无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硬隔离设施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的，测量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 w:bidi="ar"/>
        </w:rPr>
        <w:t>最短直线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距离。（如图1所示）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/>
          <w:color w:val="000000"/>
          <w:highlight w:val="none"/>
          <w:u w:val="none"/>
          <w:lang w:val="en-US" w:eastAsia="zh-CN"/>
        </w:rPr>
        <w:t xml:space="preserve">  </w:t>
      </w:r>
      <w:r>
        <w:rPr>
          <w:color w:val="000000"/>
          <w:highlight w:val="none"/>
          <w:u w:val="none"/>
        </w:rPr>
        <w:drawing>
          <wp:inline distT="0" distB="0" distL="114300" distR="114300">
            <wp:extent cx="4534535" cy="2198370"/>
            <wp:effectExtent l="0" t="0" r="18415" b="0"/>
            <wp:docPr id="9" name="图片 8" descr="/home/user/桌面/图示1.png图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/home/user/桌面/图示1.png图示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34535" cy="219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宋体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（图示1）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eastAsia="zh-CN"/>
        </w:rPr>
        <w:t>第十三条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与最近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持证户位于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同侧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存在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硬隔离设施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的，按绕过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硬隔离设施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可通行的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最短直线分段测量间距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有转角、不规则形状，均按同样路径测量间距。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（如图2所示）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  <w:lang w:val="en-US" w:eastAsia="zh-CN"/>
        </w:rPr>
        <w:drawing>
          <wp:inline distT="0" distB="0" distL="114300" distR="114300">
            <wp:extent cx="4561205" cy="2564765"/>
            <wp:effectExtent l="0" t="0" r="10795" b="0"/>
            <wp:docPr id="10" name="图片 9" descr="/home/user/桌面/图示2.png图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/home/user/桌面/图示2.png图示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1205" cy="25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center"/>
        <w:textAlignment w:val="auto"/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  <w:lang w:val="en-US" w:eastAsia="zh-CN"/>
        </w:rPr>
        <w:t>（图示2）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jc w:val="both"/>
        <w:textAlignment w:val="auto"/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  <w:u w:val="none"/>
          <w:lang w:eastAsia="zh-CN"/>
        </w:rPr>
        <w:t>第十四条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  <w:lang w:eastAsia="zh-CN"/>
        </w:rPr>
        <w:t xml:space="preserve">申请户与最近持证户位于道路异侧，且通行之间无硬隔离设施的，确认安全可通行，测量最短直线距离。（如图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  <w:lang w:eastAsia="zh-CN"/>
        </w:rPr>
        <w:t>所示）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  <w:lang w:val="en-US" w:eastAsia="zh-CN"/>
        </w:rPr>
        <w:drawing>
          <wp:inline distT="0" distB="0" distL="114300" distR="114300">
            <wp:extent cx="4321810" cy="2776855"/>
            <wp:effectExtent l="0" t="0" r="2540" b="4445"/>
            <wp:docPr id="11" name="图片 10" descr="/home/user/桌面/图示3.png图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/home/user/桌面/图示3.png图示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21810" cy="277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（图示3）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第十五条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与最近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持证户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位于道路异侧，且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通行之间存在硬隔离设施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按可安全通行最短直线分段测量间距。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（如图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所示）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yellow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/>
          <w:color w:val="000000"/>
          <w:u w:val="none"/>
          <w:lang w:val="en-US" w:eastAsia="zh-CN"/>
        </w:rPr>
        <w:t xml:space="preserve">     </w:t>
      </w:r>
      <w:r>
        <w:rPr>
          <w:color w:val="000000"/>
          <w:u w:val="none"/>
        </w:rPr>
        <w:drawing>
          <wp:inline distT="0" distB="0" distL="114300" distR="114300">
            <wp:extent cx="4528820" cy="2854325"/>
            <wp:effectExtent l="0" t="0" r="5080" b="3175"/>
            <wp:docPr id="12" name="图片 11" descr="/home/user/桌面/8.4示意图/图示4.png图示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/home/user/桌面/8.4示意图/图示4.png图示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2882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u w:val="none"/>
        </w:rPr>
        <w:t>（图示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none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textAlignment w:val="auto"/>
        <w:rPr>
          <w:rFonts w:hint="default" w:ascii="仿宋_GB2312" w:eastAsia="仿宋_GB2312"/>
          <w:b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u w:val="none"/>
          <w:lang w:eastAsia="zh-CN"/>
        </w:rPr>
        <w:t>第十六条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</w:rPr>
        <w:t>申请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  <w:lang w:eastAsia="zh-CN"/>
        </w:rPr>
        <w:t>户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</w:rPr>
        <w:t>与最近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  <w:lang w:eastAsia="zh-CN"/>
        </w:rPr>
        <w:t>持证户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</w:rPr>
        <w:t>位于道路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  <w:lang w:eastAsia="zh-CN"/>
        </w:rPr>
        <w:t>异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</w:rPr>
        <w:t>侧，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  <w:lang w:eastAsia="zh-CN"/>
        </w:rPr>
        <w:t>通行之间存在硬隔离设施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</w:rPr>
        <w:t>，从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  <w:lang w:eastAsia="zh-CN"/>
        </w:rPr>
        <w:t>硬隔离设施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</w:rPr>
        <w:t>最近开口处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  <w:lang w:eastAsia="zh-CN"/>
        </w:rPr>
        <w:t>按最短直线分段测量间距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</w:rPr>
        <w:t>。（如图5所示）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/>
          <w:b/>
          <w:bCs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u w:val="none"/>
          <w:lang w:eastAsia="zh-CN"/>
        </w:rPr>
        <w:drawing>
          <wp:inline distT="0" distB="0" distL="114300" distR="114300">
            <wp:extent cx="4610735" cy="3020695"/>
            <wp:effectExtent l="0" t="0" r="18415" b="8255"/>
            <wp:docPr id="13" name="图片 12" descr="/home/user/桌面/8.4示意图/图示5.png图示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/home/user/桌面/8.4示意图/图示5.png图示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10735" cy="302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/>
          <w:b/>
          <w:bCs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u w:val="none"/>
          <w:lang w:eastAsia="zh-CN"/>
        </w:rPr>
        <w:t>（图示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eastAsia="zh-CN"/>
        </w:rPr>
        <w:t>第十七条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在商业综合体、购物中心等复合功能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建筑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场所室内，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该建筑内部外部均分布持证户的情形：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 w:bidi="ug-CN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申请户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 w:bidi="ug-CN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最近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持证户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 w:bidi="ug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 w:bidi="ug-CN"/>
        </w:rPr>
        <w:t>通行方式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bidi="ug-CN"/>
        </w:rPr>
        <w:t>电梯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 w:bidi="ug-CN"/>
        </w:rPr>
        <w:t>、扶梯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bidi="ug-CN"/>
        </w:rPr>
        <w:t>与楼梯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不考虑电梯是否正常运行）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bidi="ug-CN"/>
        </w:rPr>
        <w:t>并存的，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 w:bidi="ug-CN"/>
        </w:rPr>
        <w:t>测量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bidi="ug-CN"/>
        </w:rPr>
        <w:t>最短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 w:bidi="ug-CN"/>
        </w:rPr>
        <w:t>直线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bidi="ug-CN"/>
        </w:rPr>
        <w:t>距离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 w:bidi="ug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电梯按照层高进行测量；楼梯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以其平面坡长进行测量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（如图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所示）</w:t>
      </w:r>
    </w:p>
    <w:p>
      <w:pPr>
        <w:spacing w:line="560" w:lineRule="exact"/>
        <w:jc w:val="center"/>
        <w:rPr>
          <w:rFonts w:hint="eastAsia" w:ascii="仿宋_GB2312" w:hAnsi="Times New Roman" w:eastAsia="仿宋_GB2312"/>
          <w:color w:val="000000"/>
          <w:sz w:val="32"/>
          <w:szCs w:val="32"/>
          <w:u w:val="none"/>
        </w:rPr>
      </w:pPr>
      <w:r>
        <w:rPr>
          <w:color w:val="000000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541655</wp:posOffset>
            </wp:positionH>
            <wp:positionV relativeFrom="paragraph">
              <wp:posOffset>93345</wp:posOffset>
            </wp:positionV>
            <wp:extent cx="4424045" cy="2557145"/>
            <wp:effectExtent l="0" t="0" r="14605" b="14605"/>
            <wp:wrapTopAndBottom/>
            <wp:docPr id="1" name="对象 16" descr="/home/user/桌面/8.4示意图/图示6.png图示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对象 16" descr="/home/user/桌面/8.4示意图/图示6.png图示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24045" cy="255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/>
          <w:color w:val="000000"/>
          <w:sz w:val="32"/>
          <w:szCs w:val="32"/>
          <w:u w:val="none"/>
        </w:rPr>
        <w:t>（图示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none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在商业综合体、购物中心等复合功能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建筑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场所室内设置柜台的申请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户，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则以柜台中心点为测量起始点进行测量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申请户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 w:bidi="ug-CN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最近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持证户属于前后楼，有多个出入口（门）可通行的，申请户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 w:bidi="ug-CN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最近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持证户以相距最近的出入口（门），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 w:bidi="ug-CN"/>
        </w:rPr>
        <w:t>测量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bidi="ug-CN"/>
        </w:rPr>
        <w:t>最短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 w:bidi="ug-CN"/>
        </w:rPr>
        <w:t>直线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bidi="ug-CN"/>
        </w:rPr>
        <w:t>距离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。（如图7所示） </w:t>
      </w:r>
      <w:r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宋体" w:eastAsia="仿宋_GB2312"/>
          <w:color w:val="000000"/>
          <w:sz w:val="32"/>
          <w:szCs w:val="32"/>
          <w:u w:val="none"/>
          <w:lang w:val="en-US" w:eastAsia="zh-CN"/>
        </w:rPr>
        <w:drawing>
          <wp:inline distT="0" distB="0" distL="114300" distR="114300">
            <wp:extent cx="4685665" cy="3580765"/>
            <wp:effectExtent l="0" t="0" r="635" b="635"/>
            <wp:docPr id="14" name="图片 13" descr="/home/user/桌面/8.4示意图/图示7.png图示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 descr="/home/user/桌面/8.4示意图/图示7.png图示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85665" cy="358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宋体" w:eastAsia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  <w:t>（图示7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  <w:u w:val="none"/>
          <w:lang w:val="en-US" w:eastAsia="zh-CN"/>
        </w:rPr>
        <w:t>第十八条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none"/>
          <w:lang w:eastAsia="zh-CN"/>
        </w:rPr>
        <w:t>申请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none"/>
          <w:lang w:val="en-US" w:eastAsia="zh-CN"/>
        </w:rPr>
        <w:t>户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none"/>
          <w:lang w:eastAsia="zh-CN"/>
        </w:rPr>
        <w:t>位于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none"/>
          <w:lang w:val="en-US" w:eastAsia="zh-CN"/>
        </w:rPr>
        <w:t>住宅小区、封闭厂矿生活区、监狱、部队院内、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none"/>
        </w:rPr>
        <w:t>集贸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/>
        </w:rPr>
        <w:t>市场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文创产业园内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/>
        </w:rPr>
        <w:t>（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园区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/>
        </w:rPr>
        <w:t>内无论是否有交通标志标线）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等区域，与持证户间距测量方式参照本标准类似情形测量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jc w:val="both"/>
        <w:textAlignment w:val="auto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u w:val="none"/>
          <w:lang w:eastAsia="zh-CN" w:bidi="ar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u w:val="none"/>
          <w:lang w:val="en-US" w:eastAsia="zh-CN"/>
        </w:rPr>
        <w:t>第十九条</w:t>
      </w:r>
      <w:r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none"/>
        </w:rPr>
        <w:t>中小学、中等职业学校、特殊教育学校、专门学校及幼儿园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none"/>
          <w:lang w:eastAsia="zh-CN"/>
        </w:rPr>
        <w:t>周边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u w:val="none"/>
          <w:lang w:eastAsia="zh-CN" w:bidi="ar"/>
        </w:rPr>
        <w:t>间距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u w:val="none"/>
          <w:lang w:bidi="ar"/>
        </w:rPr>
        <w:t>测量方法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u w:val="none"/>
          <w:lang w:eastAsia="zh-CN" w:bidi="ar"/>
        </w:rPr>
        <w:t>，参照与持证户间距测量方式。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jc w:val="both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u w:val="none"/>
        </w:rPr>
      </w:pPr>
      <w:r>
        <w:rPr>
          <w:rFonts w:hint="eastAsia" w:ascii="仿宋_GB2312" w:hAnsi="Times New Roman" w:eastAsia="仿宋_GB2312"/>
          <w:b/>
          <w:color w:val="000000"/>
          <w:sz w:val="32"/>
          <w:szCs w:val="32"/>
          <w:u w:val="none"/>
        </w:rPr>
        <w:t>第</w:t>
      </w:r>
      <w:r>
        <w:rPr>
          <w:rFonts w:hint="eastAsia" w:ascii="仿宋_GB2312" w:hAnsi="Times New Roman" w:eastAsia="仿宋_GB2312"/>
          <w:b/>
          <w:color w:val="000000"/>
          <w:sz w:val="32"/>
          <w:szCs w:val="32"/>
          <w:u w:val="none"/>
          <w:lang w:val="en-US" w:eastAsia="zh-CN"/>
        </w:rPr>
        <w:t>二十</w:t>
      </w:r>
      <w:r>
        <w:rPr>
          <w:rFonts w:hint="eastAsia" w:ascii="仿宋_GB2312" w:hAnsi="Times New Roman" w:eastAsia="仿宋_GB2312"/>
          <w:b/>
          <w:color w:val="000000"/>
          <w:sz w:val="32"/>
          <w:szCs w:val="32"/>
          <w:u w:val="none"/>
        </w:rPr>
        <w:t>条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none"/>
        </w:rPr>
        <w:t xml:space="preserve"> 因地形、地貌或设计等原因导致上述未罗列的情形，参照本标准中同类或相似情形的测量方式进行测量。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第二十一条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eastAsia="zh-CN"/>
        </w:rPr>
        <w:t>实地核查无法判断经营场所业态的，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按照《规划》第十二条第二项第二目、第十三条第二项第二目、第四目、第十四条第二项第四目第二段、第三段中“其他类”规定测量。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 w:firstLineChars="200"/>
        <w:jc w:val="both"/>
        <w:textAlignment w:val="auto"/>
        <w:rPr>
          <w:rFonts w:ascii="仿宋_GB2312" w:hAnsi="仿宋" w:eastAsia="仿宋_GB2312"/>
          <w:color w:val="000000"/>
          <w:sz w:val="32"/>
          <w:szCs w:val="32"/>
          <w:u w:val="none"/>
        </w:rPr>
      </w:pPr>
      <w:r>
        <w:rPr>
          <w:rFonts w:hint="eastAsia" w:ascii="仿宋_GB2312" w:hAnsi="Times New Roman" w:eastAsia="仿宋_GB2312" w:cs="Times New Roman"/>
          <w:b/>
          <w:color w:val="000000"/>
          <w:sz w:val="32"/>
          <w:szCs w:val="32"/>
          <w:u w:val="none"/>
          <w:lang w:eastAsia="zh-CN"/>
        </w:rPr>
        <w:t>第</w:t>
      </w:r>
      <w:r>
        <w:rPr>
          <w:rFonts w:hint="eastAsia" w:ascii="仿宋_GB2312" w:hAnsi="Times New Roman" w:eastAsia="仿宋_GB2312" w:cs="Times New Roman"/>
          <w:b/>
          <w:color w:val="000000"/>
          <w:sz w:val="32"/>
          <w:szCs w:val="32"/>
          <w:u w:val="none"/>
          <w:lang w:val="en-US" w:eastAsia="zh-CN"/>
        </w:rPr>
        <w:t>二十二</w:t>
      </w:r>
      <w:r>
        <w:rPr>
          <w:rFonts w:hint="eastAsia" w:ascii="仿宋_GB2312" w:hAnsi="Times New Roman" w:eastAsia="仿宋_GB2312" w:cs="Times New Roman"/>
          <w:b/>
          <w:color w:val="000000"/>
          <w:sz w:val="32"/>
          <w:szCs w:val="32"/>
          <w:u w:val="none"/>
          <w:lang w:eastAsia="zh-CN"/>
        </w:rPr>
        <w:t>条</w:t>
      </w:r>
      <w:r>
        <w:rPr>
          <w:rFonts w:hint="eastAsia" w:ascii="仿宋_GB2312" w:hAnsi="仿宋" w:eastAsia="仿宋_GB2312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32"/>
          <w:u w:val="none"/>
        </w:rPr>
        <w:t>按照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《规划》</w:t>
      </w:r>
      <w:r>
        <w:rPr>
          <w:rFonts w:hint="eastAsia" w:ascii="仿宋_GB2312" w:hAnsi="仿宋" w:eastAsia="仿宋_GB2312"/>
          <w:color w:val="000000"/>
          <w:sz w:val="32"/>
          <w:szCs w:val="32"/>
          <w:u w:val="none"/>
          <w:lang w:eastAsia="zh-CN"/>
        </w:rPr>
        <w:t>测量</w:t>
      </w:r>
      <w:r>
        <w:rPr>
          <w:rFonts w:hint="eastAsia" w:ascii="仿宋_GB2312" w:hAnsi="仿宋" w:eastAsia="仿宋_GB2312"/>
          <w:color w:val="000000"/>
          <w:sz w:val="32"/>
          <w:szCs w:val="32"/>
          <w:u w:val="none"/>
        </w:rPr>
        <w:t>时，有下列情形之一的，不作为间距限制的有效参照物：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ascii="仿宋_GB2312" w:hAnsi="仿宋" w:eastAsia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u w:val="none"/>
        </w:rPr>
        <w:t>（一）</w:t>
      </w:r>
      <w:r>
        <w:rPr>
          <w:rFonts w:hint="eastAsia" w:ascii="仿宋_GB2312" w:hAnsi="仿宋" w:eastAsia="仿宋_GB2312"/>
          <w:color w:val="000000"/>
          <w:sz w:val="32"/>
          <w:szCs w:val="32"/>
          <w:u w:val="none"/>
          <w:lang w:val="en-US" w:eastAsia="zh-CN"/>
        </w:rPr>
        <w:t>个</w:t>
      </w:r>
      <w:r>
        <w:rPr>
          <w:rFonts w:hint="eastAsia" w:ascii="仿宋_GB2312" w:hAnsi="仿宋" w:eastAsia="仿宋_GB2312"/>
          <w:color w:val="auto"/>
          <w:sz w:val="32"/>
          <w:szCs w:val="32"/>
          <w:u w:val="none"/>
          <w:lang w:val="en-US" w:eastAsia="zh-CN"/>
        </w:rPr>
        <w:t>体工商户烟草专卖零售许可证核定主体或经营地址发生变化的；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u w:val="none"/>
        </w:rPr>
        <w:t>（</w:t>
      </w:r>
      <w:r>
        <w:rPr>
          <w:rFonts w:hint="eastAsia" w:ascii="仿宋_GB2312" w:hAnsi="仿宋" w:eastAsia="仿宋_GB2312"/>
          <w:color w:val="auto"/>
          <w:sz w:val="32"/>
          <w:szCs w:val="32"/>
          <w:u w:val="none"/>
          <w:lang w:eastAsia="zh-CN"/>
        </w:rPr>
        <w:t>二</w:t>
      </w:r>
      <w:r>
        <w:rPr>
          <w:rFonts w:hint="eastAsia" w:ascii="仿宋_GB2312" w:hAnsi="仿宋" w:eastAsia="仿宋_GB2312"/>
          <w:color w:val="auto"/>
          <w:sz w:val="32"/>
          <w:szCs w:val="32"/>
          <w:u w:val="none"/>
        </w:rPr>
        <w:t>）因拆迁、搬迁导致经营地址不存</w:t>
      </w:r>
      <w:r>
        <w:rPr>
          <w:rFonts w:hint="eastAsia" w:ascii="仿宋_GB2312" w:hAnsi="仿宋" w:eastAsia="仿宋_GB2312"/>
          <w:color w:val="auto"/>
          <w:sz w:val="32"/>
          <w:szCs w:val="32"/>
          <w:u w:val="none"/>
          <w:lang w:eastAsia="zh-CN"/>
        </w:rPr>
        <w:t>在且无法复原</w:t>
      </w:r>
      <w:r>
        <w:rPr>
          <w:rFonts w:hint="eastAsia" w:ascii="仿宋_GB2312" w:hAnsi="仿宋" w:eastAsia="仿宋_GB2312"/>
          <w:color w:val="auto"/>
          <w:sz w:val="32"/>
          <w:szCs w:val="32"/>
          <w:u w:val="none"/>
        </w:rPr>
        <w:t>的</w:t>
      </w:r>
      <w:r>
        <w:rPr>
          <w:rFonts w:hint="eastAsia" w:ascii="仿宋_GB2312" w:hAnsi="仿宋" w:eastAsia="仿宋_GB2312"/>
          <w:color w:val="auto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黑体" w:hAnsi="Times New Roman" w:eastAsia="黑体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u w:val="none"/>
        </w:rPr>
        <w:t>（</w:t>
      </w:r>
      <w:r>
        <w:rPr>
          <w:rFonts w:hint="eastAsia" w:ascii="仿宋_GB2312" w:hAnsi="仿宋" w:eastAsia="仿宋_GB2312"/>
          <w:color w:val="auto"/>
          <w:sz w:val="32"/>
          <w:szCs w:val="32"/>
          <w:u w:val="none"/>
          <w:lang w:eastAsia="zh-CN"/>
        </w:rPr>
        <w:t>三</w:t>
      </w:r>
      <w:r>
        <w:rPr>
          <w:rFonts w:hint="eastAsia" w:ascii="仿宋_GB2312" w:hAnsi="仿宋" w:eastAsia="仿宋_GB2312"/>
          <w:color w:val="auto"/>
          <w:sz w:val="32"/>
          <w:szCs w:val="32"/>
          <w:u w:val="none"/>
        </w:rPr>
        <w:t>）依法应注销、撤销、收回</w:t>
      </w:r>
      <w:r>
        <w:rPr>
          <w:rFonts w:hint="eastAsia" w:ascii="仿宋_GB2312" w:hAnsi="仿宋" w:eastAsia="仿宋_GB2312"/>
          <w:color w:val="auto"/>
          <w:sz w:val="32"/>
          <w:szCs w:val="32"/>
          <w:u w:val="none"/>
          <w:lang w:val="en-US" w:eastAsia="zh-CN"/>
        </w:rPr>
        <w:t>烟草专卖零售许可证</w:t>
      </w:r>
      <w:r>
        <w:rPr>
          <w:rFonts w:hint="eastAsia" w:ascii="仿宋_GB2312" w:hAnsi="仿宋" w:eastAsia="仿宋_GB2312"/>
          <w:color w:val="000000"/>
          <w:sz w:val="32"/>
          <w:szCs w:val="32"/>
          <w:u w:val="none"/>
        </w:rPr>
        <w:t>的零售点</w:t>
      </w:r>
      <w:r>
        <w:rPr>
          <w:rFonts w:hint="eastAsia" w:ascii="仿宋_GB2312" w:hAnsi="仿宋" w:eastAsia="仿宋_GB2312"/>
          <w:color w:val="000000"/>
          <w:sz w:val="32"/>
          <w:szCs w:val="32"/>
          <w:u w:val="none"/>
          <w:lang w:eastAsia="zh-CN"/>
        </w:rPr>
        <w:t>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BhrYRyMwIAAGMEAAAOAAAAAAAAAAEAIAAA&#10;ADUBAABkcnMvZTJvRG9jLnhtbF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B374A7"/>
    <w:multiLevelType w:val="singleLevel"/>
    <w:tmpl w:val="BBB374A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A8412"/>
    <w:rsid w:val="3EAB0813"/>
    <w:rsid w:val="3FD8D3A4"/>
    <w:rsid w:val="4A8F291D"/>
    <w:rsid w:val="6EFA5F4A"/>
    <w:rsid w:val="77FAF31A"/>
    <w:rsid w:val="79BF5AB4"/>
    <w:rsid w:val="7A4FB77B"/>
    <w:rsid w:val="7ADD65DF"/>
    <w:rsid w:val="7BFA936F"/>
    <w:rsid w:val="7F6F3FE6"/>
    <w:rsid w:val="7FFA1BED"/>
    <w:rsid w:val="9EFF2848"/>
    <w:rsid w:val="ABFF1124"/>
    <w:rsid w:val="D7DD2E36"/>
    <w:rsid w:val="DDFCC349"/>
    <w:rsid w:val="DF796558"/>
    <w:rsid w:val="DF950EE9"/>
    <w:rsid w:val="EDFDF9B7"/>
    <w:rsid w:val="EFD9DB48"/>
    <w:rsid w:val="F3770EAD"/>
    <w:rsid w:val="F62F8502"/>
    <w:rsid w:val="F8674ABB"/>
    <w:rsid w:val="FAFD34F7"/>
    <w:rsid w:val="FBCB854D"/>
    <w:rsid w:val="FFED6870"/>
    <w:rsid w:val="FFEDD5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kylin</cp:lastModifiedBy>
  <dcterms:modified xsi:type="dcterms:W3CDTF">2025-09-26T15:52:37Z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A43C70F0A7CFAACD4546D668E9AFE677</vt:lpwstr>
  </property>
</Properties>
</file>