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hanging="2200" w:hangingChars="500"/>
        <w:jc w:val="center"/>
        <w:textAlignment w:val="auto"/>
        <w:rPr>
          <w:rFonts w:hint="eastAsia" w:ascii="方正小标宋_GBK" w:hAnsi="方正小标宋_GBK" w:eastAsia="方正小标宋_GBK" w:cs="方正小标宋_GBK"/>
          <w:sz w:val="44"/>
          <w:szCs w:val="4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仿宋_GBK" w:cs="Times New Roman"/>
          <w:sz w:val="32"/>
          <w:szCs w:val="32"/>
        </w:rPr>
        <w:t>乌公管</w:t>
      </w:r>
      <w:r>
        <w:rPr>
          <w:rFonts w:hint="default" w:ascii="Times New Roman" w:hAnsi="Times New Roman" w:eastAsia="方正仿宋_GBK" w:cs="Times New Roman"/>
          <w:sz w:val="32"/>
          <w:szCs w:val="32"/>
          <w:lang w:val="en-US" w:eastAsia="zh-CN"/>
        </w:rPr>
        <w:t>规</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bookmarkStart w:id="0" w:name="_GoBack"/>
      <w:r>
        <w:rPr>
          <w:rFonts w:hint="eastAsia" w:ascii="方正小标宋_GBK" w:hAnsi="方正小标宋_GBK" w:eastAsia="方正小标宋_GBK" w:cs="方正小标宋_GBK"/>
          <w:sz w:val="44"/>
          <w:szCs w:val="44"/>
        </w:rPr>
        <w:t>关于印发《</w:t>
      </w:r>
      <w:r>
        <w:rPr>
          <w:rFonts w:hint="default" w:ascii="Times New Roman" w:hAnsi="Times New Roman" w:eastAsia="方正小标宋_GBK" w:cs="Times New Roman"/>
          <w:sz w:val="44"/>
          <w:szCs w:val="44"/>
          <w:lang w:val="en-US" w:eastAsia="zh-CN"/>
        </w:rPr>
        <w:t>乌鲁木齐住房公积金管理中心</w:t>
      </w:r>
    </w:p>
    <w:p>
      <w:pPr>
        <w:keepNext w:val="0"/>
        <w:keepLines w:val="0"/>
        <w:pageBreakBefore w:val="0"/>
        <w:widowControl w:val="0"/>
        <w:kinsoku/>
        <w:wordWrap/>
        <w:overflowPunct/>
        <w:topLinePunct w:val="0"/>
        <w:autoSpaceDE/>
        <w:autoSpaceDN/>
        <w:bidi w:val="0"/>
        <w:adjustRightInd/>
        <w:snapToGrid/>
        <w:spacing w:line="560" w:lineRule="exact"/>
        <w:ind w:left="0" w:hanging="2200" w:hangingChars="500"/>
        <w:jc w:val="center"/>
        <w:textAlignment w:val="auto"/>
        <w:rPr>
          <w:rFonts w:hint="eastAsia" w:ascii="方正小标宋_GBK" w:hAnsi="方正小标宋_GBK" w:eastAsia="方正小标宋_GBK" w:cs="方正小标宋_GBK"/>
          <w:sz w:val="32"/>
          <w:szCs w:val="32"/>
        </w:rPr>
      </w:pPr>
      <w:r>
        <w:rPr>
          <w:rFonts w:hint="default" w:ascii="Times New Roman" w:hAnsi="Times New Roman" w:eastAsia="方正小标宋_GBK" w:cs="Times New Roman"/>
          <w:sz w:val="44"/>
          <w:szCs w:val="44"/>
          <w:lang w:val="en-US" w:eastAsia="zh-CN"/>
        </w:rPr>
        <w:t>行政调解工作</w:t>
      </w:r>
      <w:r>
        <w:rPr>
          <w:rFonts w:hint="eastAsia" w:ascii="Times New Roman" w:hAnsi="Times New Roman" w:eastAsia="方正小标宋_GBK" w:cs="Times New Roman"/>
          <w:sz w:val="44"/>
          <w:szCs w:val="44"/>
          <w:lang w:val="en-US" w:eastAsia="zh-CN"/>
        </w:rPr>
        <w:t>规定</w:t>
      </w:r>
      <w:r>
        <w:rPr>
          <w:rFonts w:hint="eastAsia" w:ascii="方正小标宋_GBK" w:hAnsi="方正小标宋_GBK" w:eastAsia="方正小标宋_GBK" w:cs="方正小标宋_GBK"/>
          <w:sz w:val="44"/>
          <w:szCs w:val="44"/>
        </w:rPr>
        <w:t>》的通知</w:t>
      </w:r>
    </w:p>
    <w:bookmarkEnd w:id="0"/>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各</w:t>
      </w:r>
      <w:r>
        <w:rPr>
          <w:rFonts w:hint="default" w:ascii="Times New Roman" w:hAnsi="Times New Roman" w:eastAsia="方正楷体_GBK" w:cs="Times New Roman"/>
          <w:sz w:val="32"/>
          <w:szCs w:val="32"/>
          <w:lang w:val="en-US" w:eastAsia="zh-CN"/>
        </w:rPr>
        <w:t>科室、分中心、管理部</w:t>
      </w:r>
      <w:r>
        <w:rPr>
          <w:rFonts w:hint="default" w:ascii="Times New Roman" w:hAnsi="Times New Roman" w:eastAsia="方正楷体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乌鲁木齐住房公积金管理中心行政调解工作规定</w:t>
      </w:r>
      <w:r>
        <w:rPr>
          <w:rFonts w:hint="default" w:ascii="Times New Roman" w:hAnsi="Times New Roman" w:eastAsia="方正楷体_GBK" w:cs="Times New Roman"/>
          <w:sz w:val="32"/>
          <w:szCs w:val="32"/>
          <w:lang w:eastAsia="zh-CN"/>
        </w:rPr>
        <w:t>》已经中心领导同意，现</w:t>
      </w:r>
      <w:r>
        <w:rPr>
          <w:rFonts w:hint="default" w:ascii="Times New Roman" w:hAnsi="Times New Roman" w:eastAsia="方正楷体_GBK" w:cs="Times New Roman"/>
          <w:sz w:val="32"/>
          <w:szCs w:val="32"/>
        </w:rPr>
        <w:t>印发给你们，请</w:t>
      </w:r>
      <w:r>
        <w:rPr>
          <w:rFonts w:hint="default" w:ascii="Times New Roman" w:hAnsi="Times New Roman" w:eastAsia="方正楷体_GBK" w:cs="Times New Roman"/>
          <w:sz w:val="32"/>
          <w:szCs w:val="32"/>
          <w:lang w:val="en-US" w:eastAsia="zh-CN"/>
        </w:rPr>
        <w:t>认真贯彻落实</w:t>
      </w:r>
      <w:r>
        <w:rPr>
          <w:rFonts w:hint="default" w:ascii="Times New Roman" w:hAnsi="Times New Roman" w:eastAsia="方正楷体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乌鲁木齐</w:t>
      </w:r>
      <w:r>
        <w:rPr>
          <w:rFonts w:hint="default" w:ascii="Times New Roman" w:hAnsi="Times New Roman" w:eastAsia="方正楷体_GBK" w:cs="Times New Roman"/>
          <w:sz w:val="32"/>
          <w:szCs w:val="32"/>
          <w:lang w:val="en-US" w:eastAsia="zh-CN"/>
        </w:rPr>
        <w:t>住房公积金管理中心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20</w:t>
      </w:r>
      <w:r>
        <w:rPr>
          <w:rFonts w:hint="default" w:ascii="Times New Roman" w:hAnsi="Times New Roman" w:eastAsia="方正楷体_GBK" w:cs="Times New Roman"/>
          <w:sz w:val="32"/>
          <w:szCs w:val="32"/>
          <w:lang w:val="en-US" w:eastAsia="zh-CN"/>
        </w:rPr>
        <w:t>25</w:t>
      </w:r>
      <w:r>
        <w:rPr>
          <w:rFonts w:hint="default" w:ascii="Times New Roman" w:hAnsi="Times New Roman" w:eastAsia="方正楷体_GBK" w:cs="Times New Roman"/>
          <w:sz w:val="32"/>
          <w:szCs w:val="32"/>
        </w:rPr>
        <w:t>年</w:t>
      </w:r>
      <w:r>
        <w:rPr>
          <w:rFonts w:hint="eastAsia" w:ascii="Times New Roman" w:hAnsi="Times New Roman" w:eastAsia="方正楷体_GBK" w:cs="Times New Roman"/>
          <w:sz w:val="32"/>
          <w:szCs w:val="32"/>
          <w:lang w:val="en-US" w:eastAsia="zh-CN"/>
        </w:rPr>
        <w:t>9</w:t>
      </w:r>
      <w:r>
        <w:rPr>
          <w:rFonts w:hint="default" w:ascii="Times New Roman" w:hAnsi="Times New Roman" w:eastAsia="方正楷体_GBK" w:cs="Times New Roman"/>
          <w:sz w:val="32"/>
          <w:szCs w:val="32"/>
        </w:rPr>
        <w:t>月</w:t>
      </w:r>
      <w:r>
        <w:rPr>
          <w:rFonts w:hint="eastAsia" w:ascii="Times New Roman" w:hAnsi="Times New Roman" w:eastAsia="方正楷体_GBK" w:cs="Times New Roman"/>
          <w:sz w:val="32"/>
          <w:szCs w:val="32"/>
          <w:lang w:val="en-US" w:eastAsia="zh-CN"/>
        </w:rPr>
        <w:t>5</w:t>
      </w:r>
      <w:r>
        <w:rPr>
          <w:rFonts w:hint="default" w:ascii="Times New Roman" w:hAnsi="Times New Roman" w:eastAsia="方正楷体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乌鲁木齐住房公积金管理中心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行政调解工作</w:t>
      </w:r>
      <w:r>
        <w:rPr>
          <w:rFonts w:hint="eastAsia" w:ascii="Times New Roman" w:hAnsi="Times New Roman" w:eastAsia="方正小标宋_GBK" w:cs="Times New Roman"/>
          <w:sz w:val="44"/>
          <w:szCs w:val="44"/>
          <w:lang w:val="en-US" w:eastAsia="zh-CN"/>
        </w:rPr>
        <w:t>规定</w:t>
      </w:r>
    </w:p>
    <w:p>
      <w:pPr>
        <w:pStyle w:val="2"/>
        <w:rPr>
          <w:rFonts w:hint="default" w:ascii="Times New Roman" w:hAnsi="Times New Roman" w:cs="Times New Roman"/>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为进一步加强和规范住房公积金行政调解工作，及时化解住房公积金</w:t>
      </w:r>
      <w:r>
        <w:rPr>
          <w:rFonts w:hint="eastAsia" w:ascii="Times New Roman" w:hAnsi="Times New Roman" w:eastAsia="方正仿宋_GBK" w:cs="Times New Roman"/>
          <w:sz w:val="32"/>
          <w:szCs w:val="32"/>
          <w:lang w:val="en-US" w:eastAsia="zh-CN"/>
        </w:rPr>
        <w:t>矛盾</w:t>
      </w:r>
      <w:r>
        <w:rPr>
          <w:rFonts w:hint="default" w:ascii="Times New Roman" w:hAnsi="Times New Roman" w:eastAsia="方正仿宋_GBK" w:cs="Times New Roman"/>
          <w:sz w:val="32"/>
          <w:szCs w:val="32"/>
          <w:lang w:val="en-US" w:eastAsia="zh-CN"/>
        </w:rPr>
        <w:t>纠纷，</w:t>
      </w:r>
      <w:r>
        <w:rPr>
          <w:rFonts w:hint="eastAsia" w:ascii="Times New Roman" w:hAnsi="Times New Roman" w:eastAsia="方正仿宋_GBK" w:cs="Times New Roman"/>
          <w:sz w:val="32"/>
          <w:szCs w:val="32"/>
          <w:lang w:val="en-US" w:eastAsia="zh-CN"/>
        </w:rPr>
        <w:t>保障职工合法权益，</w:t>
      </w:r>
      <w:r>
        <w:rPr>
          <w:rFonts w:hint="default" w:ascii="Times New Roman" w:hAnsi="Times New Roman" w:eastAsia="方正仿宋_GBK" w:cs="Times New Roman"/>
          <w:sz w:val="32"/>
          <w:szCs w:val="32"/>
          <w:lang w:val="en-US" w:eastAsia="zh-CN"/>
        </w:rPr>
        <w:t>促进社会和谐稳定，根据</w:t>
      </w:r>
      <w:r>
        <w:rPr>
          <w:rFonts w:hint="default" w:ascii="Times New Roman" w:hAnsi="Times New Roman" w:eastAsia="方正仿宋_GBK" w:cs="Times New Roman"/>
          <w:b w:val="0"/>
          <w:bCs w:val="0"/>
          <w:color w:val="auto"/>
          <w:sz w:val="32"/>
          <w:szCs w:val="32"/>
          <w:u w:val="none"/>
          <w:lang w:val="en-US" w:eastAsia="zh-CN"/>
        </w:rPr>
        <w:t>《新疆维吾尔自治区矛盾纠纷化解条例》</w:t>
      </w:r>
      <w:r>
        <w:rPr>
          <w:rFonts w:hint="default" w:ascii="Times New Roman" w:hAnsi="Times New Roman" w:eastAsia="方正仿宋_GBK" w:cs="Times New Roman"/>
          <w:sz w:val="32"/>
          <w:szCs w:val="32"/>
          <w:lang w:val="en-US" w:eastAsia="zh-CN"/>
        </w:rPr>
        <w:t>《关于印发</w:t>
      </w:r>
      <w:r>
        <w:rPr>
          <w:rFonts w:hint="default" w:ascii="Times New Roman" w:hAnsi="Times New Roman" w:eastAsia="GWZT-EN" w:cs="Times New Roman"/>
          <w:sz w:val="32"/>
          <w:szCs w:val="32"/>
          <w:lang w:val="en-US" w:eastAsia="zh-CN"/>
        </w:rPr>
        <w:t>〈</w:t>
      </w:r>
      <w:r>
        <w:rPr>
          <w:rFonts w:hint="default" w:ascii="Times New Roman" w:hAnsi="Times New Roman" w:eastAsia="方正仿宋_GBK" w:cs="Times New Roman"/>
          <w:sz w:val="32"/>
          <w:szCs w:val="32"/>
          <w:lang w:val="en-US" w:eastAsia="zh-CN"/>
        </w:rPr>
        <w:t>关于坚持发展“天山枫桥”经验构建以人民调解为基础的大调解工作格局实施方案</w:t>
      </w:r>
      <w:r>
        <w:rPr>
          <w:rFonts w:hint="default" w:ascii="Times New Roman" w:hAnsi="Times New Roman" w:eastAsia="GWZT-EN" w:cs="Times New Roman"/>
          <w:sz w:val="32"/>
          <w:szCs w:val="32"/>
          <w:lang w:val="en-US" w:eastAsia="zh-CN"/>
        </w:rPr>
        <w:t>〉</w:t>
      </w:r>
      <w:r>
        <w:rPr>
          <w:rFonts w:hint="default" w:ascii="Times New Roman" w:hAnsi="Times New Roman" w:eastAsia="方正仿宋_GBK" w:cs="Times New Roman"/>
          <w:sz w:val="32"/>
          <w:szCs w:val="32"/>
          <w:lang w:val="en-US" w:eastAsia="zh-CN"/>
        </w:rPr>
        <w:t>的通知》（乌党政法</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16号）有关规定，</w:t>
      </w:r>
      <w:r>
        <w:rPr>
          <w:rFonts w:hint="eastAsia" w:ascii="Times New Roman" w:hAnsi="Times New Roman" w:eastAsia="方正仿宋_GBK" w:cs="Times New Roman"/>
          <w:sz w:val="32"/>
          <w:szCs w:val="32"/>
          <w:lang w:val="en-US" w:eastAsia="zh-CN"/>
        </w:rPr>
        <w:t>结合中心实际，</w:t>
      </w:r>
      <w:r>
        <w:rPr>
          <w:rFonts w:hint="default" w:ascii="Times New Roman" w:hAnsi="Times New Roman" w:eastAsia="方正仿宋_GBK" w:cs="Times New Roman"/>
          <w:sz w:val="32"/>
          <w:szCs w:val="32"/>
          <w:lang w:val="en-US" w:eastAsia="zh-CN"/>
        </w:rPr>
        <w:t>制定本</w:t>
      </w:r>
      <w:r>
        <w:rPr>
          <w:rFonts w:hint="eastAsia" w:ascii="Times New Roman" w:hAnsi="Times New Roman" w:eastAsia="方正仿宋_GBK" w:cs="Times New Roman"/>
          <w:sz w:val="32"/>
          <w:szCs w:val="32"/>
          <w:lang w:val="en-US" w:eastAsia="zh-CN"/>
        </w:rPr>
        <w:t>规定</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本规</w:t>
      </w:r>
      <w:r>
        <w:rPr>
          <w:rFonts w:hint="eastAsia" w:ascii="Times New Roman" w:hAnsi="Times New Roman" w:eastAsia="方正仿宋_GBK" w:cs="Times New Roman"/>
          <w:sz w:val="32"/>
          <w:szCs w:val="32"/>
          <w:lang w:val="en-US" w:eastAsia="zh-CN"/>
        </w:rPr>
        <w:t>定</w:t>
      </w:r>
      <w:r>
        <w:rPr>
          <w:rFonts w:hint="default" w:ascii="Times New Roman" w:hAnsi="Times New Roman" w:eastAsia="方正仿宋_GBK" w:cs="Times New Roman"/>
          <w:sz w:val="32"/>
          <w:szCs w:val="32"/>
          <w:lang w:val="en-US" w:eastAsia="zh-CN"/>
        </w:rPr>
        <w:t>所称行政调解，是指在乌鲁木齐住房公积金管理中心（以下简称“中心”）的主持下，依照法律、法规、规章及政策规定，通过</w:t>
      </w:r>
      <w:r>
        <w:rPr>
          <w:rFonts w:hint="eastAsia" w:ascii="Times New Roman" w:hAnsi="Times New Roman" w:eastAsia="方正仿宋_GBK" w:cs="Times New Roman"/>
          <w:sz w:val="32"/>
          <w:szCs w:val="32"/>
          <w:lang w:val="en-US" w:eastAsia="zh-CN"/>
        </w:rPr>
        <w:t>解释、协调、劝导、组织协商等方式</w:t>
      </w:r>
      <w:r>
        <w:rPr>
          <w:rFonts w:hint="default" w:ascii="Times New Roman" w:hAnsi="Times New Roman" w:eastAsia="方正仿宋_GBK" w:cs="Times New Roman"/>
          <w:sz w:val="32"/>
          <w:szCs w:val="32"/>
          <w:lang w:val="en-US" w:eastAsia="zh-CN"/>
        </w:rPr>
        <w:t>，促使职</w:t>
      </w:r>
      <w:r>
        <w:rPr>
          <w:rFonts w:hint="default" w:ascii="Times New Roman" w:hAnsi="Times New Roman" w:eastAsia="方正仿宋_GBK" w:cs="Times New Roman"/>
          <w:spacing w:val="6"/>
          <w:sz w:val="32"/>
          <w:szCs w:val="32"/>
          <w:lang w:val="en-US" w:eastAsia="zh-CN"/>
        </w:rPr>
        <w:t>工与单位</w:t>
      </w:r>
      <w:r>
        <w:rPr>
          <w:rFonts w:hint="eastAsia" w:ascii="Times New Roman" w:hAnsi="Times New Roman" w:eastAsia="方正仿宋_GBK" w:cs="Times New Roman"/>
          <w:spacing w:val="6"/>
          <w:sz w:val="32"/>
          <w:szCs w:val="32"/>
          <w:lang w:val="en-US" w:eastAsia="zh-CN"/>
        </w:rPr>
        <w:t>自愿</w:t>
      </w:r>
      <w:r>
        <w:rPr>
          <w:rFonts w:hint="default" w:ascii="Times New Roman" w:hAnsi="Times New Roman" w:eastAsia="方正仿宋_GBK" w:cs="Times New Roman"/>
          <w:spacing w:val="6"/>
          <w:sz w:val="32"/>
          <w:szCs w:val="32"/>
          <w:lang w:val="en-US" w:eastAsia="zh-CN"/>
        </w:rPr>
        <w:t>达成调解协议，妥善解决住房公积金矛盾纠纷的活动。</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行政调解工作应当遵循自愿平等、合法正当、优先及时、便民高效的原则，不得损害国家利益、社会公共利益和他人合法权益。</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住房公积金行政调解适用因单位欠缴住房公积金而引发的职工维权纠纷。单位未依法办理住房公积金缴存登记或未为其职工设立住房公积金个人账户的案件，不得调解。</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为加强行政调解工作的组织领导，成立中心行政调解委员会，负责中心行政调解工作的统筹、协调和推进。行政调解委员会下设办公室，办公室设在政策法规科。</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行政调解委员会办公室负责起草行政调解相关政策，指导和监督各分中心、管理部开展调解工作。</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各分中心、管理部按照属地化原则，负责受理、组织行政调解工作。各分中心、管理部应当选定两名（或以上）调解员，设立行政调解室，并按规定配备全记录设备。</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中心可</w:t>
      </w:r>
      <w:r>
        <w:rPr>
          <w:rFonts w:hint="eastAsia" w:ascii="Times New Roman" w:hAnsi="Times New Roman" w:eastAsia="方正仿宋_GBK" w:cs="Times New Roman"/>
          <w:sz w:val="32"/>
          <w:szCs w:val="32"/>
          <w:lang w:val="en-US" w:eastAsia="zh-CN"/>
        </w:rPr>
        <w:t>根据工作需要</w:t>
      </w:r>
      <w:r>
        <w:rPr>
          <w:rFonts w:hint="default" w:ascii="Times New Roman" w:hAnsi="Times New Roman" w:eastAsia="方正仿宋_GBK" w:cs="Times New Roman"/>
          <w:sz w:val="32"/>
          <w:szCs w:val="32"/>
          <w:lang w:val="en-US" w:eastAsia="zh-CN"/>
        </w:rPr>
        <w:t>委托律师事务所、调解组织等第三方机构调解住房公积金</w:t>
      </w:r>
      <w:r>
        <w:rPr>
          <w:rFonts w:hint="eastAsia" w:ascii="Times New Roman" w:hAnsi="Times New Roman" w:eastAsia="方正仿宋_GBK" w:cs="Times New Roman"/>
          <w:sz w:val="32"/>
          <w:szCs w:val="32"/>
          <w:lang w:val="en-US" w:eastAsia="zh-CN"/>
        </w:rPr>
        <w:t>矛盾</w:t>
      </w:r>
      <w:r>
        <w:rPr>
          <w:rFonts w:hint="default" w:ascii="Times New Roman" w:hAnsi="Times New Roman" w:eastAsia="方正仿宋_GBK" w:cs="Times New Roman"/>
          <w:sz w:val="32"/>
          <w:szCs w:val="32"/>
          <w:lang w:val="en-US" w:eastAsia="zh-CN"/>
        </w:rPr>
        <w:t>纠纷。</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当事人在行政调解活动中有申请调解员回避、陈述事实和理由、委托代理人参加调解、主张和举证质证、要求终止调解等权利。</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sz w:val="32"/>
          <w:szCs w:val="32"/>
          <w:u w:val="none"/>
          <w:lang w:val="en-US" w:eastAsia="zh-CN"/>
        </w:rPr>
        <w:t>当事人可以委托1至2名代理人参加调解，委托代理人参加调解的，应当提交授权委托书。当事人不能参加调解的，应当明确至少1名代理人的委托权限为特别授权。</w:t>
      </w:r>
    </w:p>
    <w:p>
      <w:pPr>
        <w:pStyle w:val="2"/>
        <w:keepNext w:val="0"/>
        <w:keepLines w:val="0"/>
        <w:pageBreakBefore w:val="0"/>
        <w:widowControl w:val="0"/>
        <w:kinsoku/>
        <w:wordWrap/>
        <w:overflowPunct/>
        <w:topLinePunct w:val="0"/>
        <w:autoSpaceDE/>
        <w:autoSpaceDN/>
        <w:bidi w:val="0"/>
        <w:spacing w:line="560" w:lineRule="exact"/>
        <w:jc w:val="left"/>
        <w:textAlignment w:val="auto"/>
        <w:rPr>
          <w:rFonts w:hint="default"/>
          <w:color w:val="auto"/>
          <w:lang w:val="en-US" w:eastAsia="zh-CN"/>
        </w:rPr>
      </w:pPr>
      <w:r>
        <w:rPr>
          <w:rFonts w:hint="eastAsia" w:ascii="方正黑体_GBK" w:hAnsi="方正黑体_GBK" w:eastAsia="方正黑体_GBK" w:cs="方正黑体_GBK"/>
          <w:b w:val="0"/>
          <w:bCs w:val="0"/>
          <w:color w:val="auto"/>
          <w:sz w:val="32"/>
          <w:szCs w:val="32"/>
          <w:u w:val="none"/>
          <w:lang w:val="en-US" w:eastAsia="zh-CN"/>
        </w:rPr>
        <w:t>第十一条</w:t>
      </w:r>
      <w:r>
        <w:rPr>
          <w:rFonts w:hint="eastAsia" w:ascii="Times New Roman" w:hAnsi="Times New Roman" w:eastAsia="方正仿宋_GBK" w:cs="Times New Roman"/>
          <w:color w:val="auto"/>
          <w:sz w:val="32"/>
          <w:szCs w:val="32"/>
          <w:u w:val="none"/>
          <w:lang w:val="en-US" w:eastAsia="zh-CN"/>
        </w:rPr>
        <w:t xml:space="preserve"> 行政调解一般由1名调解员主持调解，重大疑难复杂的纠纷可以由2名以上调解员组织调解，在征得当事人同意后，可以邀请有关单位、专业人员或者其他相关人员参与调解。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val="0"/>
          <w:color w:val="auto"/>
          <w:kern w:val="0"/>
          <w:sz w:val="32"/>
          <w:szCs w:val="32"/>
          <w:u w:val="none"/>
          <w:lang w:val="en-US" w:eastAsia="zh-CN" w:bidi="ar-SA"/>
        </w:rPr>
        <w:t>第十二条</w:t>
      </w:r>
      <w:r>
        <w:rPr>
          <w:rFonts w:hint="eastAsia" w:ascii="Times New Roman" w:hAnsi="Times New Roman" w:eastAsia="方正仿宋_GBK" w:cs="Times New Roman"/>
          <w:b/>
          <w:bCs/>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调解员与本纠纷有利害关系的、与本纠纷的当事</w:t>
      </w:r>
      <w:r>
        <w:rPr>
          <w:rFonts w:hint="eastAsia" w:ascii="Times New Roman" w:hAnsi="Times New Roman" w:eastAsia="方正仿宋_GBK" w:cs="Times New Roman"/>
          <w:sz w:val="32"/>
          <w:szCs w:val="32"/>
          <w:lang w:val="en-US" w:eastAsia="zh-CN"/>
        </w:rPr>
        <w:t>人或者其代理人有利害关系的、存在其他可能影响公正调解情形的，应当自行回避，当事人也可以申请回避。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val="0"/>
          <w:color w:val="auto"/>
          <w:kern w:val="0"/>
          <w:sz w:val="32"/>
          <w:szCs w:val="32"/>
          <w:u w:val="none"/>
          <w:lang w:val="en-US" w:eastAsia="zh-CN" w:bidi="ar-SA"/>
        </w:rPr>
        <w:t>第十三条</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承办部门在受理职工投诉时，应当</w:t>
      </w:r>
      <w:r>
        <w:rPr>
          <w:rFonts w:hint="eastAsia" w:ascii="Times New Roman" w:hAnsi="Times New Roman" w:eastAsia="方正仿宋_GBK" w:cs="Times New Roman"/>
          <w:sz w:val="32"/>
          <w:szCs w:val="32"/>
          <w:lang w:val="en-US" w:eastAsia="zh-CN"/>
        </w:rPr>
        <w:t>鼓励和引导</w:t>
      </w:r>
      <w:r>
        <w:rPr>
          <w:rFonts w:hint="default" w:ascii="Times New Roman" w:hAnsi="Times New Roman" w:eastAsia="方正仿宋_GBK" w:cs="Times New Roman"/>
          <w:sz w:val="32"/>
          <w:szCs w:val="32"/>
          <w:lang w:val="en-US" w:eastAsia="zh-CN"/>
        </w:rPr>
        <w:t>投诉职工选择调解方式处理</w:t>
      </w:r>
      <w:r>
        <w:rPr>
          <w:rFonts w:hint="eastAsia" w:ascii="Times New Roman" w:hAnsi="Times New Roman" w:eastAsia="方正仿宋_GBK" w:cs="Times New Roman"/>
          <w:sz w:val="32"/>
          <w:szCs w:val="32"/>
          <w:lang w:val="en-US" w:eastAsia="zh-CN"/>
        </w:rPr>
        <w:t>矛盾纠纷</w:t>
      </w:r>
      <w:r>
        <w:rPr>
          <w:rFonts w:hint="default" w:ascii="Times New Roman" w:hAnsi="Times New Roman" w:eastAsia="方正仿宋_GBK" w:cs="Times New Roman"/>
          <w:sz w:val="32"/>
          <w:szCs w:val="32"/>
          <w:lang w:val="en-US" w:eastAsia="zh-CN"/>
        </w:rPr>
        <w:t>。投诉职工同意调解的，</w:t>
      </w:r>
      <w:r>
        <w:rPr>
          <w:rFonts w:hint="eastAsia" w:ascii="Times New Roman" w:hAnsi="Times New Roman" w:eastAsia="方正仿宋_GBK" w:cs="Times New Roman"/>
          <w:sz w:val="32"/>
          <w:szCs w:val="32"/>
          <w:lang w:val="en-US" w:eastAsia="zh-CN"/>
        </w:rPr>
        <w:t>调解员</w:t>
      </w:r>
      <w:r>
        <w:rPr>
          <w:rFonts w:hint="default" w:ascii="Times New Roman" w:hAnsi="Times New Roman" w:eastAsia="方正仿宋_GBK" w:cs="Times New Roman"/>
          <w:sz w:val="32"/>
          <w:szCs w:val="32"/>
          <w:lang w:val="en-US" w:eastAsia="zh-CN"/>
        </w:rPr>
        <w:t>应当告知</w:t>
      </w:r>
      <w:r>
        <w:rPr>
          <w:rFonts w:hint="eastAsia" w:ascii="Times New Roman" w:hAnsi="Times New Roman" w:eastAsia="方正仿宋_GBK" w:cs="Times New Roman"/>
          <w:sz w:val="32"/>
          <w:szCs w:val="32"/>
          <w:lang w:val="en-US" w:eastAsia="zh-CN"/>
        </w:rPr>
        <w:t>其</w:t>
      </w:r>
      <w:r>
        <w:rPr>
          <w:rFonts w:hint="default" w:ascii="Times New Roman" w:hAnsi="Times New Roman" w:eastAsia="方正仿宋_GBK" w:cs="Times New Roman"/>
          <w:sz w:val="32"/>
          <w:szCs w:val="32"/>
          <w:lang w:val="en-US" w:eastAsia="zh-CN"/>
        </w:rPr>
        <w:t>调解时限不计入行政执法</w:t>
      </w:r>
      <w:r>
        <w:rPr>
          <w:rFonts w:hint="eastAsia" w:ascii="Times New Roman" w:hAnsi="Times New Roman" w:eastAsia="方正仿宋_GBK" w:cs="Times New Roman"/>
          <w:sz w:val="32"/>
          <w:szCs w:val="32"/>
          <w:lang w:val="en-US" w:eastAsia="zh-CN"/>
        </w:rPr>
        <w:t>时</w:t>
      </w:r>
      <w:r>
        <w:rPr>
          <w:rFonts w:hint="default" w:ascii="Times New Roman" w:hAnsi="Times New Roman" w:eastAsia="方正仿宋_GBK" w:cs="Times New Roman"/>
          <w:sz w:val="32"/>
          <w:szCs w:val="32"/>
          <w:lang w:val="en-US" w:eastAsia="zh-CN"/>
        </w:rPr>
        <w:t>限</w:t>
      </w:r>
      <w:r>
        <w:rPr>
          <w:rFonts w:hint="eastAsia" w:ascii="Times New Roman" w:hAnsi="Times New Roman" w:eastAsia="方正仿宋_GBK" w:cs="Times New Roman"/>
          <w:sz w:val="32"/>
          <w:szCs w:val="32"/>
          <w:lang w:val="en-US" w:eastAsia="zh-CN"/>
        </w:rPr>
        <w:t>、当事人的权利义务</w:t>
      </w:r>
      <w:r>
        <w:rPr>
          <w:rFonts w:hint="default" w:ascii="Times New Roman" w:hAnsi="Times New Roman" w:eastAsia="方正仿宋_GBK" w:cs="Times New Roman"/>
          <w:sz w:val="32"/>
          <w:szCs w:val="32"/>
          <w:lang w:val="en-US" w:eastAsia="zh-CN"/>
        </w:rPr>
        <w:t>等事项。投诉职工不同意调解的，按照中心行政执法程序办理。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val="0"/>
          <w:color w:val="auto"/>
          <w:sz w:val="32"/>
          <w:szCs w:val="32"/>
          <w:u w:val="none"/>
          <w:lang w:val="en-US" w:eastAsia="zh-CN"/>
        </w:rPr>
        <w:t>第十四条</w:t>
      </w:r>
      <w:r>
        <w:rPr>
          <w:rFonts w:hint="eastAsia" w:ascii="Times New Roman" w:hAnsi="Times New Roman" w:eastAsia="方正仿宋_GBK" w:cs="Times New Roman"/>
          <w:b/>
          <w:bCs/>
          <w:sz w:val="32"/>
          <w:szCs w:val="32"/>
          <w:lang w:val="en-US" w:eastAsia="zh-CN"/>
        </w:rPr>
        <w:t xml:space="preserve"> </w:t>
      </w:r>
      <w:r>
        <w:rPr>
          <w:rFonts w:hint="eastAsia" w:ascii="Times New Roman" w:hAnsi="Times New Roman" w:eastAsia="方正仿宋_GBK" w:cs="Times New Roman"/>
          <w:sz w:val="32"/>
          <w:szCs w:val="32"/>
          <w:lang w:val="en-US" w:eastAsia="zh-CN"/>
        </w:rPr>
        <w:t>投诉</w:t>
      </w:r>
      <w:r>
        <w:rPr>
          <w:rFonts w:hint="default" w:ascii="Times New Roman" w:hAnsi="Times New Roman" w:eastAsia="方正仿宋_GBK" w:cs="Times New Roman"/>
          <w:sz w:val="32"/>
          <w:szCs w:val="32"/>
          <w:lang w:val="en-US" w:eastAsia="zh-CN"/>
        </w:rPr>
        <w:t>受理后，调解员应当对争议事项进行必要的调查，并按规定及时组织调解。调解过程中，单位与职工协商一致的，可按不低于5%</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缴存比例补缴。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val="0"/>
          <w:color w:val="auto"/>
          <w:kern w:val="0"/>
          <w:sz w:val="32"/>
          <w:szCs w:val="32"/>
          <w:u w:val="none"/>
          <w:lang w:val="en-US" w:eastAsia="zh-CN" w:bidi="ar-SA"/>
        </w:rPr>
        <w:t>第十五条</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行政调解达成协议的，承办部门应当制作行政调解书。行政调解书应当载明当事人的基本情况、</w:t>
      </w:r>
      <w:r>
        <w:rPr>
          <w:rFonts w:hint="eastAsia" w:ascii="Times New Roman" w:hAnsi="Times New Roman" w:eastAsia="方正仿宋_GBK" w:cs="Times New Roman"/>
          <w:sz w:val="32"/>
          <w:szCs w:val="32"/>
          <w:lang w:val="en-US" w:eastAsia="zh-CN"/>
        </w:rPr>
        <w:t>争议事项</w:t>
      </w:r>
      <w:r>
        <w:rPr>
          <w:rFonts w:hint="default" w:ascii="Times New Roman" w:hAnsi="Times New Roman" w:eastAsia="方正仿宋_GBK" w:cs="Times New Roman"/>
          <w:sz w:val="32"/>
          <w:szCs w:val="32"/>
          <w:lang w:val="en-US" w:eastAsia="zh-CN"/>
        </w:rPr>
        <w:t>、协议内容和履行方式期限</w:t>
      </w:r>
      <w:r>
        <w:rPr>
          <w:rFonts w:hint="eastAsia" w:ascii="Times New Roman" w:hAnsi="Times New Roman" w:eastAsia="方正仿宋_GBK" w:cs="Times New Roman"/>
          <w:sz w:val="32"/>
          <w:szCs w:val="32"/>
          <w:lang w:val="en-US" w:eastAsia="zh-CN"/>
        </w:rPr>
        <w:t>、其他约定事项，</w:t>
      </w:r>
      <w:r>
        <w:rPr>
          <w:rFonts w:hint="default" w:ascii="Times New Roman" w:hAnsi="Times New Roman" w:eastAsia="方正仿宋_GBK" w:cs="Times New Roman"/>
          <w:sz w:val="32"/>
          <w:szCs w:val="32"/>
          <w:lang w:val="en-US" w:eastAsia="zh-CN"/>
        </w:rPr>
        <w:t>由双方当事人签名或盖章。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行政调解书当事人各执一份，中心留存一份。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val="0"/>
          <w:color w:val="auto"/>
          <w:kern w:val="0"/>
          <w:sz w:val="32"/>
          <w:szCs w:val="32"/>
          <w:u w:val="none"/>
          <w:lang w:val="en-US" w:eastAsia="zh-CN" w:bidi="ar-SA"/>
        </w:rPr>
        <w:t>第十六条</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行政调解书签订后，原则上由单位负责办理住房</w:t>
      </w:r>
      <w:r>
        <w:rPr>
          <w:rFonts w:hint="default" w:ascii="Times New Roman" w:hAnsi="Times New Roman" w:eastAsia="方正仿宋_GBK" w:cs="Times New Roman"/>
          <w:spacing w:val="6"/>
          <w:sz w:val="32"/>
          <w:szCs w:val="32"/>
          <w:lang w:val="en-US" w:eastAsia="zh-CN"/>
        </w:rPr>
        <w:t>公积金补缴手续，职工将个人部分的住房公积金交与单位统一办理。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val="0"/>
          <w:color w:val="auto"/>
          <w:kern w:val="0"/>
          <w:sz w:val="32"/>
          <w:szCs w:val="32"/>
          <w:u w:val="none"/>
          <w:lang w:val="en-US" w:eastAsia="zh-CN" w:bidi="ar-SA"/>
        </w:rPr>
        <w:t>第十七条</w:t>
      </w:r>
      <w:r>
        <w:rPr>
          <w:rFonts w:hint="eastAsia" w:ascii="Times New Roman" w:hAnsi="Times New Roman" w:eastAsia="方正仿宋_GBK" w:cs="Times New Roman"/>
          <w:b/>
          <w:bCs/>
          <w:sz w:val="32"/>
          <w:szCs w:val="32"/>
          <w:lang w:val="en-US" w:eastAsia="zh-CN"/>
        </w:rPr>
        <w:t xml:space="preserve"> </w:t>
      </w:r>
      <w:r>
        <w:rPr>
          <w:rFonts w:hint="eastAsia" w:ascii="Times New Roman" w:hAnsi="Times New Roman" w:eastAsia="方正仿宋_GBK" w:cs="Times New Roman"/>
          <w:sz w:val="32"/>
          <w:szCs w:val="32"/>
          <w:lang w:val="en-US" w:eastAsia="zh-CN"/>
        </w:rPr>
        <w:t>维权</w:t>
      </w:r>
      <w:r>
        <w:rPr>
          <w:rFonts w:hint="default" w:ascii="Times New Roman" w:hAnsi="Times New Roman" w:eastAsia="方正仿宋_GBK" w:cs="Times New Roman"/>
          <w:sz w:val="32"/>
          <w:szCs w:val="32"/>
          <w:lang w:val="en-US" w:eastAsia="zh-CN"/>
        </w:rPr>
        <w:t>纠纷案件正式立案后、具体行政行为作出前，当事人双方同意调解的，可转入调解程序，组织一次调解。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val="0"/>
          <w:color w:val="auto"/>
          <w:kern w:val="0"/>
          <w:sz w:val="32"/>
          <w:szCs w:val="32"/>
          <w:u w:val="none"/>
          <w:lang w:val="en-US" w:eastAsia="zh-CN" w:bidi="ar-SA"/>
        </w:rPr>
        <w:t>第十八条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行政调解时限为30日，情况复杂或有其他特殊情形的，</w:t>
      </w:r>
      <w:r>
        <w:rPr>
          <w:rFonts w:hint="default" w:ascii="Times New Roman" w:hAnsi="Times New Roman" w:eastAsia="方正仿宋_GBK" w:cs="Times New Roman"/>
          <w:color w:val="auto"/>
          <w:sz w:val="32"/>
          <w:szCs w:val="32"/>
          <w:lang w:val="en-US" w:eastAsia="zh-CN"/>
        </w:rPr>
        <w:t>经双方当事人同意，可以</w:t>
      </w:r>
      <w:r>
        <w:rPr>
          <w:rFonts w:hint="default" w:ascii="Times New Roman" w:hAnsi="Times New Roman" w:eastAsia="方正仿宋_GBK" w:cs="Times New Roman"/>
          <w:sz w:val="32"/>
          <w:szCs w:val="32"/>
          <w:lang w:val="en-US" w:eastAsia="zh-CN"/>
        </w:rPr>
        <w:t>延长</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sz w:val="32"/>
          <w:szCs w:val="32"/>
          <w:lang w:val="en-US" w:eastAsia="zh-CN"/>
        </w:rPr>
        <w:t>在规定时间内达不成调解协议的，应当及时终止调解，依法作出处理或转入行政执法程序。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val="0"/>
          <w:color w:val="auto"/>
          <w:kern w:val="0"/>
          <w:sz w:val="32"/>
          <w:szCs w:val="32"/>
          <w:u w:val="none"/>
          <w:lang w:val="en-US" w:eastAsia="zh-CN" w:bidi="ar-SA"/>
        </w:rPr>
        <w:t>第十九条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被投诉单位按照行政调解书</w:t>
      </w:r>
      <w:r>
        <w:rPr>
          <w:rFonts w:hint="eastAsia" w:ascii="Times New Roman" w:hAnsi="Times New Roman" w:eastAsia="方正仿宋_GBK" w:cs="Times New Roman"/>
          <w:sz w:val="32"/>
          <w:szCs w:val="32"/>
          <w:lang w:val="en-US" w:eastAsia="zh-CN"/>
        </w:rPr>
        <w:t>履行</w:t>
      </w:r>
      <w:r>
        <w:rPr>
          <w:rFonts w:hint="default" w:ascii="Times New Roman" w:hAnsi="Times New Roman" w:eastAsia="方正仿宋_GBK" w:cs="Times New Roman"/>
          <w:sz w:val="32"/>
          <w:szCs w:val="32"/>
          <w:lang w:val="en-US" w:eastAsia="zh-CN"/>
        </w:rPr>
        <w:t>完毕或者投诉职工撤销投诉的，承办部门应当及时做结案处理，并对调解文书、材料进行归档。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val="0"/>
          <w:color w:val="auto"/>
          <w:kern w:val="0"/>
          <w:sz w:val="32"/>
          <w:szCs w:val="32"/>
          <w:u w:val="none"/>
          <w:lang w:val="en-US" w:eastAsia="zh-CN" w:bidi="ar-SA"/>
        </w:rPr>
        <w:t>第二十条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被投诉单位按照行政调解书</w:t>
      </w:r>
      <w:r>
        <w:rPr>
          <w:rFonts w:hint="eastAsia" w:ascii="Times New Roman" w:hAnsi="Times New Roman" w:eastAsia="方正仿宋_GBK" w:cs="Times New Roman"/>
          <w:sz w:val="32"/>
          <w:szCs w:val="32"/>
          <w:lang w:val="en-US" w:eastAsia="zh-CN"/>
        </w:rPr>
        <w:t>履行</w:t>
      </w:r>
      <w:r>
        <w:rPr>
          <w:rFonts w:hint="default" w:ascii="Times New Roman" w:hAnsi="Times New Roman" w:eastAsia="方正仿宋_GBK" w:cs="Times New Roman"/>
          <w:sz w:val="32"/>
          <w:szCs w:val="32"/>
          <w:lang w:val="en-US" w:eastAsia="zh-CN"/>
        </w:rPr>
        <w:t>完毕的，当事人就同一事项再次向中心投诉的，中心不予受理。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szCs w:val="32"/>
          <w:shd w:val="clear" w:color="auto" w:fill="auto"/>
        </w:rPr>
      </w:pPr>
      <w:r>
        <w:rPr>
          <w:rFonts w:hint="eastAsia" w:ascii="方正黑体_GBK" w:hAnsi="方正黑体_GBK" w:eastAsia="方正黑体_GBK" w:cs="方正黑体_GBK"/>
          <w:b w:val="0"/>
          <w:bCs w:val="0"/>
          <w:color w:val="auto"/>
          <w:kern w:val="0"/>
          <w:sz w:val="32"/>
          <w:szCs w:val="32"/>
          <w:u w:val="none"/>
          <w:lang w:val="en-US" w:eastAsia="zh-CN" w:bidi="ar-SA"/>
        </w:rPr>
        <w:t>第二十一条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shd w:val="clear" w:color="auto" w:fill="auto"/>
        </w:rPr>
        <w:t>本</w:t>
      </w:r>
      <w:r>
        <w:rPr>
          <w:rFonts w:hint="default" w:ascii="Times New Roman" w:hAnsi="Times New Roman" w:eastAsia="方正仿宋_GBK" w:cs="Times New Roman"/>
          <w:sz w:val="32"/>
          <w:szCs w:val="32"/>
          <w:shd w:val="clear" w:color="auto" w:fill="auto"/>
          <w:lang w:val="en-US" w:eastAsia="zh-CN"/>
        </w:rPr>
        <w:t>规范</w:t>
      </w:r>
      <w:r>
        <w:rPr>
          <w:rFonts w:hint="default" w:ascii="Times New Roman" w:hAnsi="Times New Roman" w:eastAsia="方正仿宋_GBK" w:cs="Times New Roman"/>
          <w:sz w:val="32"/>
          <w:szCs w:val="32"/>
          <w:shd w:val="clear" w:color="auto" w:fill="auto"/>
        </w:rPr>
        <w:t>由</w:t>
      </w:r>
      <w:r>
        <w:rPr>
          <w:rFonts w:hint="default" w:ascii="Times New Roman" w:hAnsi="Times New Roman" w:eastAsia="方正仿宋_GBK" w:cs="Times New Roman"/>
          <w:sz w:val="32"/>
          <w:szCs w:val="32"/>
          <w:shd w:val="clear" w:color="auto" w:fill="auto"/>
          <w:lang w:eastAsia="zh-CN"/>
        </w:rPr>
        <w:t>乌鲁木齐住房公积金管理中心</w:t>
      </w:r>
      <w:r>
        <w:rPr>
          <w:rFonts w:hint="default" w:ascii="Times New Roman" w:hAnsi="Times New Roman" w:eastAsia="方正仿宋_GBK" w:cs="Times New Roman"/>
          <w:sz w:val="32"/>
          <w:szCs w:val="32"/>
          <w:shd w:val="clear" w:color="auto" w:fill="auto"/>
        </w:rPr>
        <w:t>组织实施和解释。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30" w:leftChars="0"/>
        <w:jc w:val="left"/>
        <w:textAlignment w:val="auto"/>
        <w:rPr>
          <w:rFonts w:hint="default" w:ascii="Times New Roman" w:hAnsi="Times New Roman" w:eastAsia="方正仿宋_GBK" w:cs="Times New Roman"/>
          <w:spacing w:val="-6"/>
          <w:sz w:val="32"/>
          <w:szCs w:val="32"/>
          <w:shd w:val="clear" w:color="auto" w:fill="auto"/>
        </w:rPr>
      </w:pPr>
      <w:r>
        <w:rPr>
          <w:rFonts w:hint="eastAsia" w:ascii="方正黑体_GBK" w:hAnsi="方正黑体_GBK" w:eastAsia="方正黑体_GBK" w:cs="方正黑体_GBK"/>
          <w:b w:val="0"/>
          <w:bCs w:val="0"/>
          <w:color w:val="auto"/>
          <w:kern w:val="0"/>
          <w:sz w:val="32"/>
          <w:szCs w:val="32"/>
          <w:u w:val="none"/>
          <w:lang w:val="en-US" w:eastAsia="zh-CN" w:bidi="ar-SA"/>
        </w:rPr>
        <w:t>第二十二条</w:t>
      </w:r>
      <w:r>
        <w:rPr>
          <w:rFonts w:hint="eastAsia" w:ascii="Times New Roman" w:hAnsi="Times New Roman" w:eastAsia="方正仿宋_GBK" w:cs="Times New Roman"/>
          <w:sz w:val="32"/>
          <w:szCs w:val="32"/>
          <w:shd w:val="clear" w:color="auto" w:fill="auto"/>
          <w:lang w:val="en-US" w:eastAsia="zh-CN"/>
        </w:rPr>
        <w:t xml:space="preserve"> </w:t>
      </w:r>
      <w:r>
        <w:rPr>
          <w:rFonts w:hint="default" w:ascii="Times New Roman" w:hAnsi="Times New Roman" w:eastAsia="方正仿宋_GBK" w:cs="Times New Roman"/>
          <w:spacing w:val="-6"/>
          <w:sz w:val="32"/>
          <w:szCs w:val="32"/>
          <w:shd w:val="clear" w:color="auto" w:fill="auto"/>
        </w:rPr>
        <w:t>本</w:t>
      </w:r>
      <w:r>
        <w:rPr>
          <w:rFonts w:hint="default" w:ascii="Times New Roman" w:hAnsi="Times New Roman" w:eastAsia="方正仿宋_GBK" w:cs="Times New Roman"/>
          <w:spacing w:val="-6"/>
          <w:sz w:val="32"/>
          <w:szCs w:val="32"/>
          <w:shd w:val="clear" w:color="auto" w:fill="auto"/>
          <w:lang w:val="en-US" w:eastAsia="zh-CN"/>
        </w:rPr>
        <w:t>规范</w:t>
      </w:r>
      <w:r>
        <w:rPr>
          <w:rFonts w:hint="default" w:ascii="Times New Roman" w:hAnsi="Times New Roman" w:eastAsia="方正仿宋_GBK" w:cs="Times New Roman"/>
          <w:spacing w:val="-6"/>
          <w:sz w:val="32"/>
          <w:szCs w:val="32"/>
          <w:shd w:val="clear" w:color="auto" w:fill="auto"/>
        </w:rPr>
        <w:t>自</w:t>
      </w:r>
      <w:r>
        <w:rPr>
          <w:rFonts w:hint="default" w:ascii="Times New Roman" w:hAnsi="Times New Roman" w:eastAsia="方正仿宋_GBK" w:cs="Times New Roman"/>
          <w:spacing w:val="-6"/>
          <w:sz w:val="32"/>
          <w:szCs w:val="32"/>
          <w:shd w:val="clear" w:color="auto" w:fill="auto"/>
          <w:lang w:val="en-US" w:eastAsia="zh-CN"/>
        </w:rPr>
        <w:t>2025年</w:t>
      </w:r>
      <w:r>
        <w:rPr>
          <w:rFonts w:hint="eastAsia" w:ascii="Times New Roman" w:hAnsi="Times New Roman" w:eastAsia="方正仿宋_GBK" w:cs="Times New Roman"/>
          <w:spacing w:val="-6"/>
          <w:sz w:val="32"/>
          <w:szCs w:val="32"/>
          <w:shd w:val="clear" w:color="auto" w:fill="auto"/>
          <w:lang w:val="en-US" w:eastAsia="zh-CN"/>
        </w:rPr>
        <w:t>10</w:t>
      </w:r>
      <w:r>
        <w:rPr>
          <w:rFonts w:hint="default" w:ascii="Times New Roman" w:hAnsi="Times New Roman" w:eastAsia="方正仿宋_GBK" w:cs="Times New Roman"/>
          <w:spacing w:val="-6"/>
          <w:sz w:val="32"/>
          <w:szCs w:val="32"/>
          <w:shd w:val="clear" w:color="auto" w:fill="auto"/>
          <w:lang w:val="en-US" w:eastAsia="zh-CN"/>
        </w:rPr>
        <w:t>月</w:t>
      </w:r>
      <w:r>
        <w:rPr>
          <w:rFonts w:hint="eastAsia" w:ascii="Times New Roman" w:hAnsi="Times New Roman" w:eastAsia="方正仿宋_GBK" w:cs="Times New Roman"/>
          <w:spacing w:val="-6"/>
          <w:sz w:val="32"/>
          <w:szCs w:val="32"/>
          <w:shd w:val="clear" w:color="auto" w:fill="auto"/>
          <w:lang w:val="en-US" w:eastAsia="zh-CN"/>
        </w:rPr>
        <w:t>9</w:t>
      </w:r>
      <w:r>
        <w:rPr>
          <w:rFonts w:hint="default" w:ascii="Times New Roman" w:hAnsi="Times New Roman" w:eastAsia="方正仿宋_GBK" w:cs="Times New Roman"/>
          <w:spacing w:val="-6"/>
          <w:sz w:val="32"/>
          <w:szCs w:val="32"/>
          <w:shd w:val="clear" w:color="auto" w:fill="auto"/>
          <w:lang w:val="en-US" w:eastAsia="zh-CN"/>
        </w:rPr>
        <w:t>日</w:t>
      </w:r>
      <w:r>
        <w:rPr>
          <w:rFonts w:hint="default" w:ascii="Times New Roman" w:hAnsi="Times New Roman" w:eastAsia="方正仿宋_GBK" w:cs="Times New Roman"/>
          <w:spacing w:val="-6"/>
          <w:sz w:val="32"/>
          <w:szCs w:val="32"/>
          <w:shd w:val="clear" w:color="auto" w:fill="auto"/>
        </w:rPr>
        <w:t>起施行</w:t>
      </w:r>
      <w:r>
        <w:rPr>
          <w:rFonts w:hint="default" w:ascii="Times New Roman" w:hAnsi="Times New Roman" w:eastAsia="方正仿宋_GBK" w:cs="Times New Roman"/>
          <w:spacing w:val="-6"/>
          <w:sz w:val="32"/>
          <w:szCs w:val="32"/>
          <w:shd w:val="clear" w:color="auto" w:fill="auto"/>
          <w:lang w:eastAsia="zh-CN"/>
        </w:rPr>
        <w:t>，有效期</w:t>
      </w:r>
      <w:r>
        <w:rPr>
          <w:rFonts w:hint="default" w:ascii="Times New Roman" w:hAnsi="Times New Roman" w:eastAsia="方正仿宋_GBK" w:cs="Times New Roman"/>
          <w:spacing w:val="-6"/>
          <w:sz w:val="32"/>
          <w:szCs w:val="32"/>
          <w:shd w:val="clear" w:color="auto" w:fill="auto"/>
          <w:lang w:val="en-US" w:eastAsia="zh-CN"/>
        </w:rPr>
        <w:t>两年</w:t>
      </w:r>
      <w:r>
        <w:rPr>
          <w:rFonts w:hint="default" w:ascii="Times New Roman" w:hAnsi="Times New Roman" w:eastAsia="方正仿宋_GBK" w:cs="Times New Roman"/>
          <w:spacing w:val="-6"/>
          <w:sz w:val="32"/>
          <w:szCs w:val="32"/>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jc w:val="left"/>
        <w:textAlignment w:val="auto"/>
        <w:rPr>
          <w:rFonts w:hint="default" w:ascii="Times New Roman" w:hAnsi="Times New Roman" w:eastAsia="方正仿宋_GBK" w:cs="Times New Roman"/>
          <w:sz w:val="28"/>
          <w:szCs w:val="28"/>
          <w:lang w:val="en-US" w:eastAsia="zh-CN"/>
        </w:rPr>
      </w:pPr>
    </w:p>
    <w:p>
      <w:pPr>
        <w:pStyle w:val="2"/>
        <w:rPr>
          <w:rFonts w:hint="default" w:ascii="Times New Roman" w:hAnsi="Times New Roman" w:eastAsia="方正仿宋_GBK" w:cs="Times New Roman"/>
          <w:sz w:val="28"/>
          <w:szCs w:val="28"/>
          <w:lang w:val="en-US" w:eastAsia="zh-CN"/>
        </w:rPr>
      </w:pPr>
    </w:p>
    <w:p>
      <w:pPr>
        <w:pStyle w:val="5"/>
        <w:rPr>
          <w:rFonts w:hint="default" w:ascii="Times New Roman" w:hAnsi="Times New Roman" w:eastAsia="方正仿宋_GBK" w:cs="Times New Roman"/>
          <w:sz w:val="28"/>
          <w:szCs w:val="28"/>
          <w:lang w:val="en-US" w:eastAsia="zh-CN"/>
        </w:rPr>
      </w:pPr>
    </w:p>
    <w:p>
      <w:pPr>
        <w:keepNext w:val="0"/>
        <w:keepLines w:val="0"/>
        <w:pageBreakBefore w:val="0"/>
        <w:widowControl w:val="0"/>
        <w:kinsoku/>
        <w:overflowPunct/>
        <w:topLinePunct w:val="0"/>
        <w:autoSpaceDE/>
        <w:autoSpaceDN/>
        <w:bidi w:val="0"/>
        <w:adjustRightInd w:val="0"/>
        <w:snapToGrid w:val="0"/>
        <w:spacing w:line="600" w:lineRule="exact"/>
        <w:jc w:val="left"/>
        <w:textAlignment w:val="auto"/>
        <w:rPr>
          <w:rFonts w:hint="default"/>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GWZT-EN">
    <w:altName w:val="Noto Serif CJK JP"/>
    <w:panose1 w:val="02020400000000000000"/>
    <w:charset w:val="86"/>
    <w:family w:val="auto"/>
    <w:pitch w:val="default"/>
    <w:sig w:usb0="00000000" w:usb1="00000000" w:usb2="00082016" w:usb3="00000000" w:csb0="00040001" w:csb1="00000000"/>
  </w:font>
  <w:font w:name="Noto Serif CJK JP">
    <w:panose1 w:val="02020400000000000000"/>
    <w:charset w:val="86"/>
    <w:family w:val="auto"/>
    <w:pitch w:val="default"/>
    <w:sig w:usb0="30000083" w:usb1="2BDF3C10" w:usb2="00000016" w:usb3="00000000" w:csb0="602E0107"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AGpUrO1gAAAAYBAAAPAAAAAAAA&#10;AAEAIAAAADgAAABkcnMvZG93bnJldi54bWxQSwECFAAUAAAACACHTuJADImRDDcCAABrBAAADgAA&#10;AAAAAAABACAAAAA7AQAAZHJzL2Uyb0RvYy54bWxQSwUGAAAAAAYABgBZAQAA5AUAAAAA&#10;">
              <v:fill on="f" focussize="0,0"/>
              <v:stroke on="f" weight="0.5pt"/>
              <v:imagedata o:title=""/>
              <o:lock v:ext="edit" aspectratio="f"/>
              <v:textbox inset="16pt,0mm,16pt,0mm" style="mso-fit-shape-to-text:t;">
                <w:txbxContent>
                  <w:p>
                    <w:pPr>
                      <w:pStyle w:val="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0A64D9"/>
    <w:multiLevelType w:val="singleLevel"/>
    <w:tmpl w:val="330A64D9"/>
    <w:lvl w:ilvl="0" w:tentative="0">
      <w:start w:val="1"/>
      <w:numFmt w:val="chineseCounting"/>
      <w:suff w:val="space"/>
      <w:lvlText w:val="第%1条"/>
      <w:lvlJc w:val="left"/>
      <w:pPr>
        <w:ind w:left="-10"/>
      </w:pPr>
      <w:rPr>
        <w:rFonts w:hint="eastAsia" w:ascii="方正黑体_GBK" w:hAnsi="方正黑体_GBK" w:eastAsia="方正黑体_GBK" w:cs="方正黑体_GBK"/>
        <w:b w:val="0"/>
        <w:bCs w:val="0"/>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8175B"/>
    <w:rsid w:val="09D03CAE"/>
    <w:rsid w:val="0B202353"/>
    <w:rsid w:val="0BBB4956"/>
    <w:rsid w:val="0CE07F8C"/>
    <w:rsid w:val="0D8E295C"/>
    <w:rsid w:val="0F5E215A"/>
    <w:rsid w:val="16B924D4"/>
    <w:rsid w:val="1E3DD2F9"/>
    <w:rsid w:val="1ECFD83F"/>
    <w:rsid w:val="22992E28"/>
    <w:rsid w:val="2631258B"/>
    <w:rsid w:val="28776E30"/>
    <w:rsid w:val="29C679DC"/>
    <w:rsid w:val="34025304"/>
    <w:rsid w:val="34D13DE9"/>
    <w:rsid w:val="39FD63BC"/>
    <w:rsid w:val="3A027086"/>
    <w:rsid w:val="3E044846"/>
    <w:rsid w:val="48DC4921"/>
    <w:rsid w:val="563E6CC0"/>
    <w:rsid w:val="5FF71448"/>
    <w:rsid w:val="5FFFCD76"/>
    <w:rsid w:val="60720BBD"/>
    <w:rsid w:val="62A67339"/>
    <w:rsid w:val="66437344"/>
    <w:rsid w:val="664F64E3"/>
    <w:rsid w:val="6B2070CE"/>
    <w:rsid w:val="6BC77FDC"/>
    <w:rsid w:val="6BDFC210"/>
    <w:rsid w:val="6E7F1E51"/>
    <w:rsid w:val="77567A7A"/>
    <w:rsid w:val="7B8B23F5"/>
    <w:rsid w:val="7D4F11AC"/>
    <w:rsid w:val="7D977151"/>
    <w:rsid w:val="7E5547B8"/>
    <w:rsid w:val="7FBB7CCA"/>
    <w:rsid w:val="87FEBD85"/>
    <w:rsid w:val="BBFFE41B"/>
    <w:rsid w:val="BFFD6737"/>
    <w:rsid w:val="CFB5D0DE"/>
    <w:rsid w:val="DA57CD61"/>
    <w:rsid w:val="DFDFD834"/>
    <w:rsid w:val="DFF5F8BF"/>
    <w:rsid w:val="DFFF776A"/>
    <w:rsid w:val="EFEF60AA"/>
    <w:rsid w:val="F3BF1AAC"/>
    <w:rsid w:val="F4FF07B0"/>
    <w:rsid w:val="F5A582AE"/>
    <w:rsid w:val="F7EC121B"/>
    <w:rsid w:val="F86F73F3"/>
    <w:rsid w:val="FDF70A6E"/>
    <w:rsid w:val="FEADFDEB"/>
    <w:rsid w:val="FEBF62AC"/>
    <w:rsid w:val="FEDFF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rPr>
      <w:rFonts w:ascii="Calibri" w:hAnsi="Calibri"/>
      <w:szCs w:val="22"/>
    </w:rPr>
  </w:style>
  <w:style w:type="paragraph" w:styleId="3">
    <w:name w:val="Body Text Indent"/>
    <w:basedOn w:val="1"/>
    <w:next w:val="4"/>
    <w:unhideWhenUsed/>
    <w:qFormat/>
    <w:uiPriority w:val="0"/>
    <w:pPr>
      <w:ind w:firstLine="640" w:firstLineChars="200"/>
    </w:pPr>
    <w:rPr>
      <w:rFonts w:ascii="黑体" w:hAnsi="宋体" w:eastAsia="黑体"/>
      <w:kern w:val="0"/>
      <w:sz w:val="32"/>
      <w:szCs w:val="32"/>
    </w:rPr>
  </w:style>
  <w:style w:type="paragraph" w:customStyle="1" w:styleId="4">
    <w:name w:val="Char Char Char"/>
    <w:qFormat/>
    <w:uiPriority w:val="0"/>
    <w:pPr>
      <w:widowControl w:val="0"/>
      <w:spacing w:line="578" w:lineRule="exact"/>
      <w:jc w:val="both"/>
    </w:pPr>
    <w:rPr>
      <w:rFonts w:ascii="Calibri" w:hAnsi="Calibri" w:eastAsia="方正仿宋_GBK" w:cs="Times New Roman"/>
      <w:spacing w:val="-3"/>
      <w:kern w:val="2"/>
      <w:sz w:val="32"/>
      <w:szCs w:val="24"/>
      <w:lang w:val="en-US" w:eastAsia="zh-CN" w:bidi="ar-SA"/>
    </w:rPr>
  </w:style>
  <w:style w:type="paragraph" w:styleId="5">
    <w:name w:val="toc 5"/>
    <w:basedOn w:val="1"/>
    <w:next w:val="1"/>
    <w:semiHidden/>
    <w:qFormat/>
    <w:uiPriority w:val="0"/>
    <w:pPr>
      <w:ind w:left="0" w:leftChars="0"/>
    </w:pPr>
    <w:rPr>
      <w:rFonts w:ascii="Times New Roman" w:hAnsi="Times New Roman"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2025-08-07T12:32:00Z</dcterms:created>
  <dc:creator>Administrator</dc:creator>
  <cp:lastModifiedBy> </cp:lastModifiedBy>
  <cp:lastPrinted>2025-08-08T19:12:00Z</cp:lastPrinted>
  <dcterms:modified xsi:type="dcterms:W3CDTF">2025-09-17T12:58:18Z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DED06B4E640609E38C2ACA6843EFFFD9</vt:lpwstr>
  </property>
</Properties>
</file>